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4DE" w:rsidRDefault="00CD74DE">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Руководство по противопоказаниям к иммунизации детей</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Департамент здравоохранения и гуманитарных служб США</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Служба общественного здравоохранения</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Центры по борьбе с болезнями</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Национальная программа иммунизации.</w:t>
      </w:r>
    </w:p>
    <w:p w:rsidR="00CD74DE" w:rsidRDefault="00CD74DE">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Введение</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Руководство было разработано для того чтобы помочь специалистам в области вакцинопрофилактики понять, какие симптомы и состояния являются противопоказаниями к вакцинации, а какие - нет. В Руководстве освещены вопросы, связанные со всеми вакцинами, применяемыми для иммунизации детей доподросткового возраста (АКДС/АбКДС; тривакцина против кори-паротита-краснухи; вакцины против гепатита В, гемофильной палочки тип В, ветряной оспы; пероральная (живая) полиомиелитная вакцина, а также инактивированная полиомиелитная вакцина).</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Ниже приведен перечень данных анамнеза пациента, являющихся противопоказаниями к иммунизации или требующих принятия соответствующих мер предосторожности.</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Руководство составлено в виде таблиц, начиная со стр.1, содержащих список в алфавитном порядке симптомов и состояний, которые часто считаются противопоказаниями к вакцинации. В первой колонке перечислены симптомы или состояния. Во второй колонке приводятся отдельные вакцины (в тех случаях, когда рекомендации в отношении разных вакцин не совпадают); и в третьей колонке даются рекомендации о применении или воздержании от применения вакцин в присутствии тех или иных симптомов и состояний. Сноски содержат информацию об исключениях и особых случаях.</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оценке ребенка, имеющего множественные симптомы, рассмотрите каждый из них, и, если хотя бы один из них является противопоказанием, воздержитесь от прививки.</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Руководство по противопоказаниям к иммунизации детей разработано при участии Национальной программы иммунизации и Центров по борьбе с болезнями на основе Стандартов иммунизации в педиатрической практике, рекомендаций Консультативного комитета по практике иммунизации(ACIP), а также рекомендаций Комитета по инфекционным болезням при Американской академии педиатрии(Комитет красной книги). Некоторые из них могут не совпадать с рекомендациями, указанными производителями на вкладышах в упаковках препаратов вакцин.</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получения более подробной информации можно ознакомиться с рекомендациями, опубликованными Консультативным комитетом по практике иммунизации(ACIP), Американской академией педиатрии ( AAP) и Американской академией семейных врачей(AAFP), а также прочесть рекомендации, содержащиеся на вкладышах в упаковках препаратов вакцин.</w:t>
      </w:r>
    </w:p>
    <w:p w:rsidR="00CD74DE" w:rsidRDefault="00CD74DE">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Контрольный перечень</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определения противопоказаний к любой вакцине, применяющейся для иммунизации детей, сверяйте данные анамнеза ребенка с приведенным ниже перечнем.</w:t>
      </w:r>
    </w:p>
    <w:tbl>
      <w:tblPr>
        <w:tblW w:w="0" w:type="auto"/>
        <w:tblInd w:w="-108" w:type="dxa"/>
        <w:tblLook w:val="0000" w:firstRow="0" w:lastRow="0" w:firstColumn="0" w:lastColumn="0" w:noHBand="0" w:noVBand="0"/>
      </w:tblPr>
      <w:tblGrid>
        <w:gridCol w:w="5679"/>
        <w:gridCol w:w="4174"/>
        <w:gridCol w:w="1"/>
      </w:tblGrid>
      <w:tr w:rsidR="00CD74DE" w:rsidTr="008A585A">
        <w:tc>
          <w:tcPr>
            <w:tcW w:w="0" w:type="auto"/>
            <w:tcBorders>
              <w:top w:val="nil"/>
              <w:left w:val="nil"/>
              <w:bottom w:val="single" w:sz="6" w:space="0" w:color="auto"/>
              <w:right w:val="nil"/>
            </w:tcBorders>
          </w:tcPr>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Проверьте наличие анамнеза по следующим состояниям:</w:t>
            </w:r>
          </w:p>
        </w:tc>
        <w:tc>
          <w:tcPr>
            <w:tcW w:w="0" w:type="auto"/>
            <w:gridSpan w:val="2"/>
            <w:tcBorders>
              <w:top w:val="nil"/>
              <w:left w:val="nil"/>
              <w:bottom w:val="single" w:sz="6" w:space="0" w:color="auto"/>
              <w:right w:val="nil"/>
            </w:tcBorders>
          </w:tcPr>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Причина</w:t>
            </w:r>
          </w:p>
        </w:tc>
      </w:tr>
      <w:tr w:rsidR="00CD74DE" w:rsidTr="008A585A">
        <w:tc>
          <w:tcPr>
            <w:tcW w:w="0" w:type="auto"/>
            <w:tcBorders>
              <w:top w:val="nil"/>
              <w:left w:val="nil"/>
              <w:bottom w:val="nil"/>
              <w:right w:val="nil"/>
            </w:tcBorders>
          </w:tcPr>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Анафилактическая аллергия на:</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дрожжи</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белок куриного яйца</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желатин</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неомицин</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стрептомицин</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Анафилактическая реакция на предыдущую дозу любой вакцины</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Энцефалопатия в течение 7 дней после введения предыдущей дозы АКДС</w:t>
            </w:r>
          </w:p>
        </w:tc>
        <w:tc>
          <w:tcPr>
            <w:tcW w:w="0" w:type="auto"/>
            <w:gridSpan w:val="2"/>
            <w:tcBorders>
              <w:top w:val="nil"/>
              <w:left w:val="nil"/>
              <w:bottom w:val="nil"/>
              <w:right w:val="nil"/>
            </w:tcBorders>
          </w:tcPr>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Противопоказана вакцина против гепатита В</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Противопоказана вакцина против КПК</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Противопоказана вакцина против ветряной оспы</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Противопоказана КПК, ИПВ и вакцина против ветряной оспы</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Противопоказана ИПВ</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Противопоказана эта вакцина</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Противопоказаны АКДС/АбКДС</w:t>
            </w:r>
          </w:p>
        </w:tc>
      </w:tr>
      <w:tr w:rsidR="00CD74DE" w:rsidTr="008A585A">
        <w:trPr>
          <w:gridAfter w:val="1"/>
        </w:trPr>
        <w:tc>
          <w:tcPr>
            <w:tcW w:w="0" w:type="auto"/>
            <w:tcBorders>
              <w:top w:val="nil"/>
              <w:left w:val="nil"/>
              <w:bottom w:val="nil"/>
              <w:right w:val="nil"/>
            </w:tcBorders>
          </w:tcPr>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Любое из этих состояний после предыдущей дозы АКДС или АбКДС:</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Развитие в течение 48 часов пирексии &gt; 40.5*С </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в течение 48 часов коллапса или шока</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в течение 3 дней судорог</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Персистирующий плач продолжительностью &gt; 3 часов, через &lt; 48 часов после прививки</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в течение 6 недель синдрома Гийома-Барре</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ВИЧ инфекция (у прививаемого)</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ВИЧ инфекция (у контактирующего)</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Недавняя инъекция иммуноглобулина</w:t>
            </w:r>
          </w:p>
        </w:tc>
        <w:tc>
          <w:tcPr>
            <w:tcW w:w="0" w:type="auto"/>
            <w:tcBorders>
              <w:top w:val="nil"/>
              <w:left w:val="nil"/>
              <w:bottom w:val="nil"/>
              <w:right w:val="nil"/>
            </w:tcBorders>
          </w:tcPr>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 при применении АКДС/АбКДС</w:t>
            </w:r>
          </w:p>
          <w:p w:rsidR="00CD74DE" w:rsidRDefault="00CD74DE">
            <w:pPr>
              <w:widowControl w:val="0"/>
              <w:jc w:val="both"/>
              <w:rPr>
                <w:rFonts w:ascii="Times New Roman" w:hAnsi="Times New Roman" w:cs="Times New Roman"/>
                <w:color w:val="000000"/>
                <w:sz w:val="24"/>
                <w:szCs w:val="24"/>
              </w:rPr>
            </w:pP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Противопоказаны ОПВ и вакцина против ветряной оспы</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Противопоказана ОПВ</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 КПК и вакцина против ветряной оспы</w:t>
            </w:r>
          </w:p>
        </w:tc>
      </w:tr>
      <w:tr w:rsidR="00CD74DE" w:rsidTr="008A585A">
        <w:trPr>
          <w:gridAfter w:val="1"/>
        </w:trPr>
        <w:tc>
          <w:tcPr>
            <w:tcW w:w="0" w:type="auto"/>
            <w:tcBorders>
              <w:top w:val="nil"/>
              <w:left w:val="nil"/>
              <w:bottom w:val="nil"/>
              <w:right w:val="nil"/>
            </w:tcBorders>
          </w:tcPr>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Иммунодефицит (в семейном анамнезе или у живущего в том же доме)</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Иммунодефицит (у прививаемого)</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Сопутствующее неврологическое расстройство</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Тромбоцитопеническая пурпура ( в анамнезе)</w:t>
            </w:r>
          </w:p>
        </w:tc>
        <w:tc>
          <w:tcPr>
            <w:tcW w:w="0" w:type="auto"/>
            <w:tcBorders>
              <w:top w:val="nil"/>
              <w:left w:val="nil"/>
              <w:bottom w:val="nil"/>
              <w:right w:val="nil"/>
            </w:tcBorders>
          </w:tcPr>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Противопоказана ОПВ</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Противопоказаны КПК, ОПВ и вакцина против ветряной оспы</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 при применении АКДС/АбКДС</w:t>
            </w:r>
          </w:p>
          <w:p w:rsidR="00CD74DE" w:rsidRDefault="00CD74DE">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Предостережение при применении КПК</w:t>
            </w:r>
          </w:p>
          <w:p w:rsidR="00CD74DE" w:rsidRDefault="00CD74DE">
            <w:pPr>
              <w:widowControl w:val="0"/>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ayout w:type="fixed"/>
        <w:tblLook w:val="0000" w:firstRow="0" w:lastRow="0" w:firstColumn="0" w:lastColumn="0" w:noHBand="0" w:noVBand="0"/>
      </w:tblPr>
      <w:tblGrid>
        <w:gridCol w:w="4284"/>
        <w:gridCol w:w="2904"/>
        <w:gridCol w:w="1947"/>
      </w:tblGrid>
      <w:tr w:rsidR="00CD74DE" w:rsidTr="008A585A">
        <w:tc>
          <w:tcPr>
            <w:tcW w:w="4284" w:type="dxa"/>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2904" w:type="dxa"/>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1947" w:type="dxa"/>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8A585A">
        <w:tc>
          <w:tcPr>
            <w:tcW w:w="4284"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Аллергия на: </w:t>
            </w:r>
          </w:p>
        </w:tc>
        <w:tc>
          <w:tcPr>
            <w:tcW w:w="2904"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p>
        </w:tc>
        <w:tc>
          <w:tcPr>
            <w:tcW w:w="1947"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p>
        </w:tc>
      </w:tr>
      <w:tr w:rsidR="00CD74DE" w:rsidTr="008A585A">
        <w:tc>
          <w:tcPr>
            <w:tcW w:w="4284"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пекарские дрожжи (анафилактическая)</w:t>
            </w:r>
          </w:p>
        </w:tc>
        <w:tc>
          <w:tcPr>
            <w:tcW w:w="2904"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гепатита В</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w:t>
            </w:r>
          </w:p>
        </w:tc>
        <w:tc>
          <w:tcPr>
            <w:tcW w:w="1947"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4284"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мясо или перья утки </w:t>
            </w:r>
          </w:p>
        </w:tc>
        <w:tc>
          <w:tcPr>
            <w:tcW w:w="2904"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вакцины</w:t>
            </w:r>
          </w:p>
        </w:tc>
        <w:tc>
          <w:tcPr>
            <w:tcW w:w="1947"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4284"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яичный белок (анафилактическая) </w:t>
            </w:r>
          </w:p>
        </w:tc>
        <w:tc>
          <w:tcPr>
            <w:tcW w:w="2904"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w:t>
            </w:r>
          </w:p>
        </w:tc>
        <w:tc>
          <w:tcPr>
            <w:tcW w:w="1947"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4284"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желатин (анафилактическая)</w:t>
            </w:r>
          </w:p>
        </w:tc>
        <w:tc>
          <w:tcPr>
            <w:tcW w:w="2904"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ветряной оспы</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Другие</w:t>
            </w:r>
          </w:p>
        </w:tc>
        <w:tc>
          <w:tcPr>
            <w:tcW w:w="1947"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4284"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неомицин (анафилактическая)</w:t>
            </w:r>
          </w:p>
        </w:tc>
        <w:tc>
          <w:tcPr>
            <w:tcW w:w="2904"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ИПВ</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ветряной оспы</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947"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CD74DE" w:rsidRDefault="008A585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 Детей, имеющих аллергию на яичный белок, можно прививать с соблюдением мер предосторожности. Обратитесь к принятым схемам вакцинации таких пациентов (1994 AAP “Красная книга”, J Pediatr 1983;102:196-9, and J Pediatr 1988;113:504-6).</w:t>
      </w:r>
    </w:p>
    <w:tbl>
      <w:tblPr>
        <w:tblW w:w="0" w:type="auto"/>
        <w:tblInd w:w="-108" w:type="dxa"/>
        <w:tblLook w:val="0000" w:firstRow="0" w:lastRow="0" w:firstColumn="0" w:lastColumn="0" w:noHBand="0" w:noVBand="0"/>
      </w:tblPr>
      <w:tblGrid>
        <w:gridCol w:w="7072"/>
        <w:gridCol w:w="1324"/>
        <w:gridCol w:w="1458"/>
      </w:tblGrid>
      <w:tr w:rsidR="00CD74DE" w:rsidTr="008A585A">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Аллергия (продолжение):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p>
        </w:tc>
      </w:tr>
      <w:tr w:rsidR="00CD74DE" w:rsidTr="008A585A">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пенициллин</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стрептомицин (анафилактическая)</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ИПВ</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p w:rsidR="00CD74DE" w:rsidRDefault="00CD74DE" w:rsidP="008A585A">
            <w:pPr>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неопределенная или не анафилактическая</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родственников</w:t>
            </w:r>
          </w:p>
        </w:tc>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Анафилактическая (с угрозой для жизни) на предыдущую дозу вакцины</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2</w:t>
            </w:r>
          </w:p>
        </w:tc>
      </w:tr>
      <w:tr w:rsidR="00CD74DE" w:rsidTr="008A585A">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Противомикробная терапия (текущая)</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Грудное вскармливание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8A585A" w:rsidRPr="008A585A" w:rsidRDefault="008A585A" w:rsidP="008A585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2: Противопоказана только та вакцина, предыдущая доза которой вызвала реакцию (См. также “Аллергия”, стр 1 и 2).</w:t>
      </w:r>
    </w:p>
    <w:tbl>
      <w:tblPr>
        <w:tblW w:w="0" w:type="auto"/>
        <w:tblInd w:w="-108" w:type="dxa"/>
        <w:tblLayout w:type="fixed"/>
        <w:tblLook w:val="0000" w:firstRow="0" w:lastRow="0" w:firstColumn="0" w:lastColumn="0" w:noHBand="0" w:noVBand="0"/>
      </w:tblPr>
      <w:tblGrid>
        <w:gridCol w:w="5831"/>
        <w:gridCol w:w="2360"/>
        <w:gridCol w:w="1663"/>
      </w:tblGrid>
      <w:tr w:rsidR="00CD74DE" w:rsidTr="008A585A">
        <w:tc>
          <w:tcPr>
            <w:tcW w:w="5831"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2360"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1663"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8A585A">
        <w:tc>
          <w:tcPr>
            <w:tcW w:w="5831"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Болезнь в стадии выздоровления</w:t>
            </w:r>
          </w:p>
        </w:tc>
        <w:tc>
          <w:tcPr>
            <w:tcW w:w="2360"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1663"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5831" w:type="dxa"/>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Судороги в семейном анамнезе (включая эпилепсию)</w:t>
            </w:r>
          </w:p>
        </w:tc>
        <w:tc>
          <w:tcPr>
            <w:tcW w:w="2360" w:type="dxa"/>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1663" w:type="dxa"/>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3</w:t>
            </w:r>
          </w:p>
        </w:tc>
      </w:tr>
      <w:tr w:rsidR="00CD74DE" w:rsidTr="008A585A">
        <w:tc>
          <w:tcPr>
            <w:tcW w:w="5831"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Развитие судорог в течение 3 дней после введения предыдущей дозы АКДС или АбКДС</w:t>
            </w:r>
          </w:p>
        </w:tc>
        <w:tc>
          <w:tcPr>
            <w:tcW w:w="2360"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663"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4</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8A585A" w:rsidRDefault="008A585A" w:rsidP="008A585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3: Детям, имеющим судороги в личном или семейном анамнезе, рекомендуется давать парацетамол перед введением АКДС или АбКДС, а также каждые 4 часа в течение 24 часов после вакцинации. (Если ребенок страдает сопутствующим неврологическим расстройством, см. стр. 14)</w:t>
      </w:r>
    </w:p>
    <w:p w:rsidR="008A585A" w:rsidRDefault="008A585A" w:rsidP="008A585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4: Это не противопоказание, но предостережение. В этом случае сопоставьте пользу и вероятный вред от вакцинации. В случае, если потенциальный вред превышает пользу, воздержитесь от вакцинации; если вакцинация несет больше пользы, чем вреда (например, во время эпидемии или перед поездкой за границу), прививайте. (В случае, если судороги сопровождаются энцефалопатией, см. страницу 19. Если ребенок страдает сопутствующим неврологическим расстройством, см. стр. 14).</w:t>
      </w:r>
    </w:p>
    <w:tbl>
      <w:tblPr>
        <w:tblW w:w="0" w:type="auto"/>
        <w:tblInd w:w="-108" w:type="dxa"/>
        <w:tblLook w:val="0000" w:firstRow="0" w:lastRow="0" w:firstColumn="0" w:lastColumn="0" w:noHBand="0" w:noVBand="0"/>
      </w:tblPr>
      <w:tblGrid>
        <w:gridCol w:w="7249"/>
        <w:gridCol w:w="1146"/>
        <w:gridCol w:w="1459"/>
      </w:tblGrid>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8A585A">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Диарея</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p>
        </w:tc>
      </w:tr>
      <w:tr w:rsidR="00CD74DE" w:rsidTr="008A585A">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легкая (сопровождающаяся субфебрильной температурой или без нее)</w:t>
            </w:r>
          </w:p>
        </w:tc>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средней тяжести или тяжелая (с пирексией или без нее)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CD74DE" w:rsidTr="008A585A">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Недавний контакт с инфекционным больным</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8A585A">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Лихорадка</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субфебрильная температура в течение легкого заболевания или без него</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лихорадка в течение средне тяжелого или тяжелого заболевания</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5</w:t>
            </w:r>
          </w:p>
        </w:tc>
      </w:tr>
    </w:tbl>
    <w:p w:rsidR="008A585A" w:rsidRPr="008A585A" w:rsidRDefault="008A585A" w:rsidP="008A585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5: Детей со средне тяжелым или тяжелым фебрильным заболеванием можно вакцинировать на стадии выздоровления.</w:t>
      </w:r>
    </w:p>
    <w:tbl>
      <w:tblPr>
        <w:tblW w:w="9854" w:type="dxa"/>
        <w:tblInd w:w="-108" w:type="dxa"/>
        <w:tblLook w:val="0000" w:firstRow="0" w:lastRow="0" w:firstColumn="0" w:lastColumn="0" w:noHBand="0" w:noVBand="0"/>
      </w:tblPr>
      <w:tblGrid>
        <w:gridCol w:w="5121"/>
        <w:gridCol w:w="3306"/>
        <w:gridCol w:w="1427"/>
      </w:tblGrid>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3306"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1427"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8A585A">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ВИЧ инфекция</w:t>
            </w:r>
          </w:p>
        </w:tc>
        <w:tc>
          <w:tcPr>
            <w:tcW w:w="3306"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p>
        </w:tc>
        <w:tc>
          <w:tcPr>
            <w:tcW w:w="1427"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члена семьи, живущего в одном доме с прививаемым</w:t>
            </w:r>
          </w:p>
        </w:tc>
        <w:tc>
          <w:tcPr>
            <w:tcW w:w="3306"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ОПВ</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427"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прививаемого (бессимптомная)</w:t>
            </w:r>
          </w:p>
        </w:tc>
        <w:tc>
          <w:tcPr>
            <w:tcW w:w="3306"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ОПВ</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ветряной оспы</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427"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8A585A">
        <w:tc>
          <w:tcPr>
            <w:tcW w:w="0" w:type="auto"/>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прививаемого (с симптомами)</w:t>
            </w:r>
          </w:p>
          <w:p w:rsidR="00CD74DE" w:rsidRDefault="00CD74DE" w:rsidP="008A585A">
            <w:pPr>
              <w:jc w:val="both"/>
              <w:rPr>
                <w:rFonts w:ascii="Times New Roman" w:hAnsi="Times New Roman" w:cs="Times New Roman"/>
                <w:color w:val="000000"/>
                <w:sz w:val="24"/>
                <w:szCs w:val="24"/>
              </w:rPr>
            </w:pPr>
          </w:p>
        </w:tc>
        <w:tc>
          <w:tcPr>
            <w:tcW w:w="3306"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ОПВ</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ветряной оспы</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427"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6</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CD74DE" w:rsidRDefault="008A585A">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6: Вследствие опасности развития тяжелой формы кори у ВИЧ инфицированных и больных СПИД детей, рекомендуется рассмотреть возможность введения им тривакцины против кори-паротита-краснухи. Ограниченные данные о применении этой вакцины у бессимптомных и симптомных ВИЧ инфицированных детей показывают, что вакцина не приводила к развитию у них тяжелых или необычных неблагоприятных побочных реакций, несмотря на непредсказуемость иммунного ответа.</w:t>
      </w:r>
    </w:p>
    <w:tbl>
      <w:tblPr>
        <w:tblW w:w="10315" w:type="dxa"/>
        <w:tblInd w:w="-108" w:type="dxa"/>
        <w:tblLayout w:type="fixed"/>
        <w:tblLook w:val="0000" w:firstRow="0" w:lastRow="0" w:firstColumn="0" w:lastColumn="0" w:noHBand="0" w:noVBand="0"/>
      </w:tblPr>
      <w:tblGrid>
        <w:gridCol w:w="6067"/>
        <w:gridCol w:w="2714"/>
        <w:gridCol w:w="1534"/>
      </w:tblGrid>
      <w:tr w:rsidR="00CD74DE" w:rsidTr="00CD74DE">
        <w:tc>
          <w:tcPr>
            <w:tcW w:w="6067"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2714"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1534" w:type="dxa"/>
            <w:tcBorders>
              <w:top w:val="single" w:sz="6" w:space="0" w:color="auto"/>
              <w:left w:val="nil"/>
              <w:bottom w:val="single" w:sz="6" w:space="0" w:color="auto"/>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6067"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Внутримышечное или внутривенное введение иммуноглобулина в недавнем прошлом или одновременно с прививкой (см. рекомендуемые интервалы на следующей странице)</w:t>
            </w:r>
          </w:p>
        </w:tc>
        <w:tc>
          <w:tcPr>
            <w:tcW w:w="2714"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 ветряной оспы</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534" w:type="dxa"/>
            <w:tcBorders>
              <w:top w:val="nil"/>
              <w:left w:val="nil"/>
              <w:bottom w:val="nil"/>
              <w:right w:val="nil"/>
            </w:tcBorders>
          </w:tcPr>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7</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8</w:t>
            </w:r>
          </w:p>
          <w:p w:rsidR="00CD74DE" w:rsidRDefault="00CD74DE" w:rsidP="008A585A">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CD74DE" w:rsidRDefault="00CD74DE" w:rsidP="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7: Не вводите иммуноглобулин и КПК одновременно. Если этого нельзя избежать, инъекции следует производить в разные места, после чего обеспечить повторную вакцинацию или сделать анализ на сероконверсию через 3 месяца. В том случае, если первой введена КПК, иммуноглобулин следует вводить не ранее, чем через 2 недели после этого. Если первой была инъекция иммуноглобулина, интервал до введения КПК зависит от препарата иммуноглобулин, его дозы и показаний (см. стр. 10)</w:t>
      </w:r>
    </w:p>
    <w:p w:rsidR="00CD74DE" w:rsidRDefault="00CD74DE" w:rsidP="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8: Инъекцию вакцины против ветряной оспы следует отложить на срок не менее 5 месяцев после вливания крови (исключая отмытые эритроциты), плазмы, иммуноглобулина или специфического иммуноглобулина против ветряной оспы-опоясывающего лишая. Не рекомендуется вводить иммуноглобулин или иммуноглобулин против ветряной оспы-опоясывающего лишая в течение 3 недель после вакцинации, за исключением тех случаев, когда польза от такой инъекции превышает пользу от вакцинации. В таких случаях рекомендуется повторная вакцинация через 5 месяцев или проведение серологических исследований спустя 6 месяцев и, в случае отрицательного результата, повторной вакцинации.</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Рекомендуемые интервалы</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Месяцы до прививки против кори</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Столбнячный иммуноглобулин для профилактики столбняка 3</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иммуноглобулин для предотвращения заражения гепатитом А при контакте </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или перед поездкой за границу 3</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Иммуноглобулин против гепатита В (профилактика) 3</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Иммуноглобулин против бешенства 4</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Иммуноглобулин против ветряной оспы (профилактика) 5</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иммуноглобулин для профилактики кори (при естественном контакте) 5</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иммуноглобулин для профилактики кори (нарушенный иммунитет) 6</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Переливание крови (отмытые эритроциты) 0</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Переливание крови (эритроциты + солевой р-р аденина) 3</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Переливание крови (эритромасса [гематокрит 65%].) 6</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Перелива крови (цельная кровь, [гематокрит 35-50%]) 6</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Переливание крови (плазма, тромбоциты) 7</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Замещающая терапия по поводу гуморального иммунодефицита (внутривенно иммуноглобулин)</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Лечение иммунной тромбоцитопенической пурпуры (400 mg/kg в/в.) 8</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Лечение иммунной тромбоцитопенической пурпуры (1000 mg/kg в/в) 10</w:t>
      </w:r>
    </w:p>
    <w:p w:rsidR="00CD74DE" w:rsidRDefault="00CD74DE">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Болезнь</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Кавасаки</w:t>
      </w:r>
      <w:r>
        <w:rPr>
          <w:rFonts w:ascii="Times New Roman" w:hAnsi="Times New Roman" w:cs="Times New Roman"/>
          <w:color w:val="000000"/>
          <w:sz w:val="24"/>
          <w:szCs w:val="24"/>
          <w:lang w:val="en-US"/>
        </w:rPr>
        <w:t xml:space="preserve"> 11</w:t>
      </w:r>
    </w:p>
    <w:p w:rsidR="00CD74DE" w:rsidRDefault="00CD74DE">
      <w:pPr>
        <w:widowControl w:val="0"/>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См</w:t>
      </w:r>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также</w:t>
      </w:r>
      <w:r>
        <w:rPr>
          <w:rFonts w:ascii="Times New Roman" w:hAnsi="Times New Roman" w:cs="Times New Roman"/>
          <w:color w:val="000000"/>
          <w:sz w:val="24"/>
          <w:szCs w:val="24"/>
          <w:lang w:val="en-US"/>
        </w:rPr>
        <w:t xml:space="preserve">: J Pediatr 1993; 122:204-11, Guidelines; General Recommendations on Immunization: Advisory Committee on Immunization Practices, Jan. 18, 1994. </w:t>
      </w:r>
    </w:p>
    <w:tbl>
      <w:tblPr>
        <w:tblW w:w="0" w:type="auto"/>
        <w:tblInd w:w="-108" w:type="dxa"/>
        <w:tblLook w:val="0000" w:firstRow="0" w:lastRow="0" w:firstColumn="0" w:lastColumn="0" w:noHBand="0" w:noVBand="0"/>
      </w:tblPr>
      <w:tblGrid>
        <w:gridCol w:w="6573"/>
        <w:gridCol w:w="1146"/>
        <w:gridCol w:w="1711"/>
      </w:tblGrid>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1711"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Заболевание</w:t>
            </w:r>
          </w:p>
        </w:tc>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tc>
        <w:tc>
          <w:tcPr>
            <w:tcW w:w="1711"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легкое острое с субфебрильной температурой или без нее </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1711"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CD74DE">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острое, средней тяжести и тяжелое, с лихорадкой или без нее</w:t>
            </w:r>
          </w:p>
        </w:tc>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1711"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хроническое</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1711"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9</w:t>
            </w:r>
          </w:p>
        </w:tc>
      </w:tr>
    </w:tbl>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9: Подавляющее большинство детей с хроническими заболеваниями должны быть адекватно привиты. Решение о вакцинации и выборе вакцин принимается отдельно в каждом конкретном случае</w:t>
      </w:r>
    </w:p>
    <w:tbl>
      <w:tblPr>
        <w:tblW w:w="0" w:type="auto"/>
        <w:tblInd w:w="-108" w:type="dxa"/>
        <w:tblLook w:val="0000" w:firstRow="0" w:lastRow="0" w:firstColumn="0" w:lastColumn="0" w:noHBand="0" w:noVBand="0"/>
      </w:tblPr>
      <w:tblGrid>
        <w:gridCol w:w="5182"/>
        <w:gridCol w:w="2360"/>
        <w:gridCol w:w="1711"/>
      </w:tblGrid>
      <w:tr w:rsidR="00CD74DE" w:rsidTr="00CD74DE">
        <w:tc>
          <w:tcPr>
            <w:tcW w:w="5182"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2360"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1711"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5182"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Иммунодефицит*</w:t>
            </w:r>
          </w:p>
        </w:tc>
        <w:tc>
          <w:tcPr>
            <w:tcW w:w="2360"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tc>
        <w:tc>
          <w:tcPr>
            <w:tcW w:w="1711"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tc>
      </w:tr>
      <w:tr w:rsidR="00CD74DE" w:rsidTr="00CD74DE">
        <w:tc>
          <w:tcPr>
            <w:tcW w:w="5182"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семейный анамнез</w:t>
            </w:r>
          </w:p>
        </w:tc>
        <w:tc>
          <w:tcPr>
            <w:tcW w:w="2360"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ОПВ</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Ветряная оспа</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711"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10</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10</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CD74DE">
        <w:tc>
          <w:tcPr>
            <w:tcW w:w="5182"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живущего в доме</w:t>
            </w:r>
          </w:p>
        </w:tc>
        <w:tc>
          <w:tcPr>
            <w:tcW w:w="2360"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ППВ</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711"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См. “ВИЧ инфекция” (стр. 8); для этого состояния рекомендации несколько отличны </w:t>
      </w:r>
    </w:p>
    <w:p w:rsidR="00CD74DE" w:rsidRDefault="00CD74DE" w:rsidP="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10: ОПВ или вакцину против ветряной оспы нельзя давать живущему в доме и имеющему иммунодефицит в семейном анамнезе индивидууму до определения иммунного статуса реципиента и других живущих в семье детей.</w:t>
      </w:r>
    </w:p>
    <w:tbl>
      <w:tblPr>
        <w:tblW w:w="0" w:type="auto"/>
        <w:tblInd w:w="-108" w:type="dxa"/>
        <w:tblLook w:val="0000" w:firstRow="0" w:lastRow="0" w:firstColumn="0" w:lastColumn="0" w:noHBand="0" w:noVBand="0"/>
      </w:tblPr>
      <w:tblGrid>
        <w:gridCol w:w="6067"/>
        <w:gridCol w:w="1947"/>
        <w:gridCol w:w="1840"/>
      </w:tblGrid>
      <w:tr w:rsidR="00CD74DE" w:rsidTr="00CD74DE">
        <w:tc>
          <w:tcPr>
            <w:tcW w:w="6067"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1947"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1840"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6067"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Иммунодефицит (продолжение)</w:t>
            </w:r>
          </w:p>
        </w:tc>
        <w:tc>
          <w:tcPr>
            <w:tcW w:w="1947"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tc>
        <w:tc>
          <w:tcPr>
            <w:tcW w:w="1840" w:type="dxa"/>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tc>
      </w:tr>
      <w:tr w:rsidR="00CD74DE" w:rsidTr="00CD74DE">
        <w:tc>
          <w:tcPr>
            <w:tcW w:w="6067"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 реципиента (опухолевые заболевания в т.ч. гематологические, врожденный иммунодефицит, длительная иммуносупрессивныя терапия, включая лечение стероидами) </w:t>
            </w:r>
          </w:p>
        </w:tc>
        <w:tc>
          <w:tcPr>
            <w:tcW w:w="1947"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ОПВ</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Ветряная оспа</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1840" w:type="dxa"/>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11</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CD74DE" w:rsidRDefault="00CD74DE" w:rsidP="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11: Существует утвержденная схема применения вакцины против ветряной оспы у детей, страдающих острым лимфобластным лейкозом. См. “Профилактика ветряной оспы: рекомендации Консультативного комитета по практике иммунизации”.</w:t>
      </w:r>
    </w:p>
    <w:tbl>
      <w:tblPr>
        <w:tblW w:w="0" w:type="auto"/>
        <w:tblInd w:w="-108" w:type="dxa"/>
        <w:tblLook w:val="0000" w:firstRow="0" w:lastRow="0" w:firstColumn="0" w:lastColumn="0" w:noHBand="0" w:noVBand="0"/>
      </w:tblPr>
      <w:tblGrid>
        <w:gridCol w:w="5095"/>
        <w:gridCol w:w="2526"/>
        <w:gridCol w:w="2233"/>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Неврологические расстройства (включая: судорожные расстройства, церебральный паралич и задержка развития)</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12</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12: Решение о вакцинации и времени вакцинации детей с выявленными неврологическими расстройствами принимается отдельно в каждом конкретном случае. Как правило, дети грудного и более старшего возраста, имеющие стабильное неврологическое состояние, включая хорошо контролируемые судороги, могут быть привиты.</w:t>
            </w:r>
          </w:p>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6153"/>
        <w:gridCol w:w="1713"/>
        <w:gridCol w:w="1988"/>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Средний отит</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легкий (с субфебрильной температурой или без нее)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средней тяжести и тяжелый (с лихорадкой или без нее)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выздоровление</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6513"/>
        <w:gridCol w:w="1450"/>
        <w:gridCol w:w="1891"/>
      </w:tblGrid>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Беременность у матери или другой женщины, контактирующей с реципиентом дома</w:t>
            </w:r>
          </w:p>
          <w:p w:rsidR="00CD74DE" w:rsidRDefault="00CD74DE" w:rsidP="00CD74DE">
            <w:pPr>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Недоношенность</w:t>
            </w:r>
          </w:p>
          <w:p w:rsidR="00CD74DE" w:rsidRDefault="00CD74DE" w:rsidP="00CD74DE">
            <w:pPr>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13</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и 14</w:t>
            </w:r>
          </w:p>
        </w:tc>
      </w:tr>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p>
          <w:p w:rsidR="00CD74DE" w:rsidRDefault="00CD74DE" w:rsidP="00CD74DE">
            <w:pPr>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p>
        </w:tc>
      </w:tr>
      <w:tr w:rsidR="00CD74DE" w:rsidTr="00CD74DE">
        <w:tc>
          <w:tcPr>
            <w:tcW w:w="0" w:type="auto"/>
            <w:gridSpan w:val="3"/>
            <w:tcBorders>
              <w:top w:val="nil"/>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13: Недоношенных детей следует начинать прививать в соответствии с календарем прививок для доношенных детей, родившихся с нормальным весом (теми же дозами и по тем же показаниям)</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14: Если у матери пациента выявлены антигены гепатита В, руководствуйтесь календарем прививок, который предусматривает введение первой дозы вакцины против гепатита В при рождении.</w:t>
            </w:r>
          </w:p>
          <w:p w:rsidR="00CD74DE" w:rsidRDefault="00CD74DE" w:rsidP="00CD74DE">
            <w:pPr>
              <w:jc w:val="both"/>
              <w:rPr>
                <w:rFonts w:ascii="Times New Roman" w:hAnsi="Times New Roman" w:cs="Times New Roman"/>
                <w:color w:val="000000"/>
                <w:sz w:val="24"/>
                <w:szCs w:val="24"/>
              </w:rPr>
            </w:pPr>
          </w:p>
          <w:p w:rsidR="00CD74DE" w:rsidRDefault="00CD74DE" w:rsidP="00CD74DE">
            <w:pPr>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6016"/>
        <w:gridCol w:w="1667"/>
        <w:gridCol w:w="2171"/>
      </w:tblGrid>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Реакция на предыдущую дозу любой вакцины</w:t>
            </w:r>
          </w:p>
          <w:p w:rsidR="00CD74DE" w:rsidRDefault="00CD74DE" w:rsidP="00CD74DE">
            <w:pPr>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rsidP="00CD74DE">
            <w:pPr>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анафилактическая (угрожающая жизни)</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15</w:t>
            </w:r>
          </w:p>
          <w:p w:rsidR="00CD74DE" w:rsidRDefault="00CD74DE" w:rsidP="00CD74DE">
            <w:pPr>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локальная (слабая и умеренная болезненность, краснота, отек)</w:t>
            </w:r>
          </w:p>
          <w:p w:rsidR="00CD74DE" w:rsidRDefault="00CD74DE" w:rsidP="00CD74DE">
            <w:pPr>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CD74DE">
        <w:tc>
          <w:tcPr>
            <w:tcW w:w="0" w:type="auto"/>
            <w:gridSpan w:val="3"/>
            <w:tcBorders>
              <w:top w:val="nil"/>
              <w:left w:val="nil"/>
              <w:bottom w:val="single" w:sz="6" w:space="0" w:color="auto"/>
              <w:right w:val="nil"/>
            </w:tcBorders>
          </w:tcPr>
          <w:p w:rsidR="00CD74DE" w:rsidRDefault="00CD74DE" w:rsidP="00CD74D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15: Противопоказана только та вакцина, предыдущая доза которой вызвала реакцию. В случае, если ребенок, имеющий противопоказания к столбнячному анатоксину и не завершивший первичную серию прививок против столбняка, поступает с загрязненной открытой раной, рекомендуется пассивная иммунизация противостолбнячным иммуноглобулином.</w:t>
            </w:r>
          </w:p>
          <w:p w:rsidR="00CD74DE" w:rsidRDefault="00CD74DE" w:rsidP="00CD74DE">
            <w:pPr>
              <w:jc w:val="both"/>
              <w:rPr>
                <w:rFonts w:ascii="Times New Roman" w:hAnsi="Times New Roman" w:cs="Times New Roman"/>
                <w:color w:val="000000"/>
                <w:sz w:val="24"/>
                <w:szCs w:val="24"/>
              </w:rPr>
            </w:pPr>
          </w:p>
          <w:p w:rsidR="00CD74DE" w:rsidRDefault="00CD74DE" w:rsidP="00CD74DE">
            <w:pPr>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5039"/>
        <w:gridCol w:w="2555"/>
        <w:gridCol w:w="2260"/>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Реакции на предыдущую дозу АКДС/АбКДС</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в течение 48 часов после введения вакцины коллапса или шокоподобного состояния</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16</w:t>
            </w: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Персистирующий плач продолжительностью более 3 часов, начавшийся в течение 48 часов после введения</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16</w:t>
            </w: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16: Это не противопоказание, однако в этом случае сопоставьте пользу и вероятный вред от вакцинации. В случае, если потенциальный вред превышает пользу, воздержитесь от вакцинации; если вакцинация несет больше пользы, чем вреда (например, во время эпидемии или перед поездкой за границу), прививка рекомендуется.</w:t>
            </w:r>
          </w:p>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4664"/>
        <w:gridCol w:w="2745"/>
        <w:gridCol w:w="2445"/>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Реакции на предыдущую дозу АКДС/АбКДС (продолжение)</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энцефалопатии* в течение 7 дней после введения </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любые побочные реакции в семейном анамнезе в ответ на введение вакцин</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17</w:t>
            </w: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в течение 48 часов температуры &lt; 40.5С АКДС/АбКДС Да</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17</w:t>
            </w:r>
          </w:p>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Острое тяжелое расстройство ЦНС, сопровождающееся нарушениями сознания, потерей реакции или генерализованными или фокальными судорогами в течение нескольких часов и после которого нормальные функции у больного не восстанавливаются в течение 24 часов.</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17: Детям, имеющим судороги в индивидуальноь или семейном анамнезе рекомендуется давать парацетамол перед введением АКДС или АбКДС, а также каждые 4 часа в течение 24 часов после вакцинации.</w:t>
            </w:r>
          </w:p>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4648"/>
        <w:gridCol w:w="2754"/>
        <w:gridCol w:w="2452"/>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Реакции на предыдущую дозу АКДС/АбКДС (продолжение)</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Повышение температуры (&gt; 40.5С) в течение 48 часов поле введения вакцины </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18</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 19</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в течение 6 недель синдрома Гийома-Барре (СГБ)</w:t>
            </w: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20</w:t>
            </w: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развитие в течение 3 дней после введения вакцины судорог</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АКДС/АбКДС</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18</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 19</w:t>
            </w: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18: Это не противопоказание, однако в этом случае сопоставьте пользу и вероятный вред от вакцинации. В случае, если потенциальный вред превышает пользу, воздержитесь от вакцинации; если вакцинация несет больше пользы, чем вреда (например, во время эпидемии или перед поездкой за границу), прививка рекомендуется.</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19: Перед введением АКДС или АбКДС, а также каждые 4 часа в течение 24 часов после вакцинации рекомендуется давать парацетамол.</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Примечание 20: Решение о введении дополнительных доз АКДС/АбКДС принимается на основании сопоставления пользы от последующей вакцинации и вероятности повторного проявления СГБ. Например, завершение первичной серии прививок у детей считается оправданным. </w:t>
            </w: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4961"/>
        <w:gridCol w:w="2231"/>
        <w:gridCol w:w="2662"/>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Одновременное введение нескольких вакцин</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21</w:t>
            </w: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Синдром внезапной смерти детей в семейном анамнезе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21: Существует теоретическая вероятность того, что при не одновременном введении живых вирусных вакцин (ОПВ, КПК и вакцины против ветряной оспы) с интервалами менее 30 дней иммунный ответ может быть хуже, чем при одновременном введении этих вакцин. Практических данных, подтверждающих это предположение, нет.</w:t>
            </w:r>
          </w:p>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4952"/>
        <w:gridCol w:w="2282"/>
        <w:gridCol w:w="2620"/>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Тромбоцитопения</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22</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Тромбоцитопеническая пурпура в анамнезе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22</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22: Сопоставьте пользу от иммунизации против кори, паротита и краснухи с вероятностью обострения тромбоцитопении после прививки или вероятностью заболевания корью и краснухой. В большинстве случаев польза от иммунизации превышает потенциальный вред, что оправдывает введение КПК, особенно учитывая высокую вероятность развития у пациента тромбоцитопении после заболевания корью или краснухой. Однако, если предыдущий эпизод тромбоцитопении имел место сразу после введения вакцины, целесообразно не вводить больному последующих доз.</w:t>
            </w:r>
          </w:p>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5196"/>
        <w:gridCol w:w="2168"/>
        <w:gridCol w:w="2490"/>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Одновременное с вакцинацией проведение туберкулиновой кожной пробы</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КПК</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23</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Туберкулез или положительная реакция Манту</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Примечание 23: Коревая вакцина может временно ослаблять кожную реакцию на туберкулин. КПК можно вводить после проведения туберкулиновой пробы, или на следующий день. Если пациент недавно получил КПК, отложите проведение туберкулиновой пробы на срок от 4 до 6 недель после прививки. При одновременном введении КПК и проведении туберкулиновой пробы, применяйте реакцию Манту, а не множественные уколочные пробы, поскольку положительные результаты последних требуют подтверждения (а проведение подтверждающих проб необходимо будет отложить на 4-6 недель) </w:t>
            </w: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4283"/>
        <w:gridCol w:w="2598"/>
        <w:gridCol w:w="2973"/>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Непривитый домашний контакт*</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ОПВ</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другие</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См. Прим. 24</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Родитель или другой проживающий в доме индивидуум, не получивший прививку той вакциной, которую планируется ввести ребенку.</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24: В том случае, если родители или другие взрослые, контактирующие дома с ребенком, которому планируется дать ОПВ, не привиты полиомиелитной вакциной, им необходимо подумать о вакцинации ИПВ перед прививкой ребенка или одновременно с ним. Прививку ребенку не следует откладывать.</w:t>
            </w:r>
          </w:p>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5221"/>
        <w:gridCol w:w="2144"/>
        <w:gridCol w:w="2489"/>
      </w:tblGrid>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Симптом или состояние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Вакцины</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Прививать?</w:t>
            </w:r>
          </w:p>
        </w:tc>
      </w:tr>
      <w:tr w:rsidR="00CD74DE" w:rsidTr="00CD74DE">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Рвота</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nil"/>
              <w:left w:val="nil"/>
              <w:bottom w:val="nil"/>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легкая (сопровождающаяся субфебрильной температурой или без нее)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CD74DE" w:rsidRDefault="00CD74DE">
            <w:pPr>
              <w:widowControl w:val="0"/>
              <w:spacing w:before="120"/>
              <w:ind w:firstLine="567"/>
              <w:jc w:val="both"/>
              <w:rPr>
                <w:rFonts w:ascii="Times New Roman" w:hAnsi="Times New Roman" w:cs="Times New Roman"/>
                <w:color w:val="000000"/>
                <w:sz w:val="24"/>
                <w:szCs w:val="24"/>
              </w:rPr>
            </w:pPr>
          </w:p>
        </w:tc>
      </w:tr>
      <w:tr w:rsidR="00CD74DE" w:rsidTr="00CD74DE">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средней тяжести и тяжелая (с лихорадкой или без нее)</w:t>
            </w:r>
          </w:p>
          <w:p w:rsidR="00CD74DE" w:rsidRDefault="00CD74DE">
            <w:pPr>
              <w:widowControl w:val="0"/>
              <w:spacing w:before="120"/>
              <w:ind w:firstLine="567"/>
              <w:jc w:val="both"/>
              <w:rPr>
                <w:rFonts w:ascii="Times New Roman" w:hAnsi="Times New Roman" w:cs="Times New Roman"/>
                <w:color w:val="000000"/>
                <w:sz w:val="24"/>
                <w:szCs w:val="24"/>
              </w:rPr>
            </w:pP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w:t>
            </w:r>
          </w:p>
        </w:tc>
        <w:tc>
          <w:tcPr>
            <w:tcW w:w="0" w:type="auto"/>
            <w:tcBorders>
              <w:top w:val="single" w:sz="6" w:space="0" w:color="auto"/>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CD74DE" w:rsidTr="00CD74DE">
        <w:tc>
          <w:tcPr>
            <w:tcW w:w="0" w:type="auto"/>
            <w:gridSpan w:val="3"/>
            <w:tcBorders>
              <w:top w:val="nil"/>
              <w:left w:val="nil"/>
              <w:bottom w:val="single" w:sz="6" w:space="0" w:color="auto"/>
              <w:right w:val="nil"/>
            </w:tcBorders>
          </w:tcPr>
          <w:p w:rsidR="00CD74DE" w:rsidRDefault="00CD74DE">
            <w:pPr>
              <w:widowControl w:val="0"/>
              <w:spacing w:before="120"/>
              <w:ind w:firstLine="567"/>
              <w:jc w:val="both"/>
              <w:rPr>
                <w:rFonts w:ascii="Times New Roman" w:hAnsi="Times New Roman" w:cs="Times New Roman"/>
                <w:color w:val="000000"/>
                <w:sz w:val="24"/>
                <w:szCs w:val="24"/>
              </w:rPr>
            </w:pP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Рвота и ОПВ</w:t>
            </w:r>
          </w:p>
          <w:p w:rsidR="00CD74DE" w:rsidRDefault="00CD74DE">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Некоторые грудные дети не в состоянии проглотить ОПВ. Если, по наблюдению медицинского работника, ребенок выплюнул или вырвал значительную часть дозы в течение 5-10 минут после приема, ему можно сразу же дать еще одну дозу вакцины. Если ребенок не смог удержать вторую дозу, то обе дозы признают не засчитанными, а вакцинацию проводят во время следующего посещения. </w:t>
            </w:r>
          </w:p>
          <w:p w:rsidR="00CD74DE" w:rsidRDefault="00CD74DE">
            <w:pPr>
              <w:widowControl w:val="0"/>
              <w:spacing w:before="120"/>
              <w:ind w:firstLine="567"/>
              <w:jc w:val="both"/>
              <w:rPr>
                <w:rFonts w:ascii="Times New Roman" w:hAnsi="Times New Roman" w:cs="Times New Roman"/>
                <w:color w:val="000000"/>
                <w:sz w:val="24"/>
                <w:szCs w:val="24"/>
              </w:rPr>
            </w:pPr>
          </w:p>
        </w:tc>
      </w:tr>
    </w:tbl>
    <w:p w:rsidR="00CD74DE" w:rsidRDefault="00CD74DE">
      <w:pPr>
        <w:widowControl w:val="0"/>
        <w:spacing w:before="120"/>
        <w:ind w:firstLine="567"/>
        <w:jc w:val="both"/>
        <w:rPr>
          <w:rFonts w:ascii="Times New Roman" w:hAnsi="Times New Roman" w:cs="Times New Roman"/>
          <w:color w:val="000000"/>
          <w:sz w:val="24"/>
          <w:szCs w:val="24"/>
        </w:rPr>
      </w:pPr>
      <w:bookmarkStart w:id="0" w:name="_GoBack"/>
      <w:bookmarkEnd w:id="0"/>
    </w:p>
    <w:sectPr w:rsidR="00CD74D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166BE8"/>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BCC"/>
    <w:rsid w:val="00484666"/>
    <w:rsid w:val="005322C8"/>
    <w:rsid w:val="008A585A"/>
    <w:rsid w:val="00BB4BCC"/>
    <w:rsid w:val="00CD74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914012-6355-41C9-87AE-EA2E0EE0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ET" w:hAnsi="TimesET" w:cs="TimesET"/>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12137</Words>
  <Characters>6919</Characters>
  <Application>Microsoft Office Word</Application>
  <DocSecurity>0</DocSecurity>
  <Lines>57</Lines>
  <Paragraphs>38</Paragraphs>
  <ScaleCrop>false</ScaleCrop>
  <Company>PERSONAL COMPUTERS</Company>
  <LinksUpToDate>false</LinksUpToDate>
  <CharactersWithSpaces>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противопоказаниям к иммунизации детей</dc:title>
  <dc:subject/>
  <dc:creator>Chemonics</dc:creator>
  <cp:keywords/>
  <dc:description/>
  <cp:lastModifiedBy>admin</cp:lastModifiedBy>
  <cp:revision>2</cp:revision>
  <cp:lastPrinted>1996-09-09T11:48:00Z</cp:lastPrinted>
  <dcterms:created xsi:type="dcterms:W3CDTF">2014-01-26T01:41:00Z</dcterms:created>
  <dcterms:modified xsi:type="dcterms:W3CDTF">2014-01-26T01:41:00Z</dcterms:modified>
</cp:coreProperties>
</file>