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Состояние</w:t>
      </w:r>
      <w:r w:rsidR="00402992">
        <w:rPr>
          <w:szCs w:val="28"/>
        </w:rPr>
        <w:t xml:space="preserve"> </w:t>
      </w:r>
      <w:r w:rsidRPr="008B440E">
        <w:rPr>
          <w:szCs w:val="28"/>
        </w:rPr>
        <w:t xml:space="preserve">рынка продовольственных товаров России и стратегия его развития были рассмотрены на </w:t>
      </w:r>
      <w:r w:rsidRPr="008B440E">
        <w:rPr>
          <w:rStyle w:val="h1news1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заседании президиума Государственного совета Российской Федерации «О вопросах развития агропромышленного комплекса» 17 июня 2005 г. и на </w:t>
      </w:r>
      <w:r w:rsidRPr="008B440E">
        <w:rPr>
          <w:szCs w:val="28"/>
        </w:rPr>
        <w:t xml:space="preserve">заседании Правительства Российской Федерации 9 февраля 2006 г. «О результатах работы Министерства сельского хозяйства Российской Федерации в 2005 году и основных направлениях деятельности на 2006-2008 годы».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Было отмечено, что агропродовольственный рынок является одним из наиболее динамично развивающихся сегментов российского товарного рынка.</w:t>
      </w:r>
      <w:r w:rsidR="008B440E">
        <w:rPr>
          <w:szCs w:val="28"/>
        </w:rPr>
        <w:t xml:space="preserve"> </w:t>
      </w:r>
      <w:r w:rsidRPr="008B440E">
        <w:rPr>
          <w:szCs w:val="28"/>
        </w:rPr>
        <w:t>Объем внутреннего рынка, оцениваемый по показателю оборота розничной торговли продовольственными товарами, за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2000–2004 гг. вырос в 2,3 раза и составил по итогам 2004 года более 2,5 триллионов рублей (около 90 миллиардов долларов США). В общем объеме розничного товарооборота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доля продовольственных товаров составила 45,6%.</w:t>
      </w:r>
    </w:p>
    <w:p w:rsidR="00AD3CF4" w:rsidRPr="008B440E" w:rsidRDefault="00AD3CF4" w:rsidP="008B440E">
      <w:pPr>
        <w:pStyle w:val="af2"/>
        <w:ind w:firstLine="709"/>
        <w:rPr>
          <w:szCs w:val="28"/>
        </w:rPr>
      </w:pPr>
      <w:r w:rsidRPr="008B440E">
        <w:rPr>
          <w:szCs w:val="28"/>
        </w:rPr>
        <w:t>Агропродовольственный рынок имеет значительный потенциал для роста, поскольку по уровню потребления на душу населения основных продуктов питания (за исключением хлеба) Россия отстает от экономически</w:t>
      </w:r>
      <w:r w:rsidR="00402992">
        <w:rPr>
          <w:szCs w:val="28"/>
        </w:rPr>
        <w:t xml:space="preserve"> </w:t>
      </w:r>
      <w:r w:rsidRPr="008B440E">
        <w:rPr>
          <w:szCs w:val="28"/>
        </w:rPr>
        <w:t xml:space="preserve">развитых стран.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Базовым сектором российского агропродовольственного рынка является </w:t>
      </w:r>
      <w:r w:rsidRPr="008B440E">
        <w:rPr>
          <w:b/>
          <w:bCs/>
          <w:szCs w:val="28"/>
        </w:rPr>
        <w:t>рынок зерна</w:t>
      </w:r>
      <w:r w:rsidRPr="008B440E">
        <w:rPr>
          <w:szCs w:val="28"/>
        </w:rPr>
        <w:t>. В 2005 сельскохозяйственном году стабильность ситуации на зерновом рынке определялась высоким уровнем предложения пшеницы и кукурузы в результате значительного прироста их производства.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Активный экспорт оставался фактором, поддерживающим цены внутреннего рынка. С начала 2005г. до 1 мая с.г. было экспортировано 7,2 млн тонн зерна, т.е. на 2 млн тонн больше, чем в 2004 сельскохозяйственном году. В основном, помимо стран СНГ, зерно вывозилось в страны, являющиеся традиционными партнерами России на мировом зерновом рынке.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Снижение цен на зерно в 2004/05 г. послужило основным фактором, позволяющим сдерживать рост цен на хлеб.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Индекс потребительских цен хлеба и хлебобулочных изделий был ниже индекса потребительских цен продовольственных товаров.</w:t>
      </w:r>
    </w:p>
    <w:p w:rsidR="00AD3CF4" w:rsidRPr="008B440E" w:rsidRDefault="00AD3CF4" w:rsidP="008B440E">
      <w:pPr>
        <w:pStyle w:val="af2"/>
        <w:ind w:firstLine="709"/>
        <w:rPr>
          <w:szCs w:val="28"/>
        </w:rPr>
      </w:pPr>
      <w:r w:rsidRPr="008B440E">
        <w:rPr>
          <w:szCs w:val="28"/>
        </w:rPr>
        <w:t>Устойчивые цены на зерно положительно влияют на животноводческий комплекс, поскольку они обеспечивают соответствующий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уровень цен комбикормов. Стабильная ситуация на зерновом рынке не потребовала во второй половине 2004 года принятия мер государственного регулирования, и закупочные интервенции не проводились.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b/>
          <w:bCs/>
          <w:szCs w:val="28"/>
        </w:rPr>
        <w:t>Рынок молока</w:t>
      </w:r>
      <w:r w:rsidRPr="008B440E">
        <w:rPr>
          <w:szCs w:val="28"/>
        </w:rPr>
        <w:t xml:space="preserve"> в 2004 году характеризовался продолжающимся снижением объемов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производства, которое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относительно соответствующего периода прошлого года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составило 4,1%. Действовавшие меры таможенно-тарифного регулирования ввоза молочных продуктов не способствовали снижению импорта, который продолжал расти, особенно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импорт сыра. Удельный вес импорта сыра и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сливочного масла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на российском рынке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оставался значительным, их более высокая ценовая конкурентоспособность явилась сдерживающим фактором роста цен отечественных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производителей на аналогичную продукцию. Рост цен на молоко и молочную продукцию был умеренным.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Основные тенденции, сложившиеся на рынке молока в 2004 году, сохранились и в 2005 году. Продолжалось снижение производства молока, которое по сравнению с 2004 годом составило 3,9 процента. Импорт сыра продолжал расти, а сливочного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масла и молока – сократился.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Доля импорта масла и сыра на российском рынке оставалась высокой. Как и в 2004 году, ценовая ситуация на потребительском рынке молока и молокопродуктов в 2005году была относительно спокойной. Рост потребительских цен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на молоко и молочную продукцию в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2005 г. (3,1%), а также сливочное масло (2,6%) не превышал</w:t>
      </w:r>
      <w:r w:rsidR="00402992">
        <w:rPr>
          <w:szCs w:val="28"/>
        </w:rPr>
        <w:t xml:space="preserve"> </w:t>
      </w:r>
      <w:r w:rsidRPr="008B440E">
        <w:rPr>
          <w:szCs w:val="28"/>
        </w:rPr>
        <w:t xml:space="preserve">индекса инфляции (5,3%). </w:t>
      </w:r>
    </w:p>
    <w:p w:rsidR="00AD3CF4" w:rsidRPr="008B440E" w:rsidRDefault="00AD3CF4" w:rsidP="008B440E">
      <w:pPr>
        <w:pStyle w:val="af2"/>
        <w:ind w:firstLine="709"/>
        <w:rPr>
          <w:szCs w:val="28"/>
        </w:rPr>
      </w:pPr>
      <w:r w:rsidRPr="008B440E">
        <w:rPr>
          <w:szCs w:val="28"/>
        </w:rPr>
        <w:t>По предварительным данным, потребление молока и молочных продуктов на душу населения в 2004 году несколько сократилось по сравнению с 2003 годом и составило 227 кг в год.</w:t>
      </w:r>
      <w:r w:rsidR="00402992">
        <w:rPr>
          <w:szCs w:val="28"/>
        </w:rPr>
        <w:t xml:space="preserve">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b/>
          <w:bCs/>
          <w:szCs w:val="28"/>
        </w:rPr>
        <w:t>Рынок мяса</w:t>
      </w:r>
      <w:r w:rsidRPr="008B440E">
        <w:rPr>
          <w:szCs w:val="28"/>
        </w:rPr>
        <w:t xml:space="preserve"> в 2004 году функционировал в условиях некоторого снижения ресурсов, в основном за счет сокращения поставок по импорту.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Неблагоприятная эпизоотическая ситуация, сложившаяся в ряде стран, привела к росту мировых цен на все виды мяса. Учитывая высокую долю импорта в ресурсах мяса, а также страновой принцип распределения объемов ввоза мяса, это определило его существенное подорожание на внутреннем рынке. В 2005 году на рынке мяса сложилась аналогичная ситуация. Производство мяса относительно соответствующего уровня</w:t>
      </w:r>
      <w:r w:rsidR="00402992">
        <w:rPr>
          <w:szCs w:val="28"/>
        </w:rPr>
        <w:t xml:space="preserve"> </w:t>
      </w:r>
      <w:r w:rsidRPr="008B440E">
        <w:rPr>
          <w:szCs w:val="28"/>
        </w:rPr>
        <w:t xml:space="preserve">сократилось на 2,8%, его импорт также снизился. Сохранение высокого уровня цен на ввозимое в страну мясо, а также сокращение предложения мяса на внутреннем рынке приводит к росту потребительских цен на мясопродукты.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Однако необходимо отметить,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что без повышения цен на мясо невозможно развитие отечественного животноводства и сокращение зависимости от импортных поставок. Кроме того, рост цен на мясном рынке носит временный характер. По мере наращивания внутреннего производства рынок будет насыщаться, что обеспечит стабилизацию цен.</w:t>
      </w:r>
    </w:p>
    <w:p w:rsidR="00AD3CF4" w:rsidRPr="008B440E" w:rsidRDefault="00AD3CF4" w:rsidP="008B440E">
      <w:pPr>
        <w:pStyle w:val="af2"/>
        <w:ind w:firstLine="709"/>
        <w:rPr>
          <w:szCs w:val="28"/>
        </w:rPr>
      </w:pPr>
      <w:r w:rsidRPr="008B440E">
        <w:rPr>
          <w:szCs w:val="28"/>
        </w:rPr>
        <w:t xml:space="preserve">Рост цен на мясном рынке практически не отразился на объемах его потребления. Уровень потребления мяса и мясопродуктов на душу населения в последние 2 года составляет около 52 кг в год.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b/>
          <w:bCs/>
          <w:szCs w:val="28"/>
        </w:rPr>
        <w:t>Производство сахара</w:t>
      </w:r>
      <w:r w:rsidRPr="008B440E">
        <w:rPr>
          <w:szCs w:val="28"/>
        </w:rPr>
        <w:t xml:space="preserve"> в 2004 году сократилось почти на 1 млн тонн, однако произошли положительные сдвиги в его структуре. Выработка сахара из отечественной свеклы увеличилась по сравнению с 2004 годом на 18,4%, а его доля в общем объеме производства достигла 46,4%. Импорт сахара-сырца, начиная с 2002 года, стабильно сокращается. В 2004 году его объем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сократился, по сравнению с 2003 годом почти на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37%, а производство сахара из импортного сырья – на 34%. Одновременно с сокращением объемов импорта сахара-сырца, наблюдалось</w:t>
      </w:r>
      <w:r w:rsidR="00402992">
        <w:rPr>
          <w:szCs w:val="28"/>
        </w:rPr>
        <w:t xml:space="preserve"> </w:t>
      </w:r>
      <w:r w:rsidRPr="008B440E">
        <w:rPr>
          <w:szCs w:val="28"/>
        </w:rPr>
        <w:t xml:space="preserve">увеличение ввоза белого сахара в основном из стран СНГ.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Предложение сахара в 2004 году (без учета запасов) снизилось по сравнению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на 13%. В структуре предложения сахара значительно снизился удельный вес сахара, вырабатываемого из импортного сырья, и впервые за многие годы составил менее половины общего объема.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Положительная динамика отмечается в </w:t>
      </w:r>
      <w:r w:rsidRPr="008B440E">
        <w:rPr>
          <w:b/>
          <w:bCs/>
          <w:szCs w:val="28"/>
        </w:rPr>
        <w:t>масложировом секторе</w:t>
      </w:r>
      <w:r w:rsidRPr="008B440E">
        <w:rPr>
          <w:szCs w:val="28"/>
        </w:rPr>
        <w:t xml:space="preserve">. Ввод новых и модернизация уже существующих маслоперерабатывающих предприятий позволили существенно увеличить мощности заводов и объемы переработанного сырья.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Значительно выросли потребности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в семенах масличных культур. В 2004году было переработано более 3 млн тонн маслосемян, в том числе 2,8 млн. тонн подсолнечника, что на 14,8% и 16,7% соответственно больше, чем в 2003 году. Однако этого объема ресурсов семян было недостаточно для полного удовлетворения возросших потребностей. В результате цены сельхозпроизводителей подсолнечника в 2004 г. были выше, чем в предшествующем году на 24%. В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2005г цены сельхозпроизводителей на маслосемена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продолжали расти.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b/>
          <w:bCs/>
          <w:szCs w:val="28"/>
        </w:rPr>
        <w:t>Рынок растительного масла</w:t>
      </w:r>
      <w:r w:rsidRPr="008B440E">
        <w:rPr>
          <w:szCs w:val="28"/>
        </w:rPr>
        <w:t xml:space="preserve"> сохранялся стабильным в течение всего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2004 года. Пищевая промышленность выработала за 2004 год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1867,4 тыс. тонн подсолнечного масла, что на 17% больше, чем в 2003 году. Кроме того, его было завезено по импорту 161 тыс тонн. Таких объемов товарных ресурсов было достаточно для обеспечения стабильности рынка растительного масла. Поскольку импорт подсолнечного масла в 2004 году был на 20% ниже его объема в 2003 году, это позволило сельскохозяйственным товаропроизводителям поднять цену реализации семян подсолнечника в среднем на 30,6%. Помесячное изменение оптовых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и потребительских цен на подсолнечное масло было незначительным.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Замедление динамики сельскохозяйственного производства во многом объясняется тем, что по отношению к субсидируемому импорту продовольствия продукция отечественных товаропроизводителей оказывается неконкурентоспособной и вытесняется с российского внутреннего рынка.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b/>
          <w:bCs/>
          <w:szCs w:val="28"/>
        </w:rPr>
        <w:t>Объем импорта</w:t>
      </w:r>
      <w:r w:rsidRPr="008B440E">
        <w:rPr>
          <w:szCs w:val="28"/>
        </w:rPr>
        <w:t xml:space="preserve"> продовольственных товаров и сельскохозяйственного сырья (кроме текстильного) по сравнению с 2000г увеличился в 1,6 раза и в 2004г составил около 13 млрд долл. Растет и доля импортного продовольствия на российском рынке продовольственных товаров, которая</w:t>
      </w:r>
      <w:r w:rsidR="00402992">
        <w:rPr>
          <w:szCs w:val="28"/>
        </w:rPr>
        <w:t xml:space="preserve"> </w:t>
      </w:r>
      <w:r w:rsidRPr="008B440E">
        <w:rPr>
          <w:szCs w:val="28"/>
        </w:rPr>
        <w:t xml:space="preserve">без учета продуктов переработки импортного сырья в настоящее время составляет около 34 процентов.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По отдельным сегментам рынка ситуация с зависимостью от импортных поставок различается. Так, по мясу доля импорта составляет около 30%, и имеет тенденцию к снижению. По молочной продукции (в пересчете на молоко) доля импорта не превышает 14%. Однако по отдельным видам молочной продукции (сыр, масло сливочное) удельный вес импорта в ресурсах существенно выше – 33% и 55% соответственно, что позволяет говорить о высокой зависимости от импортных поставок. Низкой зависимостью от импорта характеризуется внутренний рынок хлеба и хлебобулочных изделий, плодоовощной продукции, яиц.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Зависимость от импорта отдельных сегментов агропродовольственного рынка усиливает его нестабильность и обуславливает возможность значительных колебаний рыночной конъюнктуры. Существующий уровень таможенно-тарифной защиты внутреннего рынка не всегда позволяет эффективно защищать интересы отечественных производителей.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Средний уровень импортных тарифов на сельскохозяйственную продукцию и продовольствие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в России находится на среднем, по сравнению с другими странами, уровне (около 12%). Для сравнения, средний уровень тарифной защиты по сельскохозяйственной продукции составляет в США около 12%, в ЕС – 25%.</w:t>
      </w:r>
      <w:r w:rsidR="00402992">
        <w:rPr>
          <w:szCs w:val="28"/>
        </w:rPr>
        <w:t xml:space="preserve">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Ситуация на внутреннем рынке требует как повышения ввозных пошлин на отдельные группы товаров (молочная, масложировая продукция, некоторые другие), так и совершенствования таможенной политики. Это касается необходимости обеспечения должного контроля на границе с государствами СНГ, которые являются источниками незаконного или ненадлежаще оформленного импорта продукции, в том числе мяса и сахара.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Еще одним сдерживающим фактором роста внутреннего рынка является недостаточный уровень развития инфраструктуры, в том числе торговой, что приводит к возникновению монополизма.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Производители в различных сегментах рынка сталкиваются с проблемой сбыта произведенной продукции. Проблемы с транспортировкой, хранением и сбытом произведенной продукции ограничивают географию поставок, в том числе поставок на экспорт.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Крупные сетевые компании применяют жесткие требования к поставщикам продукции, не всегда обоснованные, в том числе по условиям оплаты продукции. Также существуют барьеры для проникновения новых поставщиков в устоявшуюся систему закупки продукции торговыми сетями. Все указанные требования ограничивают возможности российских производителей для поставок продукции и создают преимущества для крупных международных компаний, располагающих значительными финансовыми ресурсами. Это приводит к вытеснению отечественной продукции из ассортимента торговых сетей и замещению ее импортным продовольствием.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В крупных городах в настоящее время активно идет процесс развития оптовой торговли продовольствием, однако владельцами основной доли предприятий оптовой торговли являются иностранные компании.</w:t>
      </w:r>
    </w:p>
    <w:p w:rsidR="00AD3CF4" w:rsidRPr="008B440E" w:rsidRDefault="00AD3CF4" w:rsidP="008B440E">
      <w:pPr>
        <w:pStyle w:val="af2"/>
        <w:ind w:firstLine="709"/>
        <w:rPr>
          <w:szCs w:val="28"/>
        </w:rPr>
      </w:pPr>
      <w:r w:rsidRPr="008B440E">
        <w:rPr>
          <w:szCs w:val="28"/>
        </w:rPr>
        <w:t xml:space="preserve">Высокие издержки производства, отсталая технологическая база и укрепление реального курса рубля сделали продукцию отечественного сельского и рыбного хозяйства, пищевой и перерабатывающей промышленности ограниченно конкурентоспособными (по цене и качеству) по отношению к продовольственным товарам, которыми сегодня насыщен мировой рынок.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Вступление России в ВТО усилит конкуренцию на российском продовольственном рынке, следовательно, возможно сокращение спроса на отечественную сельскохозяйственную продукцию, которая в настоящий момент не может в полной мере конкурировать с зарубежной.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Отрицательным образом на развитии рынка сказывается неопределенность условий вступления во Всемирную торговую организацию (ВТО). В принципе отечественные производители продовольствия имеют возможности для равной конкуренции с зарубежными компаниями, однако отсутствие возможности спрогнозировать условия на рынке через 3–5 лет не</w:t>
      </w:r>
      <w:r w:rsidR="00402992">
        <w:rPr>
          <w:szCs w:val="28"/>
        </w:rPr>
        <w:t xml:space="preserve"> </w:t>
      </w:r>
      <w:r w:rsidRPr="008B440E">
        <w:rPr>
          <w:szCs w:val="28"/>
        </w:rPr>
        <w:t xml:space="preserve">позволяет участникам рынка планировать свою деятельность в среднесрочном периоде, что негативно влияет на инвестиционную привлекательность отрасли.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По расчетам Россельхозакадемии, присоединение к ВТО на диктуемых в настоящее время условиях приведет к снижению доли России в мировом экспорте с 1,3% до 1%, при одновременном увеличении доли в импорте с 1,9% до 2,3%. Суммарный риск снижения конкурентоспособности аграрного сектора России после присоединения к ВТО составит 4 млрд. долларов. </w:t>
      </w:r>
    </w:p>
    <w:p w:rsidR="00AD3CF4" w:rsidRPr="008B440E" w:rsidRDefault="00AD3CF4" w:rsidP="008B440E">
      <w:pPr>
        <w:pStyle w:val="af2"/>
        <w:ind w:firstLine="709"/>
        <w:rPr>
          <w:szCs w:val="28"/>
        </w:rPr>
      </w:pPr>
      <w:r w:rsidRPr="008B440E">
        <w:rPr>
          <w:szCs w:val="28"/>
        </w:rPr>
        <w:t xml:space="preserve">Опыт других стран показывает, что до вступления в ВТО России необходимо максимально защитить агропродовольственный рынок, чтобы избежать негативных последствий экономического характера после присоединения. Эти последствия связаны с открытием внутреннего рынка для импортной продукции. Продовольственные рынки развитых стран демонстрируют гораздо большую устойчивость по сравнению с отечественным, т.к. они жестко регулируются и поддерживаются государством. Важно также и то, что странами-членами ВТО накоплен значительный опыт по применению защитных мер уже в рамках этой организации, и они им активно пользуются.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Минсельхоз России подготовил свои предложения по уровню государственной поддержки при переговорах по вступлению России в ВТО. Предлагаемый Министерством уровень государственной поддержки является оптимальным, с учетом с требований по снижению уровня государственной поддержки после вступления страны в ВТО.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В процессе подготовки к вступлению в ВТО необходимо закрепить за Россией право применения специальных защитных мер, тарифных квот и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экспортных пошлин и использования экспортных субсидий на сельскохозяйственную продукцию.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В настоящее время стабильный рост доходов населения создает предпосылки для дальнейшего расширения российского агропродовольственного рынка. Одновременно продолжается процесс дифференциации населения по уровню доходов, в результате значительная его часть потребляет основные продукты питания в объемах, отстающих от рекомендуемых норм. Если десятипроцентная группа населения с наиболее высокими доходами потребляет в среднем за год 90 кг мяса и мясопродуктов, то с наименьшими доходами – только 26 кг, молока, соответственно более 310 кг и 113 кг, фруктов и ягод - 62 кг и 13 кг.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В этой ситуации необходима поддержка роста объемов производства и качества отечественных продуктов питания, создание условий для увеличения их доли на внутреннем рынке, а также обеспечение доступности основных продуктов питания для всех групп населения.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В соответствии с поручением Правительства России от 30 июля 2004 года МФ -П-13-4480 Минсельхозом России разработана Стратегия развития АПК и рыболовства, которая направлена на обеспечение динамичного, эффективного и устойчивого развития АПК. При реализации Стратегии необходимо ориентироваться на те агропродовольственные рынки, емкость которых будет динамично расти, на те производственно-технологические цепочки, спрос на продукцию которых еще далек от насыщения.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В соответствии с этим определены три основные задачи Стратегии в области АПК: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1. Обеспечение импортозамещения мяса и мясопродуктов в условиях роста потребительского спроса;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2. Развитие зернового экспортного потенциала с учётом роста потребления зерна на внутреннем рынке;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3. Развитие сельских территорий.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Реализация Стратегии требует проведения государством определённых мер программного и непрограммного характера.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К </w:t>
      </w:r>
      <w:r w:rsidRPr="008B440E">
        <w:rPr>
          <w:i/>
          <w:iCs/>
          <w:szCs w:val="28"/>
        </w:rPr>
        <w:t>непрограммным мероприятиям</w:t>
      </w:r>
      <w:r w:rsidRPr="008B440E">
        <w:rPr>
          <w:szCs w:val="28"/>
        </w:rPr>
        <w:t xml:space="preserve"> относится прежде всего развитие институциональной среды.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В </w:t>
      </w:r>
      <w:r w:rsidRPr="008B440E">
        <w:rPr>
          <w:b/>
          <w:bCs/>
          <w:szCs w:val="28"/>
        </w:rPr>
        <w:t>сфере развития рынка мяса и мясопродуктов</w:t>
      </w:r>
      <w:r w:rsidRPr="008B440E">
        <w:rPr>
          <w:szCs w:val="28"/>
        </w:rPr>
        <w:t xml:space="preserve"> это меры внешнеторгового регулирования рынка мяса; стимулирование развития инфраструктуры рынка; преодоление локального монополизма переработчиков и торговых посредников; совершенствование нормативно-правовой базы, обеспечивающей повышение качества продукции.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В </w:t>
      </w:r>
      <w:r w:rsidRPr="008B440E">
        <w:rPr>
          <w:b/>
          <w:bCs/>
          <w:szCs w:val="28"/>
        </w:rPr>
        <w:t>сфере развития зернового рынка</w:t>
      </w:r>
      <w:r w:rsidRPr="008B440E">
        <w:rPr>
          <w:szCs w:val="28"/>
        </w:rPr>
        <w:t xml:space="preserve"> – содействие развитию инфраструктуры рынка, биржевой торговли; обеспечение эффективной внешнеэкономической и внешнеполитической поддержки экспортеров; государственная финансовая поддержка модернизации системы технического регулирования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зернового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производства; упрощение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процедур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оформления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экспортных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операций,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в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том числе на основе принципа «единого окна»;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создание совершенной и стабильной нормативно-правовой базы, регулирующей зерновой рынок.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Программные мероприятия будут реализовываться в рамках федеральных и ведомственных целевых программ.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 xml:space="preserve">Важное значение имеет развитие животноводства в режиме импортозамещения на внутреннем рынке. Основными направлениями решения данной задачи являются снижение зависимости внутреннего рынка от импорта мяса и повышение эффективности молочного животноводства, обеспечивающего увеличение объемов и качества производимого молока. 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В рамках Стратегии предусматривается реализация системы мер поддержки и развития животноводства, включающей в себя меры совершенствования инфраструктуры рынков и развития конкуренции,</w:t>
      </w:r>
      <w:r w:rsidR="00402992">
        <w:rPr>
          <w:szCs w:val="28"/>
        </w:rPr>
        <w:t xml:space="preserve"> </w:t>
      </w:r>
      <w:r w:rsidRPr="008B440E">
        <w:rPr>
          <w:szCs w:val="28"/>
        </w:rPr>
        <w:t>меры таможенно-тарифного и нетарифного регулирования импорта мяса, мясопродуктов и молочных продуктов, меры регулирования рынков аграрной продукции и ресурсов для сельского хозяйства, направленные на поддержание доходов сельскохозяйственных производителей, а также меры по развитию материально-технической базы животноводства и его кадрового обеспечения.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Целью подпрограммы развития экспортного зернового потенциала является обеспечение роста производства зерна, адекватного потребностям животноводства и продовольственного потребления, а также задачам развития экспортного потенциала при стабилизации ценовой ситуации на рынке.</w:t>
      </w:r>
    </w:p>
    <w:p w:rsidR="00AD3CF4" w:rsidRPr="008B440E" w:rsidRDefault="00AD3CF4" w:rsidP="008B440E">
      <w:pPr>
        <w:ind w:firstLine="709"/>
        <w:rPr>
          <w:szCs w:val="28"/>
        </w:rPr>
      </w:pPr>
      <w:r w:rsidRPr="008B440E">
        <w:rPr>
          <w:szCs w:val="28"/>
        </w:rPr>
        <w:t>Достижение установленных целевых показателей позволит удовлетворить растущие потребности животноводства в кормах и обеспечить стабильное присутствие Российской Федерации на мировом рынке в качестве экспортера зерна.</w:t>
      </w:r>
    </w:p>
    <w:p w:rsidR="00AD3CF4" w:rsidRDefault="008B440E" w:rsidP="008B440E">
      <w:pPr>
        <w:pStyle w:val="2"/>
        <w:spacing w:before="0" w:after="0"/>
        <w:ind w:firstLine="1418"/>
        <w:jc w:val="both"/>
        <w:rPr>
          <w:rFonts w:ascii="Times New Roman" w:hAnsi="Times New Roman"/>
          <w:i w:val="0"/>
          <w:sz w:val="28"/>
          <w:szCs w:val="28"/>
        </w:rPr>
      </w:pPr>
      <w:r w:rsidRPr="00402992">
        <w:rPr>
          <w:rFonts w:ascii="Times New Roman" w:hAnsi="Times New Roman"/>
          <w:i w:val="0"/>
          <w:sz w:val="28"/>
          <w:szCs w:val="28"/>
        </w:rPr>
        <w:br w:type="page"/>
      </w:r>
      <w:r>
        <w:rPr>
          <w:rFonts w:ascii="Times New Roman" w:hAnsi="Times New Roman"/>
          <w:i w:val="0"/>
          <w:sz w:val="28"/>
          <w:szCs w:val="28"/>
        </w:rPr>
        <w:t>Литература</w:t>
      </w:r>
    </w:p>
    <w:p w:rsidR="008B440E" w:rsidRPr="008B440E" w:rsidRDefault="008B440E" w:rsidP="008B440E"/>
    <w:p w:rsidR="00AD3CF4" w:rsidRPr="008B440E" w:rsidRDefault="00AD3CF4" w:rsidP="008B440E">
      <w:pPr>
        <w:numPr>
          <w:ilvl w:val="0"/>
          <w:numId w:val="1"/>
        </w:numPr>
        <w:tabs>
          <w:tab w:val="clear" w:pos="1191"/>
          <w:tab w:val="num" w:pos="1418"/>
        </w:tabs>
        <w:ind w:left="1418" w:hanging="709"/>
        <w:rPr>
          <w:szCs w:val="28"/>
        </w:rPr>
      </w:pPr>
      <w:r w:rsidRPr="008B440E">
        <w:rPr>
          <w:rStyle w:val="a5"/>
          <w:color w:val="auto"/>
          <w:szCs w:val="28"/>
          <w:u w:val="none"/>
        </w:rPr>
        <w:t>Войдет ли Россия в “Продовольственную Антанту”</w:t>
      </w:r>
      <w:r w:rsidRPr="008B440E">
        <w:rPr>
          <w:rStyle w:val="a5"/>
          <w:b/>
          <w:bCs/>
          <w:color w:val="auto"/>
          <w:szCs w:val="28"/>
          <w:u w:val="none"/>
        </w:rPr>
        <w:t xml:space="preserve">. </w:t>
      </w:r>
      <w:r w:rsidRPr="008B440E">
        <w:rPr>
          <w:rStyle w:val="a5"/>
          <w:color w:val="auto"/>
          <w:szCs w:val="28"/>
          <w:u w:val="none"/>
        </w:rPr>
        <w:t xml:space="preserve">// </w:t>
      </w:r>
      <w:r w:rsidRPr="008B440E">
        <w:rPr>
          <w:szCs w:val="28"/>
        </w:rPr>
        <w:t>Журнал «Торгпред».- 2002.-№ 3(9). – С.15-16.</w:t>
      </w:r>
    </w:p>
    <w:p w:rsidR="00AD3CF4" w:rsidRPr="008B440E" w:rsidRDefault="00AD3CF4" w:rsidP="008B440E">
      <w:pPr>
        <w:numPr>
          <w:ilvl w:val="0"/>
          <w:numId w:val="1"/>
        </w:numPr>
        <w:tabs>
          <w:tab w:val="clear" w:pos="1191"/>
          <w:tab w:val="num" w:pos="1418"/>
        </w:tabs>
        <w:ind w:left="1418" w:hanging="709"/>
        <w:rPr>
          <w:color w:val="000000"/>
          <w:szCs w:val="28"/>
        </w:rPr>
      </w:pPr>
      <w:r w:rsidRPr="008B440E">
        <w:rPr>
          <w:szCs w:val="28"/>
        </w:rPr>
        <w:t>Гумеров Р. К разработке методолого-теоретических проблем исследования продовольственной безопасности России// Российский экономический журнал. -2003. -№7. - С. 10—12.</w:t>
      </w:r>
    </w:p>
    <w:p w:rsidR="00AD3CF4" w:rsidRPr="008B440E" w:rsidRDefault="00AD3CF4" w:rsidP="008B440E">
      <w:pPr>
        <w:numPr>
          <w:ilvl w:val="0"/>
          <w:numId w:val="1"/>
        </w:numPr>
        <w:tabs>
          <w:tab w:val="clear" w:pos="1191"/>
          <w:tab w:val="num" w:pos="1418"/>
        </w:tabs>
        <w:ind w:left="1418" w:hanging="709"/>
        <w:rPr>
          <w:color w:val="000000"/>
          <w:szCs w:val="28"/>
        </w:rPr>
      </w:pPr>
      <w:r w:rsidRPr="008B440E">
        <w:rPr>
          <w:szCs w:val="28"/>
        </w:rPr>
        <w:t xml:space="preserve">Доклад «О результатах работы Министерства сельского хозяйства Российской Федерации в 2005 году и основных направлениях деятельности на 2006-2008 годы». Заседание Правительства Российской Федерации 9 февраля 2006 г. // </w:t>
      </w:r>
      <w:r w:rsidRPr="001C617A">
        <w:rPr>
          <w:szCs w:val="28"/>
        </w:rPr>
        <w:t>http://www.pravitelstvo.gov.ru/</w:t>
      </w:r>
      <w:r w:rsidRPr="008B440E">
        <w:rPr>
          <w:color w:val="000000"/>
          <w:szCs w:val="28"/>
        </w:rPr>
        <w:t xml:space="preserve"> </w:t>
      </w:r>
    </w:p>
    <w:p w:rsidR="00AD3CF4" w:rsidRPr="008B440E" w:rsidRDefault="00AD3CF4" w:rsidP="008B440E">
      <w:pPr>
        <w:numPr>
          <w:ilvl w:val="0"/>
          <w:numId w:val="1"/>
        </w:numPr>
        <w:tabs>
          <w:tab w:val="clear" w:pos="1191"/>
          <w:tab w:val="num" w:pos="1418"/>
        </w:tabs>
        <w:ind w:left="1418" w:hanging="709"/>
        <w:rPr>
          <w:szCs w:val="28"/>
        </w:rPr>
      </w:pPr>
      <w:r w:rsidRPr="008B440E">
        <w:rPr>
          <w:szCs w:val="28"/>
        </w:rPr>
        <w:t xml:space="preserve">Доклад «Об актуальных проблемах развития сельского хозяйства Российской Федерации». </w:t>
      </w:r>
      <w:r w:rsidRPr="008B440E">
        <w:rPr>
          <w:rStyle w:val="h1news1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Заседание президиума Государственного совета «О вопросах развития агропромышленного комплекса» </w:t>
      </w:r>
      <w:r w:rsidRPr="008B440E">
        <w:rPr>
          <w:szCs w:val="28"/>
        </w:rPr>
        <w:t xml:space="preserve">17 июня 2005 года // </w:t>
      </w:r>
      <w:r w:rsidRPr="001C617A">
        <w:rPr>
          <w:szCs w:val="28"/>
        </w:rPr>
        <w:t>http://www.kremlin.ru</w:t>
      </w:r>
      <w:r w:rsidRPr="008B440E">
        <w:rPr>
          <w:szCs w:val="28"/>
        </w:rPr>
        <w:t>.</w:t>
      </w:r>
      <w:r w:rsidR="00402992">
        <w:rPr>
          <w:szCs w:val="28"/>
        </w:rPr>
        <w:t xml:space="preserve"> </w:t>
      </w:r>
      <w:r w:rsidR="008B440E">
        <w:rPr>
          <w:szCs w:val="28"/>
        </w:rPr>
        <w:t xml:space="preserve"> </w:t>
      </w:r>
    </w:p>
    <w:p w:rsidR="00AD3CF4" w:rsidRPr="008B440E" w:rsidRDefault="00AD3CF4" w:rsidP="008B440E">
      <w:pPr>
        <w:numPr>
          <w:ilvl w:val="0"/>
          <w:numId w:val="1"/>
        </w:numPr>
        <w:tabs>
          <w:tab w:val="clear" w:pos="1191"/>
          <w:tab w:val="num" w:pos="1418"/>
        </w:tabs>
        <w:ind w:left="1418" w:hanging="709"/>
        <w:rPr>
          <w:b/>
          <w:bCs/>
          <w:color w:val="999999"/>
          <w:szCs w:val="28"/>
        </w:rPr>
      </w:pPr>
      <w:r w:rsidRPr="008B440E">
        <w:rPr>
          <w:szCs w:val="28"/>
        </w:rPr>
        <w:t>Соколов Д</w:t>
      </w:r>
      <w:r w:rsidR="001C617A" w:rsidRPr="001C617A">
        <w:t>http://www.sugarinfo.ru/prodrazverstka/index.php?module=subjects&amp;func=viewpage&amp;pageid=18</w:t>
      </w:r>
      <w:r w:rsidRPr="008B440E">
        <w:rPr>
          <w:szCs w:val="28"/>
        </w:rPr>
        <w:t xml:space="preserve">. </w:t>
      </w:r>
      <w:r w:rsidRPr="001C617A">
        <w:rPr>
          <w:szCs w:val="28"/>
        </w:rPr>
        <w:t>Основные методы государственного регулирования продовольственных рынков</w:t>
      </w:r>
      <w:r w:rsidRPr="008B440E">
        <w:rPr>
          <w:b/>
          <w:bCs/>
          <w:color w:val="999999"/>
          <w:szCs w:val="28"/>
        </w:rPr>
        <w:t xml:space="preserve">. </w:t>
      </w:r>
      <w:r w:rsidRPr="008B440E">
        <w:rPr>
          <w:szCs w:val="28"/>
        </w:rPr>
        <w:t>// http://www.sugarinfo.ru/</w:t>
      </w:r>
      <w:r w:rsidRPr="008B440E">
        <w:rPr>
          <w:b/>
          <w:bCs/>
          <w:color w:val="999999"/>
          <w:szCs w:val="28"/>
        </w:rPr>
        <w:t xml:space="preserve"> </w:t>
      </w:r>
    </w:p>
    <w:p w:rsidR="00AD3CF4" w:rsidRPr="008B440E" w:rsidRDefault="00AD3CF4" w:rsidP="008B440E">
      <w:pPr>
        <w:numPr>
          <w:ilvl w:val="0"/>
          <w:numId w:val="1"/>
        </w:numPr>
        <w:tabs>
          <w:tab w:val="clear" w:pos="1191"/>
          <w:tab w:val="num" w:pos="1418"/>
        </w:tabs>
        <w:ind w:left="1418" w:hanging="709"/>
        <w:rPr>
          <w:b/>
          <w:bCs/>
          <w:szCs w:val="28"/>
        </w:rPr>
      </w:pPr>
      <w:r w:rsidRPr="008B440E">
        <w:rPr>
          <w:rStyle w:val="txtsel1"/>
          <w:rFonts w:ascii="Times New Roman" w:hAnsi="Times New Roman"/>
          <w:b w:val="0"/>
          <w:bCs w:val="0"/>
          <w:sz w:val="28"/>
          <w:szCs w:val="28"/>
        </w:rPr>
        <w:t>Ушачев И. Г.</w:t>
      </w:r>
      <w:r w:rsidRPr="008B440E">
        <w:rPr>
          <w:rStyle w:val="txtbig1"/>
          <w:rFonts w:ascii="Times New Roman" w:hAnsi="Times New Roman"/>
          <w:sz w:val="28"/>
          <w:szCs w:val="28"/>
        </w:rPr>
        <w:t xml:space="preserve"> </w:t>
      </w:r>
      <w:r w:rsidRPr="008B440E">
        <w:rPr>
          <w:rStyle w:val="txtbig1"/>
          <w:rFonts w:ascii="Times New Roman" w:hAnsi="Times New Roman"/>
          <w:b w:val="0"/>
          <w:bCs w:val="0"/>
          <w:sz w:val="28"/>
          <w:szCs w:val="28"/>
        </w:rPr>
        <w:t>Роль и место сельского хозяйства в экономике России.// Агроинформ.- 2005.- №4. – С.32-34.</w:t>
      </w:r>
      <w:bookmarkStart w:id="0" w:name="_GoBack"/>
      <w:bookmarkEnd w:id="0"/>
    </w:p>
    <w:sectPr w:rsidR="00AD3CF4" w:rsidRPr="008B440E" w:rsidSect="008B440E">
      <w:headerReference w:type="even" r:id="rId7"/>
      <w:pgSz w:w="11906" w:h="16838"/>
      <w:pgMar w:top="1134" w:right="851" w:bottom="1134" w:left="1701" w:header="510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66B3" w:rsidRDefault="004F66B3">
      <w:pPr>
        <w:spacing w:line="240" w:lineRule="auto"/>
      </w:pPr>
      <w:r>
        <w:separator/>
      </w:r>
    </w:p>
  </w:endnote>
  <w:endnote w:type="continuationSeparator" w:id="0">
    <w:p w:rsidR="004F66B3" w:rsidRDefault="004F66B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66B3" w:rsidRDefault="004F66B3">
      <w:pPr>
        <w:spacing w:line="240" w:lineRule="auto"/>
      </w:pPr>
      <w:r>
        <w:separator/>
      </w:r>
    </w:p>
  </w:footnote>
  <w:footnote w:type="continuationSeparator" w:id="0">
    <w:p w:rsidR="004F66B3" w:rsidRDefault="004F66B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3CF4" w:rsidRDefault="00AD3CF4">
    <w:pPr>
      <w:pStyle w:val="a3"/>
      <w:framePr w:wrap="around" w:vAnchor="text" w:hAnchor="margin" w:xAlign="right" w:y="1"/>
      <w:rPr>
        <w:rStyle w:val="af"/>
      </w:rPr>
    </w:pPr>
  </w:p>
  <w:p w:rsidR="00AD3CF4" w:rsidRDefault="00AD3CF4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4F6446"/>
    <w:multiLevelType w:val="hybridMultilevel"/>
    <w:tmpl w:val="22940F96"/>
    <w:lvl w:ilvl="0" w:tplc="3D5EC1BC">
      <w:start w:val="1"/>
      <w:numFmt w:val="decimal"/>
      <w:lvlText w:val="%1."/>
      <w:lvlJc w:val="left"/>
      <w:pPr>
        <w:tabs>
          <w:tab w:val="num" w:pos="1191"/>
        </w:tabs>
        <w:ind w:left="1191" w:hanging="398"/>
      </w:pPr>
      <w:rPr>
        <w:rFonts w:ascii="Times New Roman" w:hAnsi="Times New Roman" w:cs="Times New Roman" w:hint="default"/>
        <w:b w:val="0"/>
        <w:i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20"/>
        </w:tabs>
        <w:ind w:left="21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40"/>
        </w:tabs>
        <w:ind w:left="28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60"/>
        </w:tabs>
        <w:ind w:left="35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80"/>
        </w:tabs>
        <w:ind w:left="42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00"/>
        </w:tabs>
        <w:ind w:left="50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20"/>
        </w:tabs>
        <w:ind w:left="57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40"/>
        </w:tabs>
        <w:ind w:left="64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60"/>
        </w:tabs>
        <w:ind w:left="716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357"/>
  <w:drawingGridHorizontalSpacing w:val="109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440E"/>
    <w:rsid w:val="00023FBE"/>
    <w:rsid w:val="0013711F"/>
    <w:rsid w:val="001C617A"/>
    <w:rsid w:val="00402992"/>
    <w:rsid w:val="004F66B3"/>
    <w:rsid w:val="008B440E"/>
    <w:rsid w:val="00AD3CF4"/>
    <w:rsid w:val="00ED3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FA71C63-2574-4915-8E98-B7468BE21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360" w:lineRule="auto"/>
      <w:ind w:firstLine="680"/>
      <w:jc w:val="both"/>
    </w:pPr>
    <w:rPr>
      <w:sz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uppressAutoHyphens/>
      <w:spacing w:before="240" w:after="60"/>
      <w:jc w:val="center"/>
      <w:outlineLvl w:val="0"/>
    </w:pPr>
    <w:rPr>
      <w:rFonts w:ascii="Arial" w:hAnsi="Arial"/>
      <w:b/>
      <w:i/>
      <w:caps/>
      <w:kern w:val="28"/>
      <w:sz w:val="36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suppressAutoHyphens/>
      <w:spacing w:before="240" w:after="60"/>
      <w:jc w:val="center"/>
      <w:outlineLvl w:val="1"/>
    </w:pPr>
    <w:rPr>
      <w:rFonts w:ascii="Arial" w:hAnsi="Arial"/>
      <w:b/>
      <w:i/>
      <w:shadow/>
      <w:sz w:val="32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uppressAutoHyphens/>
      <w:spacing w:before="240" w:after="60"/>
      <w:jc w:val="center"/>
      <w:outlineLvl w:val="2"/>
    </w:pPr>
    <w:rPr>
      <w:rFonts w:ascii="Arial" w:hAnsi="Arial"/>
      <w:shadow/>
    </w:rPr>
  </w:style>
  <w:style w:type="paragraph" w:styleId="4">
    <w:name w:val="heading 4"/>
    <w:basedOn w:val="a"/>
    <w:next w:val="a"/>
    <w:link w:val="40"/>
    <w:uiPriority w:val="9"/>
    <w:qFormat/>
    <w:pPr>
      <w:keepNext/>
      <w:keepLines/>
      <w:suppressAutoHyphens/>
      <w:spacing w:before="120"/>
      <w:jc w:val="center"/>
      <w:outlineLvl w:val="3"/>
    </w:pPr>
    <w:rPr>
      <w:b/>
      <w:smallCaps/>
      <w:spacing w:val="4"/>
      <w:kern w:val="28"/>
    </w:rPr>
  </w:style>
  <w:style w:type="paragraph" w:styleId="5">
    <w:name w:val="heading 5"/>
    <w:basedOn w:val="a"/>
    <w:next w:val="a"/>
    <w:link w:val="50"/>
    <w:uiPriority w:val="9"/>
    <w:qFormat/>
    <w:pPr>
      <w:keepNext/>
      <w:keepLines/>
      <w:suppressAutoHyphens/>
      <w:outlineLvl w:val="4"/>
    </w:pPr>
    <w:rPr>
      <w:rFonts w:ascii="Arial" w:hAnsi="Arial"/>
      <w:emboss/>
      <w:color w:val="000000"/>
      <w:spacing w:val="4"/>
      <w:kern w:val="28"/>
    </w:rPr>
  </w:style>
  <w:style w:type="paragraph" w:styleId="6">
    <w:name w:val="heading 6"/>
    <w:basedOn w:val="a"/>
    <w:next w:val="a"/>
    <w:link w:val="60"/>
    <w:uiPriority w:val="9"/>
    <w:qFormat/>
    <w:pPr>
      <w:keepNext/>
      <w:keepLines/>
      <w:suppressAutoHyphens/>
      <w:outlineLvl w:val="5"/>
    </w:pPr>
    <w:rPr>
      <w:rFonts w:ascii="Arial" w:hAnsi="Arial"/>
      <w:i/>
      <w:color w:val="000000"/>
      <w:spacing w:val="4"/>
      <w:kern w:val="28"/>
    </w:rPr>
  </w:style>
  <w:style w:type="paragraph" w:styleId="9">
    <w:name w:val="heading 9"/>
    <w:basedOn w:val="a"/>
    <w:next w:val="a"/>
    <w:link w:val="90"/>
    <w:uiPriority w:val="9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sz w:val="22"/>
      <w:szCs w:val="22"/>
    </w:rPr>
  </w:style>
  <w:style w:type="paragraph" w:styleId="a3">
    <w:name w:val="header"/>
    <w:basedOn w:val="a"/>
    <w:link w:val="a4"/>
    <w:uiPriority w:val="99"/>
    <w:semiHidden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8"/>
    </w:rPr>
  </w:style>
  <w:style w:type="character" w:styleId="a5">
    <w:name w:val="Hyperlink"/>
    <w:uiPriority w:val="99"/>
    <w:semiHidden/>
    <w:rPr>
      <w:rFonts w:cs="Times New Roman"/>
      <w:color w:val="0000FF"/>
      <w:u w:val="single"/>
    </w:rPr>
  </w:style>
  <w:style w:type="paragraph" w:customStyle="1" w:styleId="a6">
    <w:name w:val="Заголовок приложения"/>
    <w:basedOn w:val="a"/>
    <w:next w:val="a"/>
    <w:pPr>
      <w:keepNext/>
      <w:keepLines/>
      <w:pageBreakBefore/>
      <w:suppressAutoHyphens/>
      <w:jc w:val="right"/>
    </w:pPr>
    <w:rPr>
      <w:caps/>
      <w:shadow/>
      <w:color w:val="000000"/>
    </w:rPr>
  </w:style>
  <w:style w:type="paragraph" w:customStyle="1" w:styleId="a7">
    <w:name w:val="Заголовок реферата"/>
    <w:basedOn w:val="a"/>
    <w:next w:val="a"/>
    <w:pPr>
      <w:suppressAutoHyphens/>
      <w:spacing w:before="120"/>
      <w:jc w:val="center"/>
    </w:pPr>
    <w:rPr>
      <w:rFonts w:ascii="Arial" w:hAnsi="Arial"/>
      <w:b/>
      <w:i/>
      <w:caps/>
      <w:emboss/>
      <w:color w:val="000000"/>
      <w:sz w:val="32"/>
    </w:rPr>
  </w:style>
  <w:style w:type="paragraph" w:customStyle="1" w:styleId="a8">
    <w:name w:val="Заголовок содержания"/>
    <w:basedOn w:val="a"/>
    <w:next w:val="a"/>
    <w:pPr>
      <w:keepNext/>
      <w:keepLines/>
      <w:pageBreakBefore/>
      <w:suppressAutoHyphens/>
      <w:spacing w:before="240" w:after="80"/>
      <w:jc w:val="center"/>
    </w:pPr>
    <w:rPr>
      <w:rFonts w:ascii="Bookman Old Style" w:hAnsi="Bookman Old Style"/>
      <w:b/>
      <w:i/>
      <w:imprint/>
      <w:color w:val="000000"/>
    </w:rPr>
  </w:style>
  <w:style w:type="character" w:styleId="a9">
    <w:name w:val="endnote reference"/>
    <w:uiPriority w:val="99"/>
    <w:semiHidden/>
    <w:rPr>
      <w:rFonts w:cs="Times New Roman"/>
      <w:vertAlign w:val="superscript"/>
    </w:rPr>
  </w:style>
  <w:style w:type="character" w:styleId="aa">
    <w:name w:val="footnote reference"/>
    <w:uiPriority w:val="99"/>
    <w:semiHidden/>
    <w:rPr>
      <w:rFonts w:cs="Times New Roman"/>
      <w:vertAlign w:val="superscript"/>
    </w:rPr>
  </w:style>
  <w:style w:type="paragraph" w:customStyle="1" w:styleId="ab">
    <w:name w:val="Мой стиль"/>
    <w:pPr>
      <w:spacing w:line="360" w:lineRule="auto"/>
      <w:ind w:firstLine="907"/>
      <w:jc w:val="both"/>
    </w:pPr>
    <w:rPr>
      <w:rFonts w:ascii="Verdana" w:hAnsi="Verdana"/>
      <w:noProof/>
      <w:sz w:val="24"/>
    </w:rPr>
  </w:style>
  <w:style w:type="paragraph" w:customStyle="1" w:styleId="ac">
    <w:name w:val="Название приложения"/>
    <w:basedOn w:val="a"/>
    <w:next w:val="a"/>
    <w:pPr>
      <w:keepNext/>
      <w:keepLines/>
      <w:suppressAutoHyphens/>
      <w:jc w:val="center"/>
    </w:pPr>
    <w:rPr>
      <w:shadow/>
      <w:color w:val="000000"/>
    </w:rPr>
  </w:style>
  <w:style w:type="paragraph" w:customStyle="1" w:styleId="ad">
    <w:name w:val="Подпись к таблице"/>
    <w:basedOn w:val="a"/>
    <w:pPr>
      <w:jc w:val="right"/>
    </w:pPr>
  </w:style>
  <w:style w:type="paragraph" w:customStyle="1" w:styleId="ae">
    <w:name w:val="Название таблицы"/>
    <w:basedOn w:val="ad"/>
    <w:next w:val="a"/>
    <w:pPr>
      <w:jc w:val="center"/>
    </w:pPr>
  </w:style>
  <w:style w:type="character" w:styleId="af">
    <w:name w:val="page number"/>
    <w:uiPriority w:val="99"/>
    <w:semiHidden/>
    <w:rPr>
      <w:rFonts w:cs="Times New Roman"/>
    </w:rPr>
  </w:style>
  <w:style w:type="paragraph" w:styleId="11">
    <w:name w:val="toc 1"/>
    <w:basedOn w:val="a"/>
    <w:next w:val="a"/>
    <w:autoRedefine/>
    <w:uiPriority w:val="39"/>
    <w:semiHidden/>
  </w:style>
  <w:style w:type="paragraph" w:styleId="21">
    <w:name w:val="toc 2"/>
    <w:basedOn w:val="a"/>
    <w:next w:val="a"/>
    <w:autoRedefine/>
    <w:uiPriority w:val="39"/>
    <w:semiHidden/>
    <w:pPr>
      <w:ind w:left="280"/>
    </w:pPr>
  </w:style>
  <w:style w:type="paragraph" w:styleId="31">
    <w:name w:val="toc 3"/>
    <w:basedOn w:val="a"/>
    <w:next w:val="a"/>
    <w:autoRedefine/>
    <w:uiPriority w:val="39"/>
    <w:semiHidden/>
    <w:pPr>
      <w:ind w:left="560"/>
    </w:pPr>
  </w:style>
  <w:style w:type="paragraph" w:styleId="41">
    <w:name w:val="toc 4"/>
    <w:basedOn w:val="a"/>
    <w:next w:val="a"/>
    <w:autoRedefine/>
    <w:uiPriority w:val="39"/>
    <w:semiHidden/>
    <w:pPr>
      <w:ind w:left="840"/>
    </w:pPr>
  </w:style>
  <w:style w:type="paragraph" w:styleId="51">
    <w:name w:val="toc 5"/>
    <w:basedOn w:val="a"/>
    <w:next w:val="a"/>
    <w:autoRedefine/>
    <w:uiPriority w:val="39"/>
    <w:semiHidden/>
    <w:pPr>
      <w:ind w:left="1120"/>
    </w:pPr>
  </w:style>
  <w:style w:type="paragraph" w:styleId="61">
    <w:name w:val="toc 6"/>
    <w:basedOn w:val="a"/>
    <w:next w:val="a"/>
    <w:autoRedefine/>
    <w:uiPriority w:val="39"/>
    <w:semiHidden/>
    <w:pPr>
      <w:ind w:left="1400"/>
    </w:pPr>
  </w:style>
  <w:style w:type="paragraph" w:styleId="7">
    <w:name w:val="toc 7"/>
    <w:basedOn w:val="a"/>
    <w:next w:val="a"/>
    <w:autoRedefine/>
    <w:uiPriority w:val="39"/>
    <w:semiHidden/>
    <w:pPr>
      <w:ind w:left="1680"/>
    </w:pPr>
  </w:style>
  <w:style w:type="paragraph" w:styleId="8">
    <w:name w:val="toc 8"/>
    <w:basedOn w:val="a"/>
    <w:next w:val="a"/>
    <w:autoRedefine/>
    <w:uiPriority w:val="39"/>
    <w:semiHidden/>
    <w:pPr>
      <w:ind w:left="1960"/>
    </w:pPr>
  </w:style>
  <w:style w:type="paragraph" w:styleId="91">
    <w:name w:val="toc 9"/>
    <w:basedOn w:val="a"/>
    <w:next w:val="a"/>
    <w:autoRedefine/>
    <w:uiPriority w:val="39"/>
    <w:semiHidden/>
    <w:pPr>
      <w:ind w:left="2240"/>
    </w:pPr>
  </w:style>
  <w:style w:type="paragraph" w:styleId="af0">
    <w:name w:val="Body Text"/>
    <w:basedOn w:val="a"/>
    <w:link w:val="af1"/>
    <w:uiPriority w:val="99"/>
    <w:semiHidden/>
    <w:pPr>
      <w:ind w:firstLine="0"/>
    </w:pPr>
    <w:rPr>
      <w:b/>
    </w:rPr>
  </w:style>
  <w:style w:type="character" w:customStyle="1" w:styleId="af1">
    <w:name w:val="Основной текст Знак"/>
    <w:link w:val="af0"/>
    <w:uiPriority w:val="99"/>
    <w:semiHidden/>
    <w:rPr>
      <w:sz w:val="28"/>
    </w:rPr>
  </w:style>
  <w:style w:type="paragraph" w:styleId="22">
    <w:name w:val="Body Text 2"/>
    <w:basedOn w:val="a"/>
    <w:link w:val="23"/>
    <w:uiPriority w:val="99"/>
    <w:semiHidden/>
    <w:pPr>
      <w:ind w:firstLine="0"/>
    </w:pPr>
  </w:style>
  <w:style w:type="character" w:customStyle="1" w:styleId="23">
    <w:name w:val="Основной текст 2 Знак"/>
    <w:link w:val="22"/>
    <w:uiPriority w:val="99"/>
    <w:semiHidden/>
    <w:rPr>
      <w:sz w:val="28"/>
    </w:rPr>
  </w:style>
  <w:style w:type="paragraph" w:styleId="af2">
    <w:name w:val="Body Text Indent"/>
    <w:basedOn w:val="a"/>
    <w:link w:val="af3"/>
    <w:uiPriority w:val="99"/>
    <w:semiHidden/>
  </w:style>
  <w:style w:type="character" w:customStyle="1" w:styleId="af3">
    <w:name w:val="Основной текст с отступом Знак"/>
    <w:link w:val="af2"/>
    <w:uiPriority w:val="99"/>
    <w:semiHidden/>
    <w:rPr>
      <w:sz w:val="28"/>
    </w:rPr>
  </w:style>
  <w:style w:type="paragraph" w:styleId="32">
    <w:name w:val="Body Text Indent 3"/>
    <w:basedOn w:val="a"/>
    <w:link w:val="33"/>
    <w:uiPriority w:val="99"/>
    <w:semiHidden/>
    <w:pPr>
      <w:ind w:left="680" w:firstLine="0"/>
    </w:pPr>
    <w:rPr>
      <w:color w:val="000000"/>
    </w:r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paragraph" w:customStyle="1" w:styleId="af4">
    <w:name w:val="Подпись к рисунку"/>
    <w:basedOn w:val="a"/>
    <w:pPr>
      <w:keepLines/>
      <w:suppressAutoHyphens/>
      <w:spacing w:after="360"/>
      <w:ind w:firstLine="0"/>
      <w:jc w:val="center"/>
    </w:pPr>
    <w:rPr>
      <w:sz w:val="24"/>
    </w:rPr>
  </w:style>
  <w:style w:type="paragraph" w:customStyle="1" w:styleId="af5">
    <w:name w:val="Пример"/>
    <w:basedOn w:val="a"/>
    <w:pPr>
      <w:spacing w:after="120"/>
      <w:ind w:left="284" w:right="4251"/>
    </w:pPr>
    <w:rPr>
      <w:rFonts w:ascii="Courier New" w:hAnsi="Courier New"/>
      <w:emboss/>
      <w:color w:val="000000"/>
      <w:kern w:val="28"/>
      <w:lang w:val="en-US"/>
    </w:rPr>
  </w:style>
  <w:style w:type="character" w:customStyle="1" w:styleId="af6">
    <w:name w:val="Пример (символ)"/>
    <w:rPr>
      <w:rFonts w:ascii="Courier" w:hAnsi="Courier" w:cs="Times New Roman"/>
      <w:sz w:val="26"/>
    </w:rPr>
  </w:style>
  <w:style w:type="paragraph" w:styleId="af7">
    <w:name w:val="Plain Text"/>
    <w:basedOn w:val="a"/>
    <w:link w:val="af8"/>
    <w:uiPriority w:val="99"/>
    <w:semiHidden/>
    <w:rPr>
      <w:rFonts w:ascii="Courier New" w:hAnsi="Courier New"/>
      <w:sz w:val="20"/>
    </w:rPr>
  </w:style>
  <w:style w:type="character" w:customStyle="1" w:styleId="af8">
    <w:name w:val="Текст Знак"/>
    <w:link w:val="af7"/>
    <w:uiPriority w:val="99"/>
    <w:semiHidden/>
    <w:rPr>
      <w:rFonts w:ascii="Courier New" w:hAnsi="Courier New" w:cs="Courier New"/>
    </w:rPr>
  </w:style>
  <w:style w:type="paragraph" w:styleId="af9">
    <w:name w:val="endnote text"/>
    <w:basedOn w:val="a"/>
    <w:link w:val="afa"/>
    <w:uiPriority w:val="99"/>
    <w:semiHidden/>
  </w:style>
  <w:style w:type="character" w:customStyle="1" w:styleId="afa">
    <w:name w:val="Текст концевой сноски Знак"/>
    <w:link w:val="af9"/>
    <w:uiPriority w:val="99"/>
    <w:semiHidden/>
  </w:style>
  <w:style w:type="paragraph" w:styleId="afb">
    <w:name w:val="footnote text"/>
    <w:basedOn w:val="a"/>
    <w:link w:val="afc"/>
    <w:uiPriority w:val="99"/>
    <w:semiHidden/>
    <w:rPr>
      <w:sz w:val="20"/>
    </w:rPr>
  </w:style>
  <w:style w:type="character" w:customStyle="1" w:styleId="afc">
    <w:name w:val="Текст сноски Знак"/>
    <w:link w:val="afb"/>
    <w:uiPriority w:val="99"/>
    <w:semiHidden/>
  </w:style>
  <w:style w:type="paragraph" w:customStyle="1" w:styleId="afd">
    <w:name w:val="Экспликация"/>
    <w:basedOn w:val="a"/>
    <w:next w:val="a"/>
    <w:pPr>
      <w:tabs>
        <w:tab w:val="left" w:pos="1276"/>
      </w:tabs>
      <w:ind w:left="907" w:firstLine="0"/>
    </w:pPr>
    <w:rPr>
      <w:sz w:val="20"/>
      <w:lang w:val="en-US"/>
    </w:rPr>
  </w:style>
  <w:style w:type="paragraph" w:customStyle="1" w:styleId="rvps698610">
    <w:name w:val="rvps698610"/>
    <w:basedOn w:val="a"/>
    <w:pPr>
      <w:spacing w:after="150" w:line="240" w:lineRule="auto"/>
      <w:ind w:right="300" w:firstLine="0"/>
      <w:jc w:val="left"/>
    </w:pPr>
    <w:rPr>
      <w:sz w:val="24"/>
      <w:szCs w:val="24"/>
    </w:rPr>
  </w:style>
  <w:style w:type="character" w:customStyle="1" w:styleId="h1news1">
    <w:name w:val="h1_news1"/>
    <w:rPr>
      <w:rFonts w:ascii="Arial" w:hAnsi="Arial" w:cs="Arial"/>
      <w:b/>
      <w:bCs/>
      <w:color w:val="666666"/>
      <w:sz w:val="30"/>
      <w:szCs w:val="30"/>
    </w:rPr>
  </w:style>
  <w:style w:type="character" w:styleId="afe">
    <w:name w:val="FollowedHyperlink"/>
    <w:uiPriority w:val="99"/>
    <w:semiHidden/>
    <w:rPr>
      <w:rFonts w:cs="Times New Roman"/>
      <w:color w:val="800080"/>
      <w:u w:val="single"/>
    </w:rPr>
  </w:style>
  <w:style w:type="character" w:customStyle="1" w:styleId="txtsel1">
    <w:name w:val="txtsel1"/>
    <w:rPr>
      <w:rFonts w:ascii="Verdana" w:hAnsi="Verdana" w:cs="Times New Roman"/>
      <w:b/>
      <w:bCs/>
      <w:sz w:val="24"/>
      <w:szCs w:val="24"/>
    </w:rPr>
  </w:style>
  <w:style w:type="character" w:customStyle="1" w:styleId="txtbig1">
    <w:name w:val="txtbig1"/>
    <w:rPr>
      <w:rFonts w:ascii="Verdana" w:hAnsi="Verdana" w:cs="Times New Roman"/>
      <w:b/>
      <w:bCs/>
      <w:sz w:val="36"/>
      <w:szCs w:val="36"/>
    </w:rPr>
  </w:style>
  <w:style w:type="paragraph" w:styleId="aff">
    <w:name w:val="footer"/>
    <w:basedOn w:val="a"/>
    <w:link w:val="aff0"/>
    <w:uiPriority w:val="99"/>
    <w:semiHidden/>
    <w:unhideWhenUsed/>
    <w:rsid w:val="008B440E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link w:val="aff"/>
    <w:uiPriority w:val="99"/>
    <w:semiHidden/>
    <w:locked/>
    <w:rsid w:val="008B440E"/>
    <w:rPr>
      <w:rFonts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2713</Words>
  <Characters>15467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Агропродовольственный рынок является одним из наиболее динамично развивающихся сегментов российского товарного рынка</vt:lpstr>
    </vt:vector>
  </TitlesOfParts>
  <Company>Дом</Company>
  <LinksUpToDate>false</LinksUpToDate>
  <CharactersWithSpaces>18144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Агропродовольственный рынок является одним из наиболее динамично развивающихся сегментов российского товарного рынка</dc:title>
  <dc:subject/>
  <dc:creator>Мильберг</dc:creator>
  <cp:keywords/>
  <dc:description/>
  <cp:lastModifiedBy>admin</cp:lastModifiedBy>
  <cp:revision>2</cp:revision>
  <dcterms:created xsi:type="dcterms:W3CDTF">2014-03-07T17:24:00Z</dcterms:created>
  <dcterms:modified xsi:type="dcterms:W3CDTF">2014-03-07T17:24:00Z</dcterms:modified>
</cp:coreProperties>
</file>