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D3E" w:rsidRDefault="00A93D3E">
      <w:pPr>
        <w:pStyle w:val="1"/>
        <w:jc w:val="center"/>
      </w:pPr>
      <w:r>
        <w:t>Рынок труда Швеции.</w:t>
      </w:r>
    </w:p>
    <w:p w:rsidR="00A93D3E" w:rsidRDefault="00A93D3E">
      <w:pPr>
        <w:jc w:val="center"/>
      </w:pPr>
    </w:p>
    <w:p w:rsidR="00A93D3E" w:rsidRDefault="00A93D3E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Во второй половине 20-го века,  в конце 60-х годов, когда иностранные наблюдатели стали отмечать успешное сочетание в Швеции быстрого экономического роста с обширной политикой реформ на фоне относительной социальной бесконфликтности в обществе. Этот образ, успешной и безмятежной Швеции, особенно сильно контрастировал тогда с ростом социальных и политических конфликтов в окружающем мире.</w:t>
      </w:r>
    </w:p>
    <w:p w:rsidR="00A93D3E" w:rsidRDefault="00A93D3E">
      <w:pPr>
        <w:tabs>
          <w:tab w:val="left" w:pos="567"/>
        </w:tabs>
        <w:spacing w:line="360" w:lineRule="auto"/>
        <w:ind w:firstLine="284"/>
        <w:jc w:val="both"/>
        <w:rPr>
          <w:sz w:val="28"/>
        </w:rPr>
      </w:pPr>
      <w:r>
        <w:rPr>
          <w:sz w:val="28"/>
        </w:rPr>
        <w:tab/>
        <w:t>Некоторые отмечают смешанный характер шведской экономики, сочетающей рыночные отношения и государственное регулирование, преобладающую частную собственность в сфере производства и обобществление потребления.</w:t>
      </w:r>
    </w:p>
    <w:p w:rsidR="00A93D3E" w:rsidRDefault="00A93D3E">
      <w:pPr>
        <w:tabs>
          <w:tab w:val="left" w:pos="567"/>
        </w:tabs>
        <w:spacing w:line="360" w:lineRule="auto"/>
        <w:ind w:firstLine="284"/>
        <w:jc w:val="both"/>
        <w:rPr>
          <w:sz w:val="28"/>
        </w:rPr>
      </w:pPr>
      <w:r>
        <w:rPr>
          <w:sz w:val="28"/>
        </w:rPr>
        <w:tab/>
        <w:t>Характерная черта послевоенной Швеции - специфика отношений между трудом и капиталом на рынке труда. На протяжении многих десятилетий важной частью шведской действительности была централизованная система переговоров о заключении коллективных договоров в области заработной платы с участием мощных организаций профсоюзов и предпринимателей в качестве главных действующих лиц, причем политика профсоюзов основывалась на принципах солидарности между различными группами трудящихся.</w:t>
      </w:r>
    </w:p>
    <w:p w:rsidR="00A93D3E" w:rsidRDefault="00A93D3E">
      <w:pPr>
        <w:tabs>
          <w:tab w:val="left" w:pos="567"/>
        </w:tabs>
        <w:spacing w:line="360" w:lineRule="auto"/>
        <w:ind w:firstLine="284"/>
        <w:jc w:val="both"/>
        <w:rPr>
          <w:sz w:val="28"/>
        </w:rPr>
      </w:pPr>
      <w:r>
        <w:rPr>
          <w:sz w:val="28"/>
        </w:rPr>
        <w:tab/>
        <w:t xml:space="preserve">В шведской политике того времени явно выделяются две доминирующие цели: </w:t>
      </w:r>
      <w:r>
        <w:rPr>
          <w:b/>
          <w:sz w:val="28"/>
        </w:rPr>
        <w:t>полная</w:t>
      </w:r>
      <w:r>
        <w:rPr>
          <w:sz w:val="28"/>
        </w:rPr>
        <w:t xml:space="preserve"> </w:t>
      </w:r>
      <w:r>
        <w:rPr>
          <w:b/>
          <w:sz w:val="28"/>
        </w:rPr>
        <w:t>занятость</w:t>
      </w:r>
      <w:r>
        <w:rPr>
          <w:sz w:val="28"/>
        </w:rPr>
        <w:t xml:space="preserve"> и </w:t>
      </w:r>
      <w:r>
        <w:rPr>
          <w:b/>
          <w:sz w:val="28"/>
        </w:rPr>
        <w:t>выравнивание доходов.</w:t>
      </w:r>
      <w:r>
        <w:rPr>
          <w:sz w:val="28"/>
        </w:rPr>
        <w:t xml:space="preserve"> Активная политика на высокоразвитом рынке труда и исключительно большой государственный сектор (при этом имеется в виду, прежде всего сфера перераспределения, а не государственная собственность) рассматриваются как результаты этой политики.</w:t>
      </w:r>
    </w:p>
    <w:p w:rsidR="00A93D3E" w:rsidRDefault="00A93D3E">
      <w:pPr>
        <w:tabs>
          <w:tab w:val="left" w:pos="567"/>
        </w:tabs>
        <w:spacing w:line="360" w:lineRule="auto"/>
        <w:ind w:firstLine="284"/>
        <w:jc w:val="both"/>
        <w:rPr>
          <w:sz w:val="28"/>
        </w:rPr>
      </w:pPr>
      <w:r>
        <w:rPr>
          <w:sz w:val="28"/>
        </w:rPr>
        <w:tab/>
      </w:r>
      <w:r>
        <w:tab/>
      </w:r>
      <w:r>
        <w:rPr>
          <w:sz w:val="28"/>
        </w:rPr>
        <w:t xml:space="preserve">Основными целями, как уже отмечалось, в течение длительного времени были полная занятость и выравнивание доходов. Их доминирование может быть объяснено уникальной силой шведского рабочего движения. Более полувека - с 1932 г. (за исключением 1976-1982 гг.) - у власти находится Социал-демократическая партия Швеции (СДРПШ). В течение десятилетий с СДРПШ тесно сотрудничает Центральное объединение профсоюзов Швеции, что усиливает реформистское рабочее движение в стране. Швеция отличается от других стран принятием полной занятости в качестве главной и неизменной цели экономической политики, а шведский народ в целом - активный ее сторонник. </w:t>
      </w:r>
    </w:p>
    <w:p w:rsidR="00A93D3E" w:rsidRDefault="00A93D3E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Шведский тип организации жизни общества обеспечивает высокий уровень экономической эффективности и высокие жизненные и экологические стандарты. Экономически эта модель базируется на получении своеобразной ''технологической ренты'', получаемой страной на внутреннем и мировом рынках за высокое качество и инновационность продукции. Разумеется, Швеция не является исключением в отношении формирования уникальной социально-экономической модели, скорее ее можно классифицировать как шведский вариант ''общества всеобщего процветания'', хотя и ''продвинутый''.</w:t>
      </w:r>
    </w:p>
    <w:p w:rsidR="00A93D3E" w:rsidRDefault="00A93D3E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ab/>
        <w:t xml:space="preserve">В течение многих лет Швеция имела одну из самых высоких в мире долей рабочей силы в общей численности трудоспособного населения. В то время, когда в других странах безработица продолжала расти после нефтяных кризисов 1970-х годов, Швеция оставалась редким исключением. Доля населения в возрасте от 16 до 64 лет, имеющего оплачиваемую работу, резко увеличилась примерно с 70% в начале 1950-х годов до 82,6% в 1990 г. Непрерывное расширение государственного сектора является одной из важнейших причин этой тенденции. После 1950 г. весь прирост занятости происходил за счет государственного сектора. </w:t>
      </w:r>
    </w:p>
    <w:p w:rsidR="00A93D3E" w:rsidRDefault="00A93D3E">
      <w:pPr>
        <w:pStyle w:val="a3"/>
      </w:pPr>
      <w:r>
        <w:tab/>
        <w:t>Шведская разновидность государства всеобщего благоденствия получила развитие в результате перехода страны на кейнсианские принципы управления экономикой. В этой стране установился высокий уровень жизни и социальной защищенности, обеспечиваемых для большинства населения, сочетается с почти полной занятостью, а социальное обеспечение, финансируемое за счет широкомасштабного перераспределения через налоги и государственный бюджет высокой доли доходов населения, носит универсальный характер.</w:t>
      </w:r>
    </w:p>
    <w:p w:rsidR="00A93D3E" w:rsidRDefault="00A93D3E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В Швеции налог на доходы физических лиц варьирует от 31%, если он не превышает 170 тыс. крон, до 51% за пределами этого порогового минимума. Корпоративный налог был снижен с 50% в 1980-х гг. до 25% в настоящее время. Налог на НДС был введен в Швеции в 1969г. и составляет в среднем 25%. Шведскому государству удалось на протяжении длительного времени сочетать полную занятость и социальную защиту с высокой экономической эффективностью и быстрым ростом производительности труда.</w:t>
      </w:r>
      <w:r>
        <w:rPr>
          <w:rStyle w:val="a4"/>
          <w:sz w:val="28"/>
        </w:rPr>
        <w:footnoteReference w:customMarkFollows="1" w:id="1"/>
        <w:t>1</w:t>
      </w:r>
    </w:p>
    <w:p w:rsidR="00A93D3E" w:rsidRDefault="00A93D3E">
      <w:pPr>
        <w:pStyle w:val="a3"/>
      </w:pPr>
      <w:r>
        <w:tab/>
        <w:t xml:space="preserve">Высокая экономическая эффективность промышленности Швеции и высокий уровень благосостояния ее населения основываются на развитом инновационном секторе ее экономики и специализации на производстве наукоемкой продукции. В стране существует около 500 тыс. малых предприятий, на которых работает почти треть всех занятых в шведской промышленности. Ежегодно возникает примерно 20 тыс. предприятий. Именно малые предприятия делают наибольший вклад в научно-технические разработки и внедрение, создают новые виды товаров, услуг и технологий. </w:t>
      </w:r>
    </w:p>
    <w:p w:rsidR="00A93D3E" w:rsidRDefault="00A93D3E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 xml:space="preserve">Когда шведская модель социально ориентированной экономики достигла зрелости, стали проявляться некоторые негативные черты: появилась безработица, замедлились темпы экономического роста, снизилась эффективность, ослабились стимулы к интенсивному, высококачественному труду. И опять-таки и политический истеблишмент, и широкие слои трудящихся проявили солидарность в том, что взаимно согласились на корректировку модели организации и функционирования шведского общества. Эта перенастройка началась в 1990-е гг., как раз накануне присоединения к ЕС. Были несколько сокращены расходы на социальны нужды, что привело к незначительному снижению уровня жизни отдельных слоев населения (однако не более, чем на 10%), были уменьшены корпоративные налоги – сначала с 50 до 30%, а затем до 25%, - что имело целью стимулировать инвестиции и поддержать полную занятость. </w:t>
      </w:r>
    </w:p>
    <w:p w:rsidR="00A93D3E" w:rsidRDefault="00A93D3E">
      <w:pPr>
        <w:spacing w:line="360" w:lineRule="auto"/>
        <w:ind w:firstLine="708"/>
        <w:jc w:val="both"/>
        <w:rPr>
          <w:sz w:val="28"/>
          <w:szCs w:val="20"/>
        </w:rPr>
      </w:pPr>
      <w:r>
        <w:rPr>
          <w:sz w:val="28"/>
        </w:rPr>
        <w:t>С 1990-х годов ситуация на рынке труда резко изменилась. Швеция утеряла свое лидерство. С 1990 по 1994 г. численность рабочей силы сократилась более чем на полмиллиона человек. В итоге доля рабочей силы в общей численности трудоспособного населения снизилась до 77,6%. Удельный вес трудоспособного населения, имеющего оплачиваемую работу, упал до 71,5%.</w:t>
      </w:r>
    </w:p>
    <w:p w:rsidR="00A93D3E" w:rsidRDefault="00A93D3E">
      <w:pPr>
        <w:spacing w:line="360" w:lineRule="auto"/>
        <w:ind w:firstLine="708"/>
        <w:jc w:val="both"/>
        <w:rPr>
          <w:sz w:val="28"/>
          <w:szCs w:val="20"/>
        </w:rPr>
      </w:pPr>
      <w:r>
        <w:rPr>
          <w:sz w:val="28"/>
        </w:rPr>
        <w:t xml:space="preserve">Сокращение занятости, приносящей доход, привело к резкому повышению доли безработных. В 1994 г. официальная безработица составила 8,0% по сравнению с 1,7% в 1990 г. Однако увеличение официальной безработицы было намного меньшим по сравнению с сокращением занятости, поскольку многие люди, потерявшие свою работу, стали участвовать в программах на рынке труда, стали студентами или начали получать пенсии по инвалидности. </w:t>
      </w:r>
    </w:p>
    <w:p w:rsidR="00A93D3E" w:rsidRDefault="00A93D3E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Положение на рынке труда Швеции не претерпело значительных изменений в 1995 и 1996 гг. Несмотря на экономический рост, составивший в среднем 2,5% в год, занятость не возросла. Поэтому занятость и доля рабочей силы в общей численности трудоспособного населения находятся на тех же самых низких уровнях (смотри таблицу). В 1996 г. официальная безработица составила 8,1% рабочей силы. Если включить занятых в программах на рынке труда, то показатель безработицы составил 12,6%.</w:t>
      </w:r>
    </w:p>
    <w:p w:rsidR="00A93D3E" w:rsidRDefault="00A93D3E">
      <w:pPr>
        <w:spacing w:line="360" w:lineRule="auto"/>
        <w:ind w:firstLine="708"/>
        <w:jc w:val="both"/>
        <w:rPr>
          <w:sz w:val="28"/>
        </w:rPr>
      </w:pPr>
    </w:p>
    <w:p w:rsidR="00A93D3E" w:rsidRDefault="00A93D3E">
      <w:pPr>
        <w:spacing w:line="360" w:lineRule="auto"/>
        <w:ind w:firstLine="708"/>
        <w:jc w:val="both"/>
        <w:rPr>
          <w:sz w:val="28"/>
        </w:rPr>
      </w:pPr>
    </w:p>
    <w:p w:rsidR="00A93D3E" w:rsidRDefault="00A93D3E">
      <w:pPr>
        <w:spacing w:line="360" w:lineRule="auto"/>
        <w:ind w:firstLine="708"/>
        <w:jc w:val="both"/>
        <w:rPr>
          <w:sz w:val="28"/>
        </w:rPr>
      </w:pPr>
    </w:p>
    <w:p w:rsidR="00A93D3E" w:rsidRDefault="00A93D3E">
      <w:pPr>
        <w:spacing w:line="360" w:lineRule="auto"/>
        <w:ind w:firstLine="708"/>
        <w:jc w:val="both"/>
        <w:rPr>
          <w:sz w:val="28"/>
        </w:rPr>
      </w:pPr>
    </w:p>
    <w:p w:rsidR="00A93D3E" w:rsidRDefault="00A93D3E">
      <w:pPr>
        <w:spacing w:line="360" w:lineRule="auto"/>
        <w:ind w:firstLine="708"/>
        <w:jc w:val="both"/>
        <w:rPr>
          <w:sz w:val="28"/>
        </w:rPr>
      </w:pPr>
    </w:p>
    <w:p w:rsidR="00A93D3E" w:rsidRDefault="00A93D3E">
      <w:pPr>
        <w:spacing w:line="360" w:lineRule="auto"/>
        <w:ind w:firstLine="708"/>
        <w:jc w:val="both"/>
        <w:rPr>
          <w:sz w:val="28"/>
        </w:rPr>
      </w:pPr>
    </w:p>
    <w:p w:rsidR="00A93D3E" w:rsidRDefault="00A93D3E">
      <w:pPr>
        <w:spacing w:line="360" w:lineRule="auto"/>
        <w:ind w:firstLine="708"/>
        <w:jc w:val="both"/>
        <w:rPr>
          <w:sz w:val="28"/>
          <w:szCs w:val="20"/>
        </w:rPr>
      </w:pPr>
    </w:p>
    <w:p w:rsidR="00A93D3E" w:rsidRDefault="00A93D3E">
      <w:pPr>
        <w:spacing w:line="360" w:lineRule="auto"/>
        <w:jc w:val="both"/>
        <w:rPr>
          <w:sz w:val="28"/>
          <w:szCs w:val="2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521"/>
        <w:gridCol w:w="1134"/>
        <w:gridCol w:w="850"/>
      </w:tblGrid>
      <w:tr w:rsidR="00A93D3E">
        <w:tc>
          <w:tcPr>
            <w:tcW w:w="8505" w:type="dxa"/>
            <w:gridSpan w:val="3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</w:tcPr>
          <w:p w:rsidR="00A93D3E" w:rsidRDefault="00A93D3E">
            <w:pPr>
              <w:spacing w:line="360" w:lineRule="auto"/>
              <w:jc w:val="both"/>
              <w:rPr>
                <w:sz w:val="28"/>
                <w:szCs w:val="20"/>
              </w:rPr>
            </w:pPr>
            <w:r>
              <w:rPr>
                <w:sz w:val="28"/>
              </w:rPr>
              <w:fldChar w:fldCharType="begin"/>
            </w:r>
            <w:r>
              <w:rPr>
                <w:sz w:val="28"/>
              </w:rPr>
              <w:instrText>PRIVATE</w:instrText>
            </w:r>
            <w:r>
              <w:rPr>
                <w:sz w:val="28"/>
              </w:rPr>
              <w:fldChar w:fldCharType="end"/>
            </w:r>
            <w:r>
              <w:rPr>
                <w:b/>
                <w:sz w:val="28"/>
              </w:rPr>
              <w:t>Занятость и предложение рабочей силы в % от численности населения в возрасте от 16 до 64 лет</w:t>
            </w:r>
          </w:p>
        </w:tc>
      </w:tr>
      <w:tr w:rsidR="00A93D3E">
        <w:tc>
          <w:tcPr>
            <w:tcW w:w="6521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</w:tcPr>
          <w:p w:rsidR="00A93D3E" w:rsidRDefault="00A93D3E">
            <w:pPr>
              <w:spacing w:line="360" w:lineRule="auto"/>
              <w:jc w:val="both"/>
              <w:rPr>
                <w:sz w:val="28"/>
                <w:szCs w:val="20"/>
              </w:rPr>
            </w:pPr>
          </w:p>
        </w:tc>
        <w:tc>
          <w:tcPr>
            <w:tcW w:w="1134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</w:tcPr>
          <w:p w:rsidR="00A93D3E" w:rsidRDefault="00A93D3E">
            <w:pPr>
              <w:spacing w:line="360" w:lineRule="auto"/>
              <w:jc w:val="both"/>
              <w:rPr>
                <w:sz w:val="28"/>
                <w:szCs w:val="20"/>
              </w:rPr>
            </w:pPr>
            <w:r>
              <w:rPr>
                <w:sz w:val="28"/>
              </w:rPr>
              <w:t>1990 г.</w:t>
            </w:r>
          </w:p>
        </w:tc>
        <w:tc>
          <w:tcPr>
            <w:tcW w:w="850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</w:tcPr>
          <w:p w:rsidR="00A93D3E" w:rsidRDefault="00A93D3E">
            <w:pPr>
              <w:spacing w:line="360" w:lineRule="auto"/>
              <w:jc w:val="both"/>
              <w:rPr>
                <w:sz w:val="28"/>
                <w:szCs w:val="20"/>
              </w:rPr>
            </w:pPr>
            <w:r>
              <w:rPr>
                <w:sz w:val="28"/>
              </w:rPr>
              <w:t>1996 г.</w:t>
            </w:r>
          </w:p>
        </w:tc>
      </w:tr>
      <w:tr w:rsidR="00A93D3E">
        <w:tc>
          <w:tcPr>
            <w:tcW w:w="6521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</w:tcPr>
          <w:p w:rsidR="00A93D3E" w:rsidRDefault="00A93D3E">
            <w:pPr>
              <w:spacing w:line="360" w:lineRule="auto"/>
              <w:jc w:val="both"/>
              <w:rPr>
                <w:sz w:val="28"/>
                <w:szCs w:val="20"/>
              </w:rPr>
            </w:pPr>
            <w:r>
              <w:rPr>
                <w:sz w:val="28"/>
              </w:rPr>
              <w:t>Занятые</w:t>
            </w:r>
          </w:p>
        </w:tc>
        <w:tc>
          <w:tcPr>
            <w:tcW w:w="1134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</w:tcPr>
          <w:p w:rsidR="00A93D3E" w:rsidRDefault="00A93D3E">
            <w:pPr>
              <w:spacing w:line="360" w:lineRule="auto"/>
              <w:jc w:val="both"/>
              <w:rPr>
                <w:sz w:val="28"/>
                <w:szCs w:val="20"/>
              </w:rPr>
            </w:pPr>
            <w:r>
              <w:rPr>
                <w:sz w:val="28"/>
              </w:rPr>
              <w:t>82,6</w:t>
            </w:r>
          </w:p>
        </w:tc>
        <w:tc>
          <w:tcPr>
            <w:tcW w:w="850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</w:tcPr>
          <w:p w:rsidR="00A93D3E" w:rsidRDefault="00A93D3E">
            <w:pPr>
              <w:spacing w:line="360" w:lineRule="auto"/>
              <w:jc w:val="both"/>
              <w:rPr>
                <w:sz w:val="28"/>
                <w:szCs w:val="20"/>
              </w:rPr>
            </w:pPr>
            <w:r>
              <w:rPr>
                <w:sz w:val="28"/>
              </w:rPr>
              <w:t>71,6</w:t>
            </w:r>
          </w:p>
        </w:tc>
      </w:tr>
      <w:tr w:rsidR="00A93D3E">
        <w:tc>
          <w:tcPr>
            <w:tcW w:w="6521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</w:tcPr>
          <w:p w:rsidR="00A93D3E" w:rsidRDefault="00A93D3E">
            <w:pPr>
              <w:spacing w:line="360" w:lineRule="auto"/>
              <w:jc w:val="both"/>
              <w:rPr>
                <w:sz w:val="28"/>
                <w:szCs w:val="20"/>
              </w:rPr>
            </w:pPr>
            <w:r>
              <w:rPr>
                <w:sz w:val="28"/>
              </w:rPr>
              <w:t>Безработные</w:t>
            </w:r>
          </w:p>
        </w:tc>
        <w:tc>
          <w:tcPr>
            <w:tcW w:w="1134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</w:tcPr>
          <w:p w:rsidR="00A93D3E" w:rsidRDefault="00A93D3E">
            <w:pPr>
              <w:spacing w:line="360" w:lineRule="auto"/>
              <w:jc w:val="both"/>
              <w:rPr>
                <w:sz w:val="28"/>
                <w:szCs w:val="20"/>
              </w:rPr>
            </w:pPr>
            <w:r>
              <w:rPr>
                <w:sz w:val="28"/>
              </w:rPr>
              <w:t>1,4</w:t>
            </w:r>
          </w:p>
        </w:tc>
        <w:tc>
          <w:tcPr>
            <w:tcW w:w="850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</w:tcPr>
          <w:p w:rsidR="00A93D3E" w:rsidRDefault="00A93D3E">
            <w:pPr>
              <w:spacing w:line="360" w:lineRule="auto"/>
              <w:jc w:val="both"/>
              <w:rPr>
                <w:sz w:val="28"/>
                <w:szCs w:val="20"/>
              </w:rPr>
            </w:pPr>
            <w:r>
              <w:rPr>
                <w:sz w:val="28"/>
              </w:rPr>
              <w:t>6,3</w:t>
            </w:r>
          </w:p>
        </w:tc>
      </w:tr>
      <w:tr w:rsidR="00A93D3E">
        <w:tc>
          <w:tcPr>
            <w:tcW w:w="6521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</w:tcPr>
          <w:p w:rsidR="00A93D3E" w:rsidRDefault="00A93D3E">
            <w:pPr>
              <w:spacing w:line="360" w:lineRule="auto"/>
              <w:jc w:val="both"/>
              <w:rPr>
                <w:sz w:val="28"/>
                <w:szCs w:val="20"/>
              </w:rPr>
            </w:pPr>
            <w:r>
              <w:rPr>
                <w:sz w:val="28"/>
              </w:rPr>
              <w:t>Участники программ на рынке труда (не входят в рабочую силу)</w:t>
            </w:r>
          </w:p>
        </w:tc>
        <w:tc>
          <w:tcPr>
            <w:tcW w:w="1134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</w:tcPr>
          <w:p w:rsidR="00A93D3E" w:rsidRDefault="00A93D3E">
            <w:pPr>
              <w:spacing w:line="360" w:lineRule="auto"/>
              <w:jc w:val="both"/>
              <w:rPr>
                <w:sz w:val="28"/>
                <w:szCs w:val="20"/>
              </w:rPr>
            </w:pPr>
            <w:r>
              <w:rPr>
                <w:sz w:val="28"/>
              </w:rPr>
              <w:t>0,7</w:t>
            </w:r>
          </w:p>
        </w:tc>
        <w:tc>
          <w:tcPr>
            <w:tcW w:w="850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</w:tcPr>
          <w:p w:rsidR="00A93D3E" w:rsidRDefault="00A93D3E">
            <w:pPr>
              <w:spacing w:line="360" w:lineRule="auto"/>
              <w:jc w:val="both"/>
              <w:rPr>
                <w:sz w:val="28"/>
                <w:szCs w:val="20"/>
              </w:rPr>
            </w:pPr>
            <w:r>
              <w:rPr>
                <w:sz w:val="28"/>
              </w:rPr>
              <w:t>2,8</w:t>
            </w:r>
          </w:p>
        </w:tc>
      </w:tr>
      <w:tr w:rsidR="00A93D3E">
        <w:tc>
          <w:tcPr>
            <w:tcW w:w="6521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</w:tcPr>
          <w:p w:rsidR="00A93D3E" w:rsidRDefault="00A93D3E">
            <w:pPr>
              <w:spacing w:line="360" w:lineRule="auto"/>
              <w:jc w:val="both"/>
              <w:rPr>
                <w:sz w:val="28"/>
                <w:szCs w:val="20"/>
              </w:rPr>
            </w:pPr>
            <w:r>
              <w:rPr>
                <w:sz w:val="28"/>
              </w:rPr>
              <w:t>Другие категории</w:t>
            </w:r>
          </w:p>
        </w:tc>
        <w:tc>
          <w:tcPr>
            <w:tcW w:w="1134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</w:tcPr>
          <w:p w:rsidR="00A93D3E" w:rsidRDefault="00A93D3E">
            <w:pPr>
              <w:spacing w:line="360" w:lineRule="auto"/>
              <w:jc w:val="both"/>
              <w:rPr>
                <w:sz w:val="28"/>
                <w:szCs w:val="20"/>
              </w:rPr>
            </w:pPr>
            <w:r>
              <w:rPr>
                <w:sz w:val="28"/>
              </w:rPr>
              <w:t>15,3</w:t>
            </w:r>
          </w:p>
        </w:tc>
        <w:tc>
          <w:tcPr>
            <w:tcW w:w="850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</w:tcPr>
          <w:p w:rsidR="00A93D3E" w:rsidRDefault="00A93D3E">
            <w:pPr>
              <w:spacing w:line="360" w:lineRule="auto"/>
              <w:jc w:val="both"/>
              <w:rPr>
                <w:sz w:val="28"/>
                <w:szCs w:val="20"/>
              </w:rPr>
            </w:pPr>
            <w:r>
              <w:rPr>
                <w:sz w:val="28"/>
              </w:rPr>
              <w:t>19,3</w:t>
            </w:r>
          </w:p>
        </w:tc>
      </w:tr>
      <w:tr w:rsidR="00A93D3E">
        <w:tc>
          <w:tcPr>
            <w:tcW w:w="6521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</w:tcPr>
          <w:p w:rsidR="00A93D3E" w:rsidRDefault="00A93D3E">
            <w:pPr>
              <w:spacing w:line="360" w:lineRule="auto"/>
              <w:jc w:val="both"/>
              <w:rPr>
                <w:sz w:val="28"/>
                <w:szCs w:val="20"/>
              </w:rPr>
            </w:pPr>
            <w:r>
              <w:rPr>
                <w:sz w:val="28"/>
              </w:rPr>
              <w:t xml:space="preserve">Итого </w:t>
            </w:r>
          </w:p>
        </w:tc>
        <w:tc>
          <w:tcPr>
            <w:tcW w:w="1134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</w:tcPr>
          <w:p w:rsidR="00A93D3E" w:rsidRDefault="00A93D3E">
            <w:pPr>
              <w:spacing w:line="360" w:lineRule="auto"/>
              <w:jc w:val="both"/>
              <w:rPr>
                <w:sz w:val="28"/>
                <w:szCs w:val="20"/>
              </w:rPr>
            </w:pPr>
            <w:r>
              <w:rPr>
                <w:sz w:val="28"/>
              </w:rPr>
              <w:t>100,0</w:t>
            </w:r>
          </w:p>
        </w:tc>
        <w:tc>
          <w:tcPr>
            <w:tcW w:w="850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</w:tcPr>
          <w:p w:rsidR="00A93D3E" w:rsidRDefault="00A93D3E">
            <w:pPr>
              <w:spacing w:line="360" w:lineRule="auto"/>
              <w:jc w:val="both"/>
              <w:rPr>
                <w:sz w:val="28"/>
                <w:szCs w:val="20"/>
              </w:rPr>
            </w:pPr>
            <w:r>
              <w:rPr>
                <w:sz w:val="28"/>
              </w:rPr>
              <w:t>100,0</w:t>
            </w:r>
          </w:p>
        </w:tc>
      </w:tr>
    </w:tbl>
    <w:p w:rsidR="00A93D3E" w:rsidRDefault="00A93D3E">
      <w:pPr>
        <w:rPr>
          <w:sz w:val="20"/>
          <w:szCs w:val="20"/>
        </w:rPr>
      </w:pPr>
    </w:p>
    <w:p w:rsidR="00A93D3E" w:rsidRDefault="00A93D3E">
      <w:pPr>
        <w:spacing w:line="360" w:lineRule="auto"/>
        <w:jc w:val="both"/>
        <w:rPr>
          <w:sz w:val="28"/>
        </w:rPr>
      </w:pPr>
    </w:p>
    <w:p w:rsidR="00A93D3E" w:rsidRDefault="00A93D3E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За 1991-1996гг. в Швеции было осуществлено около 300 изменений правил в системе социального обеспечения и 50 изменений в правила регулирования рынка труда. В результате удалось переломить начавшийся в стране кризис, выразившийся в сокращении ВВП Швеции в период с 1991 по 1993гг. Уже с 1994г. начался  промышленный и экономический рост: с 1994 по 1996гг. ежегодный прирост составил 2,8%.</w:t>
      </w:r>
      <w:r>
        <w:rPr>
          <w:rStyle w:val="a4"/>
          <w:sz w:val="28"/>
        </w:rPr>
        <w:footnoteReference w:customMarkFollows="1" w:id="2"/>
        <w:t>1</w:t>
      </w:r>
      <w:r>
        <w:rPr>
          <w:sz w:val="28"/>
        </w:rPr>
        <w:t xml:space="preserve"> </w:t>
      </w:r>
    </w:p>
    <w:p w:rsidR="00A93D3E" w:rsidRDefault="00A93D3E">
      <w:pPr>
        <w:pStyle w:val="a3"/>
      </w:pPr>
      <w:r>
        <w:t>Швеция инкорпорировала в свое законодательство 1400 общеевропейских норм. Дерегуляция экономической жизни, характерная для Швеции в 1990-х гг., восстановление экономического роста, повышение состязательности со стороны внешних торгово-экономических партнеров, снижение инфляции – все это снизило потребности в государственном регулировании цен в стране. В настоящее время в Швеции контроль над ценами осуществляется в основном при помощи антимонопольного законодательства.</w:t>
      </w:r>
    </w:p>
    <w:p w:rsidR="00A93D3E" w:rsidRDefault="00A93D3E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Государство превратилось в Швеции в крупнейшего нанимателя рабочей силы, обеспечивая рабочие места примерно для трети экономически активного населения. Около 65% населения Швеции получают почти все свои доходы из общественных фондов: либо как наемные работники правительственных или муниципальных учреждений, либо как получатели социальных пособий или пенсий из государственных пенсионных фондов, и только 35% трудятся в рыночном секторе экономики.</w:t>
      </w:r>
      <w:r>
        <w:rPr>
          <w:rStyle w:val="a4"/>
          <w:sz w:val="28"/>
        </w:rPr>
        <w:footnoteReference w:customMarkFollows="1" w:id="3"/>
        <w:t>1</w:t>
      </w:r>
    </w:p>
    <w:p w:rsidR="00A93D3E" w:rsidRDefault="00A93D3E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Швеция является пионером также и в отношении организации действенной системы социального партнерства, начало которому было положено еще в 1938г., когда Шведская федерация профсоюзов и Шведская федерация заключили ''Сальтшебаденское соглашение'' о мирном разрешении трудовых конфликтов и заключении трудовых соглашений. Особенностью шведской системы социального диалога явилось то, что на первых парах он функционировал без вмешательства правительства вплоть до 1970-х гг., когда правительство Швеции стало проводить активное вмешательство на рынке труда, усилив регулирование доходов через увеличение налогов.</w:t>
      </w:r>
    </w:p>
    <w:p w:rsidR="00A93D3E" w:rsidRDefault="00A93D3E">
      <w:pPr>
        <w:spacing w:line="360" w:lineRule="auto"/>
        <w:ind w:firstLine="567"/>
        <w:jc w:val="both"/>
        <w:rPr>
          <w:sz w:val="28"/>
          <w:vertAlign w:val="superscript"/>
        </w:rPr>
      </w:pPr>
      <w:r>
        <w:rPr>
          <w:sz w:val="28"/>
        </w:rPr>
        <w:t>Страна продолжает сохраняться в основных своих чертах, несмотря на смены правительств и изменения внешнеэкономической ориентации. В последние 50 лет у власти находились почти все время социал-демократические правительства. Стабильность социальной направленности шведской экономической системы показывает динамика изменения цен. Например, за период 1980-1990-х гг. цены на акции выросли в 10 раз, на офисные помещения – в 4, в то время как на потребительские товары - только в 2 раза.</w:t>
      </w:r>
      <w:r>
        <w:rPr>
          <w:sz w:val="28"/>
          <w:vertAlign w:val="superscript"/>
        </w:rPr>
        <w:t>1</w:t>
      </w:r>
    </w:p>
    <w:p w:rsidR="00A93D3E" w:rsidRDefault="00A93D3E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Экономические реформы Швеции в начале 1990-х гг. позволила также провести структурную трансформацию экономики: из-за дерегулирования повысилась конкурентность на внутреннем рынке, снизилась доля традиционных отраслей и повысилась доля наукоемких производств. Выросла степень концентрации совокупного промышленного потенциала: 25 крупных компаний контролируют 80% совокупного промышленного производства в стране. В период 1991-1994гг. несоциалистическое правительство приватизировало ряд государственных компаний. Ускорился рост инновационных процессов.  </w:t>
      </w:r>
    </w:p>
    <w:p w:rsidR="00A93D3E" w:rsidRDefault="00A93D3E">
      <w:pPr>
        <w:pStyle w:val="20"/>
        <w:tabs>
          <w:tab w:val="left" w:pos="567"/>
        </w:tabs>
        <w:spacing w:line="360" w:lineRule="auto"/>
      </w:pPr>
      <w:r>
        <w:tab/>
        <w:t>В экономике Швеции очень высока монополизация производства. Она наиболее сильна в таких специализированных отраслях промышленности, как производство шарикоподшипников (S</w:t>
      </w:r>
      <w:r>
        <w:rPr>
          <w:lang w:val="en-US"/>
        </w:rPr>
        <w:t>KF</w:t>
      </w:r>
      <w:r>
        <w:t>), автомобилестроение (“</w:t>
      </w:r>
      <w:r>
        <w:rPr>
          <w:lang w:val="en-US"/>
        </w:rPr>
        <w:t>Volvo</w:t>
      </w:r>
      <w:r>
        <w:t>” и “S</w:t>
      </w:r>
      <w:r>
        <w:rPr>
          <w:lang w:val="en-US"/>
        </w:rPr>
        <w:t>AAB</w:t>
      </w:r>
      <w:r>
        <w:t>-</w:t>
      </w:r>
      <w:r>
        <w:rPr>
          <w:lang w:val="en-US"/>
        </w:rPr>
        <w:t>SCANIA</w:t>
      </w:r>
      <w:r>
        <w:t>”), черная металлургия (“</w:t>
      </w:r>
      <w:r>
        <w:rPr>
          <w:lang w:val="en-US"/>
        </w:rPr>
        <w:t>Svenska</w:t>
      </w:r>
      <w:r>
        <w:t>-s</w:t>
      </w:r>
      <w:r>
        <w:rPr>
          <w:lang w:val="en-US"/>
        </w:rPr>
        <w:t>tol</w:t>
      </w:r>
      <w:r>
        <w:t>”),электротехника (“E</w:t>
      </w:r>
      <w:r>
        <w:rPr>
          <w:lang w:val="en-US"/>
        </w:rPr>
        <w:t>lectroluks</w:t>
      </w:r>
      <w:r>
        <w:t xml:space="preserve">”, </w:t>
      </w:r>
      <w:r>
        <w:rPr>
          <w:lang w:val="en-US"/>
        </w:rPr>
        <w:t>ABB</w:t>
      </w:r>
      <w:r>
        <w:t>, “</w:t>
      </w:r>
      <w:r>
        <w:rPr>
          <w:lang w:val="en-US"/>
        </w:rPr>
        <w:t>Eriksson</w:t>
      </w:r>
      <w:r>
        <w:t>”), деревообрабатывающая и целлюлозно-бумажная (“S</w:t>
      </w:r>
      <w:r>
        <w:rPr>
          <w:lang w:val="en-US"/>
        </w:rPr>
        <w:t>Svenska</w:t>
      </w:r>
      <w:r>
        <w:t xml:space="preserve"> </w:t>
      </w:r>
      <w:r>
        <w:rPr>
          <w:lang w:val="en-US"/>
        </w:rPr>
        <w:t>cellulose</w:t>
      </w:r>
      <w:r>
        <w:t>” и др.), самолетостроение (“</w:t>
      </w:r>
      <w:r>
        <w:rPr>
          <w:lang w:val="en-US"/>
        </w:rPr>
        <w:t>SAAB</w:t>
      </w:r>
      <w:r>
        <w:t>-</w:t>
      </w:r>
      <w:r>
        <w:rPr>
          <w:lang w:val="en-US"/>
        </w:rPr>
        <w:t>SCANIA</w:t>
      </w:r>
      <w:r>
        <w:t>”), фармацевтика (“Astra”, “Farmasia”), производство специальных сталей (“Sandvik”, “Avesta”).</w:t>
      </w:r>
    </w:p>
    <w:p w:rsidR="00A93D3E" w:rsidRDefault="00A93D3E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   В Швеции сложился наиболее мощный финансовый капитал среди стран Северной Европы. Он нашел свое организационное выражение в финансовых группах. В настоящее время в Швеции можно выделить три финансовые группы. Во главе двух из них (по принятой в шведской экономической литературе терминологии, “сфер банков”) стоят ведущие частные коммерческие банки страны - “Скандинависка эншильда банкен” и “Свенска хандельсбанкен”, при этом первая по всем показателям существенно превосходит своего конкурента. В первой половине 80-х годов началось формирование третьей финансовой группы (“третьего блока”) во главе с крупнейшей компанией страны - автомобильным концерном “</w:t>
      </w:r>
      <w:r>
        <w:rPr>
          <w:sz w:val="28"/>
          <w:lang w:val="en-US"/>
        </w:rPr>
        <w:t>Volvo</w:t>
      </w:r>
      <w:r>
        <w:rPr>
          <w:sz w:val="28"/>
        </w:rPr>
        <w:t>”.</w:t>
      </w:r>
    </w:p>
    <w:p w:rsidR="00A93D3E" w:rsidRDefault="00A93D3E">
      <w:pPr>
        <w:pStyle w:val="20"/>
        <w:tabs>
          <w:tab w:val="left" w:pos="567"/>
        </w:tabs>
        <w:spacing w:line="360" w:lineRule="auto"/>
      </w:pPr>
      <w:r>
        <w:t xml:space="preserve">        В финансовую группу  “Скандинависка эншильда банкен”, контролирующую до 40% экспорта, 20% ВВП страны и обеспечивающую 40%  занятости в промышленности Швеции, входят семейные группы Валленбергов, Юнсонов, Боньеров, Лундбергов, Седербергов. Среди них выделяется семейство Валленбергов, контролирующее компании, биржевая стоимость акций которых превышает 1/3 акционерного капитала всех зарегистрированных  на бирже фирм.</w:t>
      </w:r>
      <w:r>
        <w:rPr>
          <w:rStyle w:val="a4"/>
        </w:rPr>
        <w:footnoteReference w:customMarkFollows="1" w:id="4"/>
        <w:t>1</w:t>
      </w:r>
      <w:r>
        <w:t xml:space="preserve"> </w:t>
      </w:r>
    </w:p>
    <w:p w:rsidR="00A93D3E" w:rsidRDefault="00A93D3E">
      <w:pPr>
        <w:pStyle w:val="20"/>
        <w:tabs>
          <w:tab w:val="left" w:pos="567"/>
        </w:tabs>
        <w:spacing w:line="360" w:lineRule="auto"/>
      </w:pPr>
      <w:r>
        <w:t xml:space="preserve">        Вторая финансовая группа - “Свенска хандельсбанкен” - включает в свой состав кроме объединения вокруг самого банка группы финансовых воротил Андерса Валля и Эрика Пенсера и семейные группы Стенбеков и чемпе. Однако здесь семейства не играют значительной роли.</w:t>
      </w:r>
    </w:p>
    <w:p w:rsidR="00A93D3E" w:rsidRDefault="00A93D3E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</w:t>
      </w:r>
    </w:p>
    <w:p w:rsidR="00A93D3E" w:rsidRDefault="00A93D3E">
      <w:pPr>
        <w:spacing w:line="360" w:lineRule="auto"/>
        <w:ind w:firstLine="708"/>
        <w:jc w:val="both"/>
        <w:rPr>
          <w:sz w:val="28"/>
        </w:rPr>
      </w:pPr>
    </w:p>
    <w:p w:rsidR="00A93D3E" w:rsidRDefault="00A93D3E">
      <w:pPr>
        <w:spacing w:line="360" w:lineRule="auto"/>
        <w:ind w:firstLine="708"/>
        <w:jc w:val="both"/>
        <w:rPr>
          <w:sz w:val="28"/>
        </w:rPr>
      </w:pPr>
    </w:p>
    <w:p w:rsidR="00A93D3E" w:rsidRDefault="00A93D3E">
      <w:pPr>
        <w:spacing w:line="360" w:lineRule="auto"/>
        <w:ind w:firstLine="708"/>
        <w:jc w:val="both"/>
        <w:rPr>
          <w:sz w:val="28"/>
          <w:szCs w:val="20"/>
        </w:rPr>
      </w:pPr>
    </w:p>
    <w:p w:rsidR="00A93D3E" w:rsidRDefault="00A93D3E">
      <w:pPr>
        <w:spacing w:line="360" w:lineRule="auto"/>
        <w:ind w:firstLine="708"/>
        <w:jc w:val="both"/>
        <w:rPr>
          <w:sz w:val="28"/>
          <w:szCs w:val="20"/>
        </w:rPr>
      </w:pPr>
    </w:p>
    <w:p w:rsidR="00A93D3E" w:rsidRDefault="00A93D3E">
      <w:pPr>
        <w:spacing w:line="360" w:lineRule="auto"/>
        <w:ind w:firstLine="708"/>
        <w:jc w:val="both"/>
        <w:rPr>
          <w:sz w:val="28"/>
          <w:szCs w:val="20"/>
        </w:rPr>
      </w:pPr>
    </w:p>
    <w:p w:rsidR="00A93D3E" w:rsidRDefault="00A93D3E">
      <w:pPr>
        <w:spacing w:line="360" w:lineRule="auto"/>
        <w:ind w:firstLine="708"/>
        <w:jc w:val="both"/>
        <w:rPr>
          <w:sz w:val="28"/>
          <w:szCs w:val="20"/>
        </w:rPr>
      </w:pPr>
    </w:p>
    <w:p w:rsidR="00A93D3E" w:rsidRDefault="00A93D3E">
      <w:pPr>
        <w:spacing w:line="360" w:lineRule="auto"/>
        <w:ind w:firstLine="708"/>
        <w:jc w:val="both"/>
        <w:rPr>
          <w:sz w:val="28"/>
          <w:szCs w:val="20"/>
        </w:rPr>
      </w:pPr>
    </w:p>
    <w:p w:rsidR="00A93D3E" w:rsidRDefault="00A93D3E">
      <w:pPr>
        <w:spacing w:line="360" w:lineRule="auto"/>
        <w:ind w:firstLine="708"/>
        <w:jc w:val="both"/>
        <w:rPr>
          <w:sz w:val="28"/>
          <w:szCs w:val="20"/>
        </w:rPr>
      </w:pPr>
    </w:p>
    <w:p w:rsidR="00A93D3E" w:rsidRDefault="00A93D3E">
      <w:pPr>
        <w:spacing w:line="360" w:lineRule="auto"/>
        <w:ind w:firstLine="708"/>
        <w:jc w:val="both"/>
        <w:rPr>
          <w:sz w:val="28"/>
          <w:szCs w:val="20"/>
        </w:rPr>
      </w:pPr>
    </w:p>
    <w:p w:rsidR="00A93D3E" w:rsidRDefault="00A93D3E">
      <w:pPr>
        <w:spacing w:line="360" w:lineRule="auto"/>
        <w:ind w:firstLine="708"/>
        <w:jc w:val="both"/>
        <w:rPr>
          <w:sz w:val="28"/>
          <w:szCs w:val="20"/>
        </w:rPr>
      </w:pPr>
    </w:p>
    <w:p w:rsidR="00A93D3E" w:rsidRDefault="00A93D3E">
      <w:pPr>
        <w:spacing w:line="360" w:lineRule="auto"/>
        <w:ind w:firstLine="708"/>
        <w:jc w:val="both"/>
        <w:rPr>
          <w:sz w:val="28"/>
          <w:szCs w:val="20"/>
        </w:rPr>
      </w:pPr>
    </w:p>
    <w:p w:rsidR="00A93D3E" w:rsidRDefault="00A93D3E">
      <w:pPr>
        <w:spacing w:line="360" w:lineRule="auto"/>
        <w:ind w:firstLine="708"/>
        <w:jc w:val="both"/>
        <w:rPr>
          <w:sz w:val="28"/>
          <w:szCs w:val="20"/>
        </w:rPr>
      </w:pPr>
    </w:p>
    <w:p w:rsidR="00A93D3E" w:rsidRDefault="00A93D3E">
      <w:pPr>
        <w:spacing w:line="360" w:lineRule="auto"/>
        <w:ind w:firstLine="708"/>
        <w:jc w:val="both"/>
        <w:rPr>
          <w:sz w:val="28"/>
          <w:szCs w:val="20"/>
        </w:rPr>
      </w:pPr>
    </w:p>
    <w:p w:rsidR="00A93D3E" w:rsidRDefault="00A93D3E">
      <w:pPr>
        <w:spacing w:line="360" w:lineRule="auto"/>
        <w:ind w:firstLine="708"/>
        <w:jc w:val="both"/>
        <w:rPr>
          <w:sz w:val="28"/>
          <w:szCs w:val="20"/>
        </w:rPr>
      </w:pPr>
    </w:p>
    <w:p w:rsidR="00A93D3E" w:rsidRDefault="00A93D3E">
      <w:pPr>
        <w:spacing w:line="360" w:lineRule="auto"/>
        <w:ind w:firstLine="708"/>
        <w:jc w:val="both"/>
        <w:rPr>
          <w:sz w:val="28"/>
          <w:szCs w:val="20"/>
        </w:rPr>
      </w:pPr>
    </w:p>
    <w:p w:rsidR="00A93D3E" w:rsidRDefault="00A93D3E">
      <w:pPr>
        <w:spacing w:line="360" w:lineRule="auto"/>
        <w:ind w:firstLine="708"/>
        <w:jc w:val="both"/>
        <w:rPr>
          <w:sz w:val="28"/>
          <w:szCs w:val="20"/>
        </w:rPr>
      </w:pPr>
    </w:p>
    <w:p w:rsidR="00A93D3E" w:rsidRDefault="00A93D3E">
      <w:pPr>
        <w:spacing w:line="360" w:lineRule="auto"/>
        <w:ind w:firstLine="708"/>
        <w:jc w:val="both"/>
        <w:rPr>
          <w:sz w:val="28"/>
          <w:szCs w:val="20"/>
        </w:rPr>
      </w:pPr>
    </w:p>
    <w:p w:rsidR="00A93D3E" w:rsidRDefault="00A93D3E">
      <w:pPr>
        <w:spacing w:line="360" w:lineRule="auto"/>
        <w:ind w:firstLine="708"/>
        <w:jc w:val="both"/>
        <w:rPr>
          <w:sz w:val="28"/>
          <w:szCs w:val="20"/>
        </w:rPr>
      </w:pPr>
    </w:p>
    <w:p w:rsidR="00A93D3E" w:rsidRDefault="00A93D3E">
      <w:pPr>
        <w:spacing w:line="360" w:lineRule="auto"/>
        <w:ind w:firstLine="708"/>
        <w:jc w:val="both"/>
        <w:rPr>
          <w:sz w:val="28"/>
          <w:szCs w:val="20"/>
        </w:rPr>
      </w:pPr>
    </w:p>
    <w:p w:rsidR="00A93D3E" w:rsidRDefault="00A93D3E">
      <w:pPr>
        <w:spacing w:line="360" w:lineRule="auto"/>
        <w:ind w:firstLine="708"/>
        <w:jc w:val="both"/>
        <w:rPr>
          <w:sz w:val="28"/>
          <w:szCs w:val="20"/>
        </w:rPr>
      </w:pPr>
    </w:p>
    <w:p w:rsidR="00A93D3E" w:rsidRDefault="00A93D3E">
      <w:pPr>
        <w:spacing w:line="360" w:lineRule="auto"/>
        <w:ind w:firstLine="708"/>
        <w:jc w:val="both"/>
        <w:rPr>
          <w:sz w:val="28"/>
          <w:szCs w:val="20"/>
        </w:rPr>
      </w:pPr>
    </w:p>
    <w:p w:rsidR="00A93D3E" w:rsidRDefault="00A93D3E">
      <w:pPr>
        <w:spacing w:line="360" w:lineRule="auto"/>
        <w:ind w:firstLine="708"/>
        <w:jc w:val="both"/>
        <w:rPr>
          <w:sz w:val="28"/>
          <w:szCs w:val="20"/>
        </w:rPr>
      </w:pPr>
    </w:p>
    <w:p w:rsidR="00A93D3E" w:rsidRDefault="00A93D3E">
      <w:pPr>
        <w:spacing w:line="360" w:lineRule="auto"/>
        <w:ind w:firstLine="708"/>
        <w:jc w:val="both"/>
        <w:rPr>
          <w:sz w:val="28"/>
          <w:szCs w:val="20"/>
        </w:rPr>
      </w:pPr>
    </w:p>
    <w:p w:rsidR="00A93D3E" w:rsidRDefault="00A93D3E">
      <w:pPr>
        <w:spacing w:line="360" w:lineRule="auto"/>
        <w:ind w:firstLine="708"/>
        <w:jc w:val="both"/>
        <w:rPr>
          <w:sz w:val="28"/>
          <w:szCs w:val="20"/>
          <w:lang w:val="en-US"/>
        </w:rPr>
      </w:pPr>
    </w:p>
    <w:p w:rsidR="00A93D3E" w:rsidRDefault="00A93D3E">
      <w:pPr>
        <w:spacing w:line="360" w:lineRule="auto"/>
        <w:ind w:firstLine="708"/>
        <w:jc w:val="both"/>
        <w:rPr>
          <w:sz w:val="28"/>
          <w:szCs w:val="20"/>
          <w:lang w:val="en-US"/>
        </w:rPr>
      </w:pPr>
    </w:p>
    <w:p w:rsidR="00A93D3E" w:rsidRDefault="00A93D3E">
      <w:pPr>
        <w:spacing w:line="360" w:lineRule="auto"/>
        <w:ind w:firstLine="708"/>
        <w:jc w:val="both"/>
        <w:rPr>
          <w:sz w:val="28"/>
          <w:szCs w:val="20"/>
          <w:lang w:val="en-US"/>
        </w:rPr>
      </w:pPr>
    </w:p>
    <w:p w:rsidR="00A93D3E" w:rsidRDefault="00A93D3E">
      <w:pPr>
        <w:spacing w:line="360" w:lineRule="auto"/>
        <w:ind w:firstLine="708"/>
        <w:jc w:val="both"/>
        <w:rPr>
          <w:sz w:val="28"/>
          <w:szCs w:val="20"/>
          <w:lang w:val="en-US"/>
        </w:rPr>
      </w:pPr>
    </w:p>
    <w:p w:rsidR="00A93D3E" w:rsidRDefault="00A93D3E">
      <w:pPr>
        <w:pStyle w:val="3"/>
      </w:pPr>
    </w:p>
    <w:p w:rsidR="00A93D3E" w:rsidRDefault="00A93D3E">
      <w:pPr>
        <w:pStyle w:val="3"/>
      </w:pPr>
    </w:p>
    <w:p w:rsidR="00A93D3E" w:rsidRDefault="00A93D3E">
      <w:pPr>
        <w:pStyle w:val="3"/>
      </w:pPr>
      <w:r>
        <w:t>Список литературы</w:t>
      </w:r>
    </w:p>
    <w:p w:rsidR="00A93D3E" w:rsidRDefault="00A93D3E">
      <w:pPr>
        <w:spacing w:line="360" w:lineRule="auto"/>
        <w:ind w:firstLine="708"/>
        <w:jc w:val="center"/>
        <w:rPr>
          <w:b/>
          <w:bCs/>
          <w:i/>
          <w:iCs/>
          <w:sz w:val="32"/>
          <w:szCs w:val="20"/>
        </w:rPr>
      </w:pPr>
    </w:p>
    <w:p w:rsidR="00A93D3E" w:rsidRDefault="00A93D3E">
      <w:pPr>
        <w:spacing w:line="360" w:lineRule="auto"/>
        <w:ind w:firstLine="708"/>
        <w:jc w:val="center"/>
        <w:rPr>
          <w:b/>
          <w:bCs/>
          <w:i/>
          <w:iCs/>
          <w:sz w:val="32"/>
          <w:szCs w:val="20"/>
        </w:rPr>
      </w:pPr>
    </w:p>
    <w:p w:rsidR="00A93D3E" w:rsidRDefault="00A93D3E">
      <w:pPr>
        <w:numPr>
          <w:ilvl w:val="0"/>
          <w:numId w:val="30"/>
        </w:numPr>
        <w:spacing w:line="360" w:lineRule="auto"/>
        <w:jc w:val="center"/>
        <w:rPr>
          <w:b/>
          <w:bCs/>
          <w:i/>
          <w:iCs/>
          <w:sz w:val="32"/>
          <w:szCs w:val="20"/>
        </w:rPr>
      </w:pPr>
      <w:r>
        <w:rPr>
          <w:i/>
          <w:iCs/>
          <w:sz w:val="32"/>
        </w:rPr>
        <w:t>Волков А.М. Швеция: социально-экономическая модель. – Москва. 1991г</w:t>
      </w:r>
    </w:p>
    <w:p w:rsidR="00A93D3E" w:rsidRDefault="00A93D3E">
      <w:pPr>
        <w:numPr>
          <w:ilvl w:val="0"/>
          <w:numId w:val="30"/>
        </w:numPr>
        <w:spacing w:line="360" w:lineRule="auto"/>
        <w:jc w:val="center"/>
        <w:rPr>
          <w:b/>
          <w:bCs/>
          <w:i/>
          <w:iCs/>
          <w:sz w:val="32"/>
          <w:szCs w:val="20"/>
        </w:rPr>
      </w:pPr>
      <w:r>
        <w:rPr>
          <w:i/>
          <w:iCs/>
          <w:sz w:val="32"/>
        </w:rPr>
        <w:t>Абалкин А. И. Вопросы экономики, 2000г., № 1</w:t>
      </w:r>
    </w:p>
    <w:p w:rsidR="00A93D3E" w:rsidRDefault="00A93D3E">
      <w:pPr>
        <w:numPr>
          <w:ilvl w:val="0"/>
          <w:numId w:val="30"/>
        </w:numPr>
        <w:spacing w:line="360" w:lineRule="auto"/>
        <w:jc w:val="center"/>
        <w:rPr>
          <w:b/>
          <w:bCs/>
          <w:i/>
          <w:iCs/>
          <w:sz w:val="32"/>
          <w:szCs w:val="20"/>
        </w:rPr>
      </w:pPr>
      <w:r>
        <w:rPr>
          <w:i/>
          <w:iCs/>
          <w:sz w:val="32"/>
        </w:rPr>
        <w:t>Булатов А. С. Экономика. - Москва, 1997г</w:t>
      </w:r>
      <w:r>
        <w:t>.</w:t>
      </w:r>
    </w:p>
    <w:p w:rsidR="00A93D3E" w:rsidRDefault="00A93D3E">
      <w:pPr>
        <w:spacing w:line="360" w:lineRule="auto"/>
        <w:jc w:val="center"/>
        <w:rPr>
          <w:b/>
          <w:bCs/>
          <w:i/>
          <w:iCs/>
          <w:sz w:val="32"/>
          <w:szCs w:val="20"/>
        </w:rPr>
      </w:pPr>
    </w:p>
    <w:p w:rsidR="00A93D3E" w:rsidRDefault="00A93D3E">
      <w:pPr>
        <w:spacing w:line="360" w:lineRule="auto"/>
        <w:jc w:val="center"/>
        <w:rPr>
          <w:b/>
          <w:bCs/>
          <w:i/>
          <w:iCs/>
          <w:sz w:val="32"/>
          <w:szCs w:val="20"/>
        </w:rPr>
      </w:pPr>
      <w:bookmarkStart w:id="0" w:name="_GoBack"/>
      <w:bookmarkEnd w:id="0"/>
    </w:p>
    <w:sectPr w:rsidR="00A93D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3D3E" w:rsidRDefault="00A93D3E">
      <w:r>
        <w:separator/>
      </w:r>
    </w:p>
  </w:endnote>
  <w:endnote w:type="continuationSeparator" w:id="0">
    <w:p w:rsidR="00A93D3E" w:rsidRDefault="00A93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3D3E" w:rsidRDefault="00A93D3E">
      <w:r>
        <w:separator/>
      </w:r>
    </w:p>
  </w:footnote>
  <w:footnote w:type="continuationSeparator" w:id="0">
    <w:p w:rsidR="00A93D3E" w:rsidRDefault="00A93D3E">
      <w:r>
        <w:continuationSeparator/>
      </w:r>
    </w:p>
  </w:footnote>
  <w:footnote w:id="1">
    <w:p w:rsidR="00A93D3E" w:rsidRDefault="00A93D3E">
      <w:pPr>
        <w:pStyle w:val="a5"/>
      </w:pPr>
      <w:r>
        <w:rPr>
          <w:rStyle w:val="a4"/>
        </w:rPr>
        <w:t>1</w:t>
      </w:r>
      <w:r>
        <w:t xml:space="preserve"> Волков А.М. Швеция: социально-экономическая модель. - М., 1991г.- с.65</w:t>
      </w:r>
    </w:p>
  </w:footnote>
  <w:footnote w:id="2">
    <w:p w:rsidR="00A93D3E" w:rsidRDefault="00A93D3E">
      <w:pPr>
        <w:pStyle w:val="a5"/>
      </w:pPr>
      <w:r>
        <w:rPr>
          <w:rStyle w:val="a4"/>
        </w:rPr>
        <w:t>1</w:t>
      </w:r>
      <w:r>
        <w:t xml:space="preserve"> Абалкин А. И. Вопросы экономики.  , 2000г., № 1.- с.24</w:t>
      </w:r>
    </w:p>
  </w:footnote>
  <w:footnote w:id="3">
    <w:p w:rsidR="00A93D3E" w:rsidRDefault="00A93D3E">
      <w:pPr>
        <w:pStyle w:val="a5"/>
      </w:pPr>
      <w:r>
        <w:rPr>
          <w:rStyle w:val="a4"/>
        </w:rPr>
        <w:t>1</w:t>
      </w:r>
      <w:r>
        <w:t xml:space="preserve"> Волков А.М. Швеция: социально-экономическая модель. - М., 1991г.- с.79</w:t>
      </w:r>
    </w:p>
  </w:footnote>
  <w:footnote w:id="4">
    <w:p w:rsidR="00A93D3E" w:rsidRDefault="00A93D3E">
      <w:pPr>
        <w:pStyle w:val="a5"/>
      </w:pPr>
      <w:r>
        <w:rPr>
          <w:rStyle w:val="a4"/>
        </w:rPr>
        <w:t>1</w:t>
      </w:r>
      <w:r>
        <w:t xml:space="preserve"> Волков А.М. Швеция: социально-экономическая модель. - М., 1991г.- с.91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0406A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0ADF5113"/>
    <w:multiLevelType w:val="singleLevel"/>
    <w:tmpl w:val="4296C51A"/>
    <w:lvl w:ilvl="0">
      <w:start w:val="1"/>
      <w:numFmt w:val="bullet"/>
      <w:lvlText w:val="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0E185BB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E823E0C"/>
    <w:multiLevelType w:val="singleLevel"/>
    <w:tmpl w:val="2C88AE20"/>
    <w:lvl w:ilvl="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4">
    <w:nsid w:val="19493A9D"/>
    <w:multiLevelType w:val="singleLevel"/>
    <w:tmpl w:val="6BFAB6B0"/>
    <w:lvl w:ilvl="0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5">
    <w:nsid w:val="1A223FE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B485237"/>
    <w:multiLevelType w:val="singleLevel"/>
    <w:tmpl w:val="B232B27E"/>
    <w:lvl w:ilvl="0">
      <w:numFmt w:val="bullet"/>
      <w:lvlText w:val="√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7">
    <w:nsid w:val="211C62CE"/>
    <w:multiLevelType w:val="singleLevel"/>
    <w:tmpl w:val="6BFAB6B0"/>
    <w:lvl w:ilvl="0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8">
    <w:nsid w:val="301309F4"/>
    <w:multiLevelType w:val="singleLevel"/>
    <w:tmpl w:val="6BFAB6B0"/>
    <w:lvl w:ilvl="0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9">
    <w:nsid w:val="3B917161"/>
    <w:multiLevelType w:val="singleLevel"/>
    <w:tmpl w:val="6BFAB6B0"/>
    <w:lvl w:ilvl="0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10">
    <w:nsid w:val="446E6E9B"/>
    <w:multiLevelType w:val="singleLevel"/>
    <w:tmpl w:val="6BFAB6B0"/>
    <w:lvl w:ilvl="0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11">
    <w:nsid w:val="44E716EF"/>
    <w:multiLevelType w:val="singleLevel"/>
    <w:tmpl w:val="6BFAB6B0"/>
    <w:lvl w:ilvl="0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12">
    <w:nsid w:val="45406FC8"/>
    <w:multiLevelType w:val="singleLevel"/>
    <w:tmpl w:val="4F280722"/>
    <w:lvl w:ilvl="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3">
    <w:nsid w:val="46963C6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48DB4A1B"/>
    <w:multiLevelType w:val="singleLevel"/>
    <w:tmpl w:val="6BFAB6B0"/>
    <w:lvl w:ilvl="0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15">
    <w:nsid w:val="4C564BA8"/>
    <w:multiLevelType w:val="singleLevel"/>
    <w:tmpl w:val="6BFAB6B0"/>
    <w:lvl w:ilvl="0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16">
    <w:nsid w:val="4E3918A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7">
    <w:nsid w:val="4EA37C89"/>
    <w:multiLevelType w:val="singleLevel"/>
    <w:tmpl w:val="4F280722"/>
    <w:lvl w:ilvl="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8">
    <w:nsid w:val="5D13629F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>
    <w:nsid w:val="61F82D05"/>
    <w:multiLevelType w:val="singleLevel"/>
    <w:tmpl w:val="6BFAB6B0"/>
    <w:lvl w:ilvl="0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20">
    <w:nsid w:val="646F543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66AC2FCC"/>
    <w:multiLevelType w:val="singleLevel"/>
    <w:tmpl w:val="6BFAB6B0"/>
    <w:lvl w:ilvl="0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22">
    <w:nsid w:val="67FA1C4D"/>
    <w:multiLevelType w:val="singleLevel"/>
    <w:tmpl w:val="6BFAB6B0"/>
    <w:lvl w:ilvl="0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23">
    <w:nsid w:val="69B33DD8"/>
    <w:multiLevelType w:val="singleLevel"/>
    <w:tmpl w:val="6BFAB6B0"/>
    <w:lvl w:ilvl="0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24">
    <w:nsid w:val="6BA910EC"/>
    <w:multiLevelType w:val="singleLevel"/>
    <w:tmpl w:val="6BFAB6B0"/>
    <w:lvl w:ilvl="0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25">
    <w:nsid w:val="6C820F65"/>
    <w:multiLevelType w:val="hybridMultilevel"/>
    <w:tmpl w:val="AE5C926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6">
    <w:nsid w:val="70DB40F2"/>
    <w:multiLevelType w:val="singleLevel"/>
    <w:tmpl w:val="6BFAB6B0"/>
    <w:lvl w:ilvl="0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27">
    <w:nsid w:val="785F3084"/>
    <w:multiLevelType w:val="singleLevel"/>
    <w:tmpl w:val="6BFAB6B0"/>
    <w:lvl w:ilvl="0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28">
    <w:nsid w:val="7A9458E7"/>
    <w:multiLevelType w:val="singleLevel"/>
    <w:tmpl w:val="6BFAB6B0"/>
    <w:lvl w:ilvl="0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29">
    <w:nsid w:val="7C2737F1"/>
    <w:multiLevelType w:val="singleLevel"/>
    <w:tmpl w:val="6BFAB6B0"/>
    <w:lvl w:ilvl="0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2"/>
  </w:num>
  <w:num w:numId="3">
    <w:abstractNumId w:val="17"/>
  </w:num>
  <w:num w:numId="4">
    <w:abstractNumId w:val="6"/>
  </w:num>
  <w:num w:numId="5">
    <w:abstractNumId w:val="1"/>
  </w:num>
  <w:num w:numId="6">
    <w:abstractNumId w:val="5"/>
  </w:num>
  <w:num w:numId="7">
    <w:abstractNumId w:val="2"/>
  </w:num>
  <w:num w:numId="8">
    <w:abstractNumId w:val="20"/>
  </w:num>
  <w:num w:numId="9">
    <w:abstractNumId w:val="13"/>
  </w:num>
  <w:num w:numId="10">
    <w:abstractNumId w:val="16"/>
  </w:num>
  <w:num w:numId="11">
    <w:abstractNumId w:val="0"/>
  </w:num>
  <w:num w:numId="12">
    <w:abstractNumId w:val="18"/>
  </w:num>
  <w:num w:numId="13">
    <w:abstractNumId w:val="29"/>
  </w:num>
  <w:num w:numId="14">
    <w:abstractNumId w:val="10"/>
  </w:num>
  <w:num w:numId="15">
    <w:abstractNumId w:val="27"/>
  </w:num>
  <w:num w:numId="16">
    <w:abstractNumId w:val="22"/>
  </w:num>
  <w:num w:numId="17">
    <w:abstractNumId w:val="26"/>
  </w:num>
  <w:num w:numId="18">
    <w:abstractNumId w:val="14"/>
  </w:num>
  <w:num w:numId="19">
    <w:abstractNumId w:val="7"/>
  </w:num>
  <w:num w:numId="20">
    <w:abstractNumId w:val="11"/>
  </w:num>
  <w:num w:numId="21">
    <w:abstractNumId w:val="28"/>
  </w:num>
  <w:num w:numId="22">
    <w:abstractNumId w:val="15"/>
  </w:num>
  <w:num w:numId="23">
    <w:abstractNumId w:val="8"/>
  </w:num>
  <w:num w:numId="24">
    <w:abstractNumId w:val="4"/>
  </w:num>
  <w:num w:numId="25">
    <w:abstractNumId w:val="23"/>
  </w:num>
  <w:num w:numId="26">
    <w:abstractNumId w:val="9"/>
  </w:num>
  <w:num w:numId="27">
    <w:abstractNumId w:val="24"/>
  </w:num>
  <w:num w:numId="28">
    <w:abstractNumId w:val="21"/>
  </w:num>
  <w:num w:numId="29">
    <w:abstractNumId w:val="19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7BB9"/>
    <w:rsid w:val="001359F1"/>
    <w:rsid w:val="003B7BB9"/>
    <w:rsid w:val="00A41341"/>
    <w:rsid w:val="00A93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CF08D6-1ED1-4A93-A591-1DB69DA61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40"/>
      <w:szCs w:val="20"/>
    </w:rPr>
  </w:style>
  <w:style w:type="paragraph" w:styleId="2">
    <w:name w:val="heading 2"/>
    <w:basedOn w:val="a"/>
    <w:next w:val="a"/>
    <w:qFormat/>
    <w:pPr>
      <w:keepNext/>
      <w:overflowPunct w:val="0"/>
      <w:autoSpaceDE w:val="0"/>
      <w:autoSpaceDN w:val="0"/>
      <w:adjustRightInd w:val="0"/>
      <w:spacing w:before="240" w:after="60"/>
      <w:outlineLvl w:val="1"/>
    </w:pPr>
    <w:rPr>
      <w:rFonts w:ascii="Arial" w:hAnsi="Arial"/>
      <w:b/>
      <w:i/>
      <w:sz w:val="28"/>
      <w:szCs w:val="20"/>
    </w:rPr>
  </w:style>
  <w:style w:type="paragraph" w:styleId="3">
    <w:name w:val="heading 3"/>
    <w:basedOn w:val="a"/>
    <w:next w:val="a"/>
    <w:qFormat/>
    <w:pPr>
      <w:keepNext/>
      <w:spacing w:line="360" w:lineRule="auto"/>
      <w:ind w:firstLine="708"/>
      <w:jc w:val="center"/>
      <w:outlineLvl w:val="2"/>
    </w:pPr>
    <w:rPr>
      <w:b/>
      <w:bCs/>
      <w:i/>
      <w:iCs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pacing w:line="360" w:lineRule="auto"/>
      <w:ind w:firstLine="567"/>
      <w:jc w:val="both"/>
    </w:pPr>
    <w:rPr>
      <w:sz w:val="28"/>
    </w:rPr>
  </w:style>
  <w:style w:type="character" w:styleId="a4">
    <w:name w:val="footnote reference"/>
    <w:semiHidden/>
    <w:rPr>
      <w:vertAlign w:val="superscript"/>
    </w:rPr>
  </w:style>
  <w:style w:type="paragraph" w:styleId="20">
    <w:name w:val="Body Text 2"/>
    <w:basedOn w:val="a"/>
    <w:semiHidden/>
    <w:pPr>
      <w:spacing w:line="288" w:lineRule="auto"/>
      <w:jc w:val="both"/>
    </w:pPr>
    <w:rPr>
      <w:sz w:val="28"/>
      <w:szCs w:val="20"/>
    </w:rPr>
  </w:style>
  <w:style w:type="paragraph" w:styleId="a5">
    <w:name w:val="footnote text"/>
    <w:basedOn w:val="a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1823</Words>
  <Characters>10392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Рынок труда Швеции</vt:lpstr>
    </vt:vector>
  </TitlesOfParts>
  <Company>House</Company>
  <LinksUpToDate>false</LinksUpToDate>
  <CharactersWithSpaces>12191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Рынок труда Швеции</dc:title>
  <dc:subject/>
  <dc:creator>Nik</dc:creator>
  <cp:keywords/>
  <dc:description/>
  <cp:lastModifiedBy>admin</cp:lastModifiedBy>
  <cp:revision>2</cp:revision>
  <dcterms:created xsi:type="dcterms:W3CDTF">2014-02-12T18:51:00Z</dcterms:created>
  <dcterms:modified xsi:type="dcterms:W3CDTF">2014-02-12T18:51:00Z</dcterms:modified>
</cp:coreProperties>
</file>