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36" w:rsidRPr="008E0493" w:rsidRDefault="00E12736" w:rsidP="00E12736">
      <w:pPr>
        <w:spacing w:before="120"/>
        <w:jc w:val="center"/>
        <w:rPr>
          <w:b/>
          <w:bCs/>
          <w:sz w:val="32"/>
          <w:szCs w:val="32"/>
        </w:rPr>
      </w:pPr>
      <w:r w:rsidRPr="008E0493">
        <w:rPr>
          <w:b/>
          <w:bCs/>
          <w:sz w:val="32"/>
          <w:szCs w:val="32"/>
        </w:rPr>
        <w:t>Сексуальная совместимость партнеров. Типы половой конституции.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Одной из важных составляющих сексуальной совместимости партнеров является их половая конституция. Она зависит от многих параметров — уровня половых гормонов, половой дифференцировки мозга, психосексуального развития, полового созревания и других факторов.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Выделяют три типа половой конституции человека — сильную, среднюю и слабую.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Сильная половая конституция складывается из следующих составляющих: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У женщин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начало регулярных менструаций в 9-11 лет и раньше;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раннее пробуждение полового влечения — в 8-10 лет и даже раньше;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частая мастурбация;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первый оргазм в 11-17 лет и раньше;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наступление беременности сразу после начала половой жизни и даже при предохранении;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нормальное течение беременности;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отсутствие сексуальных расстройств;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тенденция к мужскому типу оволосения («усики» на верхней губе, волоски на подбородке);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женщине к длине её ноги — от 2,01 до 2,05.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У мужчин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раннее пробуждение полового влечения — в 9-11 лет и даже раньше;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первое семяизвержение в результате поллюции, мастурбации или полового сношения — в 10-12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частая мастурбация, может быть даже и в зрелые годы;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максимальное количество семяизвержений в течение суток — 7-9 и больше;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неудачи при половом акте — никогда не бывают;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резкое усиление сексуального влечения, эрекции и продолжительности полового акта в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состоянии алкогольного опьянения;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отсутствие сексуальных расстройств;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оволосение лобка по мужскому типу — в виде треугольника с вершиной, обращенной к пупку, и сильное оволосение тела;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мужчины к длине его ноги — 1,99 — 2 и больше.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Средняя половая конституция складывается из следующих составляющих: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У женщин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начало регулярных менструаций в 12-14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пробуждение полового влечения в 11-13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сравнительно редкая мастурбация;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первый оргазм — в 18-30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сроки наступления беременности после начала половой жизни — от 2-3 месяцев до 1-2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нормальное течение беременности или легкий токсикоз;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сексуальные расстройства — возникают редко;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оволосение лобка по женскому типу — с горизонтальной линией лобковых волос;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тела к длине ноги — от 1,97 до 2.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У мужчин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пробуждение полового влечения — в 12-14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первое семяизвержение в результате поллюции, мастурбации или полового сношения — в 13-15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мастурбация — частая, в юношеские годы;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максимальное количество семяизвержений в сутки — 4-6;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неудачи при половом акте — очень редки;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усиление сексуального влечения, эрекции и продолжительности полового акта в состоянии алкогольного опьянения;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сексуальные расстройства — возникают редко;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оволосение лобка по мужскому типу — поднимается до пупка;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и длины ноги — 1,92-1,98.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Слабая половая конституция складывается из следующих составляющих: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У женщин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начало менструаций — в 15-17 лет и позже;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возможны нарушения менструального цикла;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пробуждение полового влечения — 14-17 лет и позже;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мастурбация — отсутствует;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первый оргазм — в 31-34 года и позже, либо отсутствует;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сроки наступления беременности после начала половой жизни — от 3 до 10 и более лет;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беременность с угрозой прерывания, тяжелыми токсикозами;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сексуальные расстройства — нередки;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оволосение на лобке — слабое пушковое или отсутствует;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к длине ноги — 1,88 — 1, 96.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У мужчин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пробуждение полового влечения — 15-17 лет и позже;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первое семяизвержение в результате поллюции, мастурбации или полового сношения — 16-19 лет или позже;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мастурбация — отсутствовала или редко в юношеские годы;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максимальное количество семяизвержений в течение суток — 2-3;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неудачи при половом акте — иногда;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сексуальные расстройства — нередки;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оволосение на лобке — редкие пушковые волосы или оволосение по женскому типу горизонтальной линией лобковых волос;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 xml:space="preserve">соотношение роста и длины ноги — 1,85 — 1,91. 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Оптимальным для пары было бы совпадение половой конституции. Например, при сильной половой конституции обоих партнеров у них будут частые, возможно, и ежедневные половые сношения и сексуальные эксцессы (несколько половых сношений в течение суток). Оба партнера будут чрезвычайно довольны друг другом, а это залог сексуальной гармонии и длительного союза.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При средней половой конституции обоих партнеров половые сношения у супружеской пары с устоявшимся ритмом половой жизни могут быть 3-4 раза в неделю, по 1-2 половых сношения в течение суток.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А при слабой половой конституции обоих партнеров половые сношения пары будут довольно редкими, но это может устроить обоих, и на этой почве размолвок у них не будет.</w:t>
      </w:r>
    </w:p>
    <w:p w:rsidR="00E12736" w:rsidRPr="00212CD0" w:rsidRDefault="00E12736" w:rsidP="00E12736">
      <w:pPr>
        <w:spacing w:before="120"/>
        <w:ind w:firstLine="567"/>
        <w:jc w:val="both"/>
      </w:pPr>
      <w:r w:rsidRPr="00212CD0">
        <w:t>Но если половая конституция партнеров не совпадает, а тем более, в крайних её вариантах, например, сильная и слабая, то может возникнуть сексуальная дисгармония.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36"/>
    <w:rsid w:val="00212CD0"/>
    <w:rsid w:val="003E2EE0"/>
    <w:rsid w:val="00500B89"/>
    <w:rsid w:val="0050390D"/>
    <w:rsid w:val="006C2872"/>
    <w:rsid w:val="008E0493"/>
    <w:rsid w:val="00E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91B0BF-F58C-4483-83EE-5C8D09AD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3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2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702</Words>
  <Characters>4002</Characters>
  <Application>Microsoft Office Word</Application>
  <DocSecurity>0</DocSecurity>
  <Lines>33</Lines>
  <Paragraphs>9</Paragraphs>
  <ScaleCrop>false</ScaleCrop>
  <Company>Home</Company>
  <LinksUpToDate>false</LinksUpToDate>
  <CharactersWithSpaces>4695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Сексуальная совместимость партнеров</dc:title>
  <dc:subject/>
  <dc:creator>Alena</dc:creator>
  <cp:keywords/>
  <dc:description/>
  <cp:lastModifiedBy>admin</cp:lastModifiedBy>
  <cp:revision>2</cp:revision>
  <dcterms:created xsi:type="dcterms:W3CDTF">2014-02-19T16:19:00Z</dcterms:created>
  <dcterms:modified xsi:type="dcterms:W3CDTF">2014-02-19T16:19:00Z</dcterms:modified>
</cp:coreProperties>
</file>