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902" w:rsidRDefault="009C7902">
      <w:pPr>
        <w:pStyle w:val="1"/>
        <w:jc w:val="center"/>
      </w:pPr>
    </w:p>
    <w:p w:rsidR="009C7902" w:rsidRDefault="009C7902">
      <w:pPr>
        <w:pStyle w:val="1"/>
        <w:jc w:val="center"/>
      </w:pPr>
    </w:p>
    <w:p w:rsidR="009C7902" w:rsidRDefault="009C7902">
      <w:pPr>
        <w:pStyle w:val="1"/>
        <w:jc w:val="center"/>
        <w:rPr>
          <w:b/>
          <w:sz w:val="32"/>
        </w:rPr>
      </w:pPr>
      <w:r>
        <w:rPr>
          <w:b/>
          <w:sz w:val="32"/>
        </w:rPr>
        <w:t>Контрольная работа по курсу:</w:t>
      </w:r>
    </w:p>
    <w:p w:rsidR="009C7902" w:rsidRDefault="009C7902">
      <w:pPr>
        <w:pStyle w:val="1"/>
        <w:jc w:val="center"/>
        <w:rPr>
          <w:i/>
          <w:sz w:val="32"/>
        </w:rPr>
      </w:pPr>
      <w:r>
        <w:rPr>
          <w:i/>
          <w:sz w:val="32"/>
        </w:rPr>
        <w:t>«Демография»</w:t>
      </w:r>
    </w:p>
    <w:p w:rsidR="009C7902" w:rsidRDefault="009C7902">
      <w:pPr>
        <w:pStyle w:val="1"/>
        <w:rPr>
          <w:sz w:val="32"/>
        </w:rPr>
      </w:pPr>
    </w:p>
    <w:p w:rsidR="009C7902" w:rsidRDefault="009C7902">
      <w:pPr>
        <w:pStyle w:val="1"/>
      </w:pPr>
    </w:p>
    <w:p w:rsidR="009C7902" w:rsidRDefault="009C7902">
      <w:pPr>
        <w:pStyle w:val="1"/>
      </w:pPr>
    </w:p>
    <w:p w:rsidR="009C7902" w:rsidRDefault="009C7902">
      <w:pPr>
        <w:pStyle w:val="1"/>
      </w:pPr>
    </w:p>
    <w:p w:rsidR="009C7902" w:rsidRDefault="009C7902">
      <w:pPr>
        <w:pStyle w:val="1"/>
      </w:pPr>
    </w:p>
    <w:p w:rsidR="009C7902" w:rsidRDefault="009C7902">
      <w:pPr>
        <w:pStyle w:val="1"/>
        <w:rPr>
          <w:i/>
          <w:sz w:val="32"/>
        </w:rPr>
      </w:pPr>
      <w:r>
        <w:rPr>
          <w:b/>
          <w:sz w:val="32"/>
        </w:rPr>
        <w:t xml:space="preserve">Тема: </w:t>
      </w:r>
      <w:r>
        <w:rPr>
          <w:i/>
          <w:sz w:val="32"/>
        </w:rPr>
        <w:t>«Сельское население»</w:t>
      </w:r>
    </w:p>
    <w:p w:rsidR="009C7902" w:rsidRDefault="009C7902">
      <w:pPr>
        <w:pStyle w:val="1"/>
      </w:pPr>
    </w:p>
    <w:p w:rsidR="009C7902" w:rsidRDefault="009C7902">
      <w:pPr>
        <w:pStyle w:val="1"/>
      </w:pPr>
    </w:p>
    <w:p w:rsidR="009C7902" w:rsidRDefault="009C7902">
      <w:pPr>
        <w:pStyle w:val="1"/>
        <w:jc w:val="right"/>
      </w:pPr>
    </w:p>
    <w:p w:rsidR="009C7902" w:rsidRDefault="009C7902"/>
    <w:p w:rsidR="009C7902" w:rsidRDefault="009C7902"/>
    <w:p w:rsidR="009C7902" w:rsidRDefault="009C7902"/>
    <w:p w:rsidR="009C7902" w:rsidRDefault="009C7902"/>
    <w:p w:rsidR="009C7902" w:rsidRDefault="009C7902"/>
    <w:p w:rsidR="009C7902" w:rsidRDefault="009C7902">
      <w:pPr>
        <w:pStyle w:val="1"/>
        <w:jc w:val="right"/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494E93" w:rsidRDefault="00494E93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Содержание:</w:t>
      </w:r>
    </w:p>
    <w:p w:rsidR="009C7902" w:rsidRDefault="009C7902">
      <w:pPr>
        <w:pStyle w:val="FR1"/>
        <w:jc w:val="both"/>
        <w:rPr>
          <w:rFonts w:ascii="Times New Roman" w:hAnsi="Times New Roman"/>
        </w:rPr>
      </w:pPr>
    </w:p>
    <w:p w:rsidR="009C7902" w:rsidRDefault="009C7902">
      <w:pPr>
        <w:pStyle w:val="FR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Сельское население: феномен роста……………………………..  3</w:t>
      </w:r>
    </w:p>
    <w:p w:rsidR="009C7902" w:rsidRDefault="009C7902">
      <w:pPr>
        <w:pStyle w:val="FR1"/>
        <w:numPr>
          <w:ilvl w:val="0"/>
          <w:numId w:val="2"/>
        </w:numPr>
        <w:jc w:val="both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</w:rPr>
        <w:t>Хватает ли рабочих рук на селе?………………………………… 7</w:t>
      </w:r>
    </w:p>
    <w:p w:rsidR="009C7902" w:rsidRDefault="009C7902">
      <w:pPr>
        <w:pStyle w:val="FR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Региональные пути выживания сельской местности…………  9</w:t>
      </w:r>
    </w:p>
    <w:p w:rsidR="009C7902" w:rsidRDefault="009C7902">
      <w:pPr>
        <w:pStyle w:val="FR1"/>
        <w:numPr>
          <w:ilvl w:val="0"/>
          <w:numId w:val="2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Список литературы……………………………………………….. 11</w:t>
      </w: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Сельское население: феномен роста</w:t>
      </w:r>
    </w:p>
    <w:p w:rsidR="009C7902" w:rsidRDefault="009C7902">
      <w:pPr>
        <w:pStyle w:val="a3"/>
        <w:ind w:firstLine="340"/>
        <w:jc w:val="both"/>
        <w:rPr>
          <w:sz w:val="28"/>
        </w:rPr>
      </w:pPr>
      <w:r>
        <w:rPr>
          <w:sz w:val="28"/>
        </w:rPr>
        <w:t>Кризис и реформы 1990-х гг. привнесли столь существенные изменения в эволю</w:t>
      </w:r>
      <w:r>
        <w:rPr>
          <w:sz w:val="28"/>
        </w:rPr>
        <w:softHyphen/>
        <w:t>ционные тренды динамики сельского населения, что они требуют специального и подробного рассмотрения. С другой стороны, незавершенность процесса и на</w:t>
      </w:r>
      <w:r>
        <w:rPr>
          <w:sz w:val="28"/>
        </w:rPr>
        <w:softHyphen/>
        <w:t>личие большого пласта литературы, посвященной этим вопросам, позволяют ограничиться лишь констатацией наиболее значимых тенденций.</w:t>
      </w:r>
    </w:p>
    <w:p w:rsidR="009C7902" w:rsidRDefault="009C7902">
      <w:pPr>
        <w:spacing w:before="80"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1990-х гг. характери</w:t>
      </w:r>
      <w:r>
        <w:rPr>
          <w:rFonts w:ascii="Times New Roman" w:hAnsi="Times New Roman"/>
          <w:sz w:val="28"/>
        </w:rPr>
        <w:softHyphen/>
        <w:t>зуется прекращением роста городского населения и сменой знака динамики сельского с отрицательного на положительный</w:t>
      </w:r>
      <w:r>
        <w:rPr>
          <w:rFonts w:ascii="Times New Roman" w:hAnsi="Times New Roman"/>
          <w:b/>
          <w:sz w:val="28"/>
        </w:rPr>
        <w:t xml:space="preserve"> (табл. 1).</w:t>
      </w:r>
      <w:r>
        <w:rPr>
          <w:rFonts w:ascii="Times New Roman" w:hAnsi="Times New Roman"/>
          <w:sz w:val="28"/>
        </w:rPr>
        <w:t xml:space="preserve"> Сначала (в 1991-1992 гг.) ее поро</w:t>
      </w:r>
      <w:r>
        <w:rPr>
          <w:rFonts w:ascii="Times New Roman" w:hAnsi="Times New Roman"/>
          <w:sz w:val="28"/>
        </w:rPr>
        <w:softHyphen/>
        <w:t>дили возвраты сельского статуса поселениям, а в 1992-1994 гг. — активные миграции в село. Устойчивое высокое сальдо миграций связано с межрайонными (например, из Магадана в курское село) и международными (туда же из Ташкента) миграциями (Зайончковская, 1997,1999; Население России, 1999). В среднем около 40% прибыва</w:t>
      </w:r>
      <w:r>
        <w:rPr>
          <w:rFonts w:ascii="Times New Roman" w:hAnsi="Times New Roman"/>
          <w:sz w:val="28"/>
        </w:rPr>
        <w:softHyphen/>
        <w:t>ющих в регионы направлялись в село, хотя его доля в населении регионов в 1,5-2 раза ниже, а большинство приезжих — выходцы из городов.</w:t>
      </w:r>
    </w:p>
    <w:p w:rsidR="009C7902" w:rsidRDefault="009C7902">
      <w:pPr>
        <w:spacing w:before="80"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Почему же люди ехали в сельскую местность? Не только же из-за политики мигра</w:t>
      </w:r>
      <w:r>
        <w:rPr>
          <w:rFonts w:ascii="Times New Roman" w:hAnsi="Times New Roman"/>
          <w:sz w:val="28"/>
        </w:rPr>
        <w:softHyphen/>
        <w:t>ционных служб! Упрощенно общая ситуация сводилась к тому, что на селе легче с жиль</w:t>
      </w:r>
      <w:r>
        <w:rPr>
          <w:rFonts w:ascii="Times New Roman" w:hAnsi="Times New Roman"/>
          <w:sz w:val="28"/>
        </w:rPr>
        <w:softHyphen/>
        <w:t>ем, хотя труднее с работой и заработком. При сильном перепаде цен да еще в стрессо</w:t>
      </w:r>
      <w:r>
        <w:rPr>
          <w:rFonts w:ascii="Times New Roman" w:hAnsi="Times New Roman"/>
          <w:sz w:val="28"/>
        </w:rPr>
        <w:softHyphen/>
        <w:t>вых обстоятельствах фактор пристанища часто перевешивал все другие. Плюс возможность получить землю, иногда кредит на постройку дома. Тем не менее для очень многих приезжающих в села горожан, особенно из бывших республик СССР, это лишь временная остановка на пути в город. Когда к середине 1990-х выяснилось, что и при кризисе заработать легче все же в городе, притом крупном, миграции снова канализо</w:t>
      </w:r>
      <w:r>
        <w:rPr>
          <w:rFonts w:ascii="Times New Roman" w:hAnsi="Times New Roman"/>
          <w:sz w:val="28"/>
        </w:rPr>
        <w:softHyphen/>
        <w:t>вались в города.</w:t>
      </w:r>
    </w:p>
    <w:p w:rsidR="009C7902" w:rsidRDefault="009C7902">
      <w:pPr>
        <w:pStyle w:val="20"/>
      </w:pPr>
      <w:r>
        <w:t>Поскольку определяющим фактором изменения динамики сельского населения ста</w:t>
      </w:r>
      <w:r>
        <w:softHyphen/>
        <w:t>ли межрайонные и международные миграции, есть смысл проследить их региональные вариации. Как и городские, сельские мигранты развернулись с востока на запад. Если в предыдущем десятилетии (1979-1988 гг.) положительный миграционный прирост на селе в Европейской России был только в пригородных Московской и Ленинградской об</w:t>
      </w:r>
      <w:r>
        <w:softHyphen/>
        <w:t>ластях, а также на Ставрополье, то уже в 1990 г. число таких регионов достигло 11, а к середине 1990-х население в села притягивали почти все регионы Европейской час</w:t>
      </w:r>
      <w:r>
        <w:softHyphen/>
        <w:t>ти, кроме северных. Но зона максимальной аттрактивности, как и для городов находится к югу и юго-западу от Москвы.</w:t>
      </w:r>
    </w:p>
    <w:p w:rsidR="009C7902" w:rsidRDefault="009C7902">
      <w:pPr>
        <w:spacing w:before="20" w:line="22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Апогеем притока населения стал 1994 г. Тогда в 23 регионах общее сальдо миграций в села даже превышало соответствующее сальдо в города. К 1998 г. таких регионов ос</w:t>
      </w:r>
      <w:r>
        <w:rPr>
          <w:rFonts w:ascii="Times New Roman" w:hAnsi="Times New Roman"/>
          <w:sz w:val="28"/>
        </w:rPr>
        <w:softHyphen/>
        <w:t>талось только 10. Это прежде всего равнинное Предкавказье, а также некоторые респуб</w:t>
      </w:r>
      <w:r>
        <w:rPr>
          <w:rFonts w:ascii="Times New Roman" w:hAnsi="Times New Roman"/>
          <w:sz w:val="28"/>
        </w:rPr>
        <w:softHyphen/>
        <w:t>лики: Дагестан, Северная Осетия, Ингушетия. Из других регионов — Оренбургская, Кур</w:t>
      </w:r>
      <w:r>
        <w:rPr>
          <w:rFonts w:ascii="Times New Roman" w:hAnsi="Times New Roman"/>
          <w:sz w:val="28"/>
        </w:rPr>
        <w:softHyphen/>
        <w:t>ганская, а также Тамбовская и Ульяновская области (Численность и миграции, 1998).</w:t>
      </w:r>
    </w:p>
    <w:p w:rsidR="009C7902" w:rsidRDefault="009C7902">
      <w:pPr>
        <w:pStyle w:val="FR2"/>
        <w:sectPr w:rsidR="009C7902">
          <w:footerReference w:type="even" r:id="rId7"/>
          <w:footerReference w:type="default" r:id="rId8"/>
          <w:type w:val="continuous"/>
          <w:pgSz w:w="11900" w:h="16820"/>
          <w:pgMar w:top="1440" w:right="1410" w:bottom="1560" w:left="1560" w:header="720" w:footer="720" w:gutter="0"/>
          <w:cols w:space="60"/>
          <w:noEndnote/>
          <w:titlePg/>
        </w:sectPr>
      </w:pPr>
    </w:p>
    <w:p w:rsidR="009C7902" w:rsidRDefault="009C7902">
      <w:pPr>
        <w:spacing w:before="0" w:after="120"/>
        <w:ind w:right="-22" w:firstLine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Таблица 1. </w:t>
      </w:r>
    </w:p>
    <w:p w:rsidR="009C7902" w:rsidRDefault="009C7902">
      <w:pPr>
        <w:spacing w:before="0" w:after="120"/>
        <w:ind w:right="-22" w:firstLine="0"/>
        <w:jc w:val="center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Прирост сельского населения и его составляющие (тыс. чел.) в 1959-1998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1710"/>
        <w:gridCol w:w="1843"/>
        <w:gridCol w:w="2268"/>
        <w:gridCol w:w="2551"/>
      </w:tblGrid>
      <w:tr w:rsidR="009C7902">
        <w:trPr>
          <w:trHeight w:hRule="exact" w:val="740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</w:t>
            </w:r>
          </w:p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 прирост/убыль</w:t>
            </w:r>
          </w:p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естественный прирост</w:t>
            </w:r>
          </w:p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9C7902" w:rsidRDefault="009C7902">
            <w:pPr>
              <w:spacing w:line="240" w:lineRule="auto"/>
              <w:ind w:left="320" w:right="20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9C7902" w:rsidRDefault="009C7902">
            <w:pPr>
              <w:spacing w:line="240" w:lineRule="auto"/>
              <w:ind w:left="280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миграционный прирост</w:t>
            </w:r>
          </w:p>
          <w:p w:rsidR="009C7902" w:rsidRDefault="009C7902">
            <w:pPr>
              <w:spacing w:line="240" w:lineRule="auto"/>
              <w:ind w:left="28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Административные преобразования</w:t>
            </w:r>
          </w:p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43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-607,9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1045,4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-1289,2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-364,1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1979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-557,1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121,8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-525,6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-153,3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-207,4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143,7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-272,9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-78,2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6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-58,0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88,0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-72,6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-73,4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1991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278,6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44,3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57,4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185,9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721,2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-30,2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289,5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461,9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1993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-184,1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264,0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71,0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-227,3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272,4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19,8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6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1995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-112,7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-219,3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6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-146,6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-239,0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34,2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58,8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700" w:type="dxa"/>
            <w:tcBorders>
              <w:left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1997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-132,9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-233,0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56,4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43,7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320"/>
        </w:trPr>
        <w:tc>
          <w:tcPr>
            <w:tcW w:w="70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710" w:type="dxa"/>
            <w:tcBorders>
              <w:left w:val="nil"/>
              <w:bottom w:val="single" w:sz="6" w:space="0" w:color="auto"/>
            </w:tcBorders>
          </w:tcPr>
          <w:p w:rsidR="009C7902" w:rsidRDefault="009C7902">
            <w:pPr>
              <w:pStyle w:val="FR2"/>
              <w:spacing w:before="20"/>
              <w:rPr>
                <w:sz w:val="24"/>
              </w:rPr>
            </w:pPr>
            <w:r>
              <w:rPr>
                <w:sz w:val="24"/>
              </w:rPr>
              <w:t>-194,8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-206,9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44,5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-32,4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9C7902" w:rsidRDefault="009C7902">
      <w:pPr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9C7902" w:rsidRDefault="009C7902">
      <w:pPr>
        <w:spacing w:before="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1992 г. произошел еще один важный перелом — вековой устойчивый естествен</w:t>
      </w:r>
      <w:r>
        <w:rPr>
          <w:rFonts w:ascii="Times New Roman" w:hAnsi="Times New Roman"/>
          <w:sz w:val="28"/>
        </w:rPr>
        <w:softHyphen/>
        <w:t>ный прирост сельского населения сменился на убыль: смертность стала выше рождае</w:t>
      </w:r>
      <w:r>
        <w:rPr>
          <w:rFonts w:ascii="Times New Roman" w:hAnsi="Times New Roman"/>
          <w:sz w:val="28"/>
        </w:rPr>
        <w:softHyphen/>
        <w:t xml:space="preserve">мости. Поначалу миграции в села даже перекрывали естественную убыль, но с 1995 г. сельское население стало вновь сокращаться, как и до 1990-х, только уже по другим причинам </w:t>
      </w:r>
      <w:r>
        <w:rPr>
          <w:rFonts w:ascii="Times New Roman" w:hAnsi="Times New Roman"/>
          <w:b/>
          <w:sz w:val="28"/>
        </w:rPr>
        <w:t>(табл. 1)</w:t>
      </w:r>
      <w:r>
        <w:rPr>
          <w:rFonts w:ascii="Times New Roman" w:hAnsi="Times New Roman"/>
          <w:sz w:val="28"/>
        </w:rPr>
        <w:t>.</w:t>
      </w:r>
    </w:p>
    <w:p w:rsidR="009C7902" w:rsidRDefault="009C7902">
      <w:pPr>
        <w:spacing w:before="0" w:line="240" w:lineRule="auto"/>
        <w:ind w:firstLine="3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Проследить, как сказываются новые реалии на изменении сельского расселения, довольно сложно, так как наиболее полную картину по поселениям дает только пере</w:t>
      </w:r>
      <w:r>
        <w:rPr>
          <w:rFonts w:ascii="Times New Roman" w:hAnsi="Times New Roman"/>
          <w:sz w:val="28"/>
        </w:rPr>
        <w:softHyphen/>
        <w:t>пись населения. Попробуем это сделать косвенно — путем соотношения потерь и при</w:t>
      </w:r>
      <w:r>
        <w:rPr>
          <w:rFonts w:ascii="Times New Roman" w:hAnsi="Times New Roman"/>
          <w:sz w:val="28"/>
        </w:rPr>
        <w:softHyphen/>
        <w:t>тока сельского населения в разных регионах и на разные даты</w:t>
      </w:r>
      <w:r>
        <w:rPr>
          <w:rFonts w:ascii="Times New Roman" w:hAnsi="Times New Roman"/>
          <w:b/>
          <w:sz w:val="28"/>
        </w:rPr>
        <w:t xml:space="preserve"> (табл. 2).</w:t>
      </w:r>
    </w:p>
    <w:p w:rsidR="009C7902" w:rsidRDefault="009C7902">
      <w:pPr>
        <w:spacing w:before="0" w:line="240" w:lineRule="auto"/>
        <w:ind w:firstLine="3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Общее число регионов с положительным сальдо миграций в деревню увеличилось в Европейской части с 11 в 1990 г. до 46 в 1994 и снизилось к 1998 г. до 39. Тем не ме</w:t>
      </w:r>
      <w:r>
        <w:rPr>
          <w:rFonts w:ascii="Times New Roman" w:hAnsi="Times New Roman"/>
          <w:sz w:val="28"/>
        </w:rPr>
        <w:softHyphen/>
        <w:t>нее заметное изменение в сельском расселении можно ожидать в тех случаях, когда эти миграции перекрывают естественную убыль (Тип 5). В 1994 г. таких регионов было 19, и они концентрировали половину сельского населения - это почти вся южная часть Ев</w:t>
      </w:r>
      <w:r>
        <w:rPr>
          <w:rFonts w:ascii="Times New Roman" w:hAnsi="Times New Roman"/>
          <w:sz w:val="28"/>
        </w:rPr>
        <w:softHyphen/>
        <w:t>ропейской России. Но за четыре последующих года их доля упала более чем вдвое. Из оставшихся к 1998 г. 6 регионов лишь один Северо-Кавказский - Ставрополье, остальные Волжские (Самарская, Сарато</w:t>
      </w:r>
      <w:r>
        <w:rPr>
          <w:rFonts w:ascii="Times New Roman" w:hAnsi="Times New Roman"/>
          <w:sz w:val="28"/>
        </w:rPr>
        <w:softHyphen/>
        <w:t>вская области и Татарстан) и Южно-Уральские (Челябинская и Оренбургская области).</w:t>
      </w:r>
    </w:p>
    <w:p w:rsidR="009C7902" w:rsidRDefault="009C7902">
      <w:pPr>
        <w:spacing w:before="0" w:line="240" w:lineRule="auto"/>
        <w:ind w:firstLine="0"/>
        <w:jc w:val="right"/>
        <w:rPr>
          <w:rFonts w:ascii="Times New Roman" w:hAnsi="Times New Roman"/>
          <w:b/>
          <w:sz w:val="24"/>
        </w:rPr>
      </w:pPr>
    </w:p>
    <w:p w:rsidR="009C7902" w:rsidRDefault="009C7902">
      <w:pPr>
        <w:spacing w:before="0" w:line="240" w:lineRule="auto"/>
        <w:ind w:firstLine="0"/>
        <w:jc w:val="right"/>
        <w:rPr>
          <w:rFonts w:ascii="Times New Roman" w:hAnsi="Times New Roman"/>
          <w:b/>
          <w:sz w:val="24"/>
        </w:rPr>
      </w:pPr>
    </w:p>
    <w:p w:rsidR="009C7902" w:rsidRDefault="009C7902">
      <w:pPr>
        <w:spacing w:before="0" w:line="240" w:lineRule="auto"/>
        <w:ind w:firstLine="0"/>
        <w:jc w:val="right"/>
        <w:rPr>
          <w:rFonts w:ascii="Times New Roman" w:hAnsi="Times New Roman"/>
          <w:b/>
          <w:sz w:val="24"/>
        </w:rPr>
      </w:pPr>
    </w:p>
    <w:p w:rsidR="009C7902" w:rsidRDefault="009C7902">
      <w:pPr>
        <w:spacing w:before="0" w:line="240" w:lineRule="auto"/>
        <w:ind w:firstLine="0"/>
        <w:jc w:val="right"/>
        <w:rPr>
          <w:rFonts w:ascii="Times New Roman" w:hAnsi="Times New Roman"/>
          <w:b/>
          <w:sz w:val="24"/>
        </w:rPr>
      </w:pPr>
    </w:p>
    <w:p w:rsidR="009C7902" w:rsidRDefault="009C7902">
      <w:pPr>
        <w:spacing w:before="0" w:line="240" w:lineRule="auto"/>
        <w:ind w:firstLine="0"/>
        <w:jc w:val="right"/>
        <w:rPr>
          <w:rFonts w:ascii="Times New Roman" w:hAnsi="Times New Roman"/>
          <w:b/>
          <w:sz w:val="24"/>
        </w:rPr>
      </w:pPr>
    </w:p>
    <w:p w:rsidR="009C7902" w:rsidRDefault="009C7902">
      <w:pPr>
        <w:spacing w:before="0" w:line="240" w:lineRule="auto"/>
        <w:ind w:firstLine="0"/>
        <w:jc w:val="right"/>
        <w:rPr>
          <w:rFonts w:ascii="Times New Roman" w:hAnsi="Times New Roman"/>
          <w:b/>
          <w:sz w:val="24"/>
        </w:rPr>
      </w:pPr>
    </w:p>
    <w:p w:rsidR="009C7902" w:rsidRDefault="009C7902">
      <w:pPr>
        <w:spacing w:before="0" w:line="240" w:lineRule="auto"/>
        <w:ind w:firstLine="0"/>
        <w:jc w:val="right"/>
        <w:rPr>
          <w:rFonts w:ascii="Times New Roman" w:hAnsi="Times New Roman"/>
          <w:b/>
          <w:sz w:val="24"/>
        </w:rPr>
      </w:pPr>
    </w:p>
    <w:p w:rsidR="009C7902" w:rsidRDefault="009C7902">
      <w:pPr>
        <w:spacing w:before="0" w:line="240" w:lineRule="auto"/>
        <w:ind w:firstLine="0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Таблица 2. </w:t>
      </w:r>
    </w:p>
    <w:p w:rsidR="009C7902" w:rsidRDefault="009C7902">
      <w:pPr>
        <w:pStyle w:val="30"/>
        <w:jc w:val="center"/>
      </w:pPr>
      <w:r>
        <w:t>Типология регионов Европейской России по соотношению естественного и миграционного прироста на селе в 1990,1994 и 1998 гг.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0"/>
        <w:gridCol w:w="3300"/>
        <w:gridCol w:w="678"/>
        <w:gridCol w:w="709"/>
        <w:gridCol w:w="850"/>
        <w:gridCol w:w="993"/>
        <w:gridCol w:w="992"/>
        <w:gridCol w:w="850"/>
      </w:tblGrid>
      <w:tr w:rsidR="009C7902">
        <w:trPr>
          <w:cantSplit/>
          <w:trHeight w:hRule="exact" w:val="929"/>
        </w:trPr>
        <w:tc>
          <w:tcPr>
            <w:tcW w:w="40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902" w:rsidRDefault="009C7902">
            <w:pPr>
              <w:pStyle w:val="2"/>
              <w:ind w:firstLine="0"/>
            </w:pPr>
          </w:p>
          <w:p w:rsidR="009C7902" w:rsidRDefault="009C7902">
            <w:pPr>
              <w:pStyle w:val="2"/>
              <w:ind w:firstLine="0"/>
            </w:pPr>
            <w:r>
              <w:t>Типы регионов</w:t>
            </w:r>
          </w:p>
          <w:p w:rsidR="009C7902" w:rsidRDefault="009C7902">
            <w:pPr>
              <w:pStyle w:val="1"/>
            </w:pPr>
          </w:p>
          <w:p w:rsidR="009C7902" w:rsidRDefault="009C7902">
            <w:pPr>
              <w:pStyle w:val="1"/>
            </w:pPr>
          </w:p>
          <w:p w:rsidR="009C7902" w:rsidRDefault="009C7902">
            <w:pPr>
              <w:pStyle w:val="1"/>
            </w:pPr>
          </w:p>
        </w:tc>
        <w:tc>
          <w:tcPr>
            <w:tcW w:w="2237" w:type="dxa"/>
            <w:gridSpan w:val="3"/>
            <w:tcBorders>
              <w:top w:val="single" w:sz="6" w:space="0" w:color="auto"/>
              <w:left w:val="nil"/>
            </w:tcBorders>
          </w:tcPr>
          <w:p w:rsidR="009C7902" w:rsidRDefault="009C7902">
            <w:pPr>
              <w:pStyle w:val="3"/>
            </w:pPr>
            <w:r>
              <w:t>Число регионов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типа в сельском неселении Европейской России, в %</w:t>
            </w:r>
          </w:p>
        </w:tc>
      </w:tr>
      <w:tr w:rsidR="009C7902">
        <w:trPr>
          <w:cantSplit/>
          <w:trHeight w:hRule="exact" w:val="446"/>
        </w:trPr>
        <w:tc>
          <w:tcPr>
            <w:tcW w:w="400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1990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left="80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1994</w:t>
            </w:r>
          </w:p>
          <w:p w:rsidR="009C7902" w:rsidRDefault="009C7902">
            <w:pPr>
              <w:spacing w:line="240" w:lineRule="auto"/>
              <w:ind w:left="80"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1998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cantSplit/>
          <w:trHeight w:hRule="exact" w:val="260"/>
        </w:trPr>
        <w:tc>
          <w:tcPr>
            <w:tcW w:w="907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Регионы, где рождаемость выше смертности, в т.ч. 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Регионы, где рождаемость выш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 сме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ртности,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т. ч.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cantSplit/>
          <w:trHeight w:hRule="exact" w:val="41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1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миграционным притоком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12,1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5,4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cantSplit/>
          <w:trHeight w:hRule="exact" w:val="41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pStyle w:val="1"/>
              <w:spacing w:before="20"/>
            </w:pPr>
            <w:r>
              <w:t>Тип 2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миграционным оттоком 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38,9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pStyle w:val="FR2"/>
              <w:spacing w:before="20"/>
              <w:rPr>
                <w:sz w:val="24"/>
              </w:rPr>
            </w:pPr>
            <w:r>
              <w:rPr>
                <w:sz w:val="24"/>
              </w:rPr>
              <w:t>2,5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2,8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cantSplit/>
          <w:trHeight w:hRule="exact" w:val="406"/>
        </w:trPr>
        <w:tc>
          <w:tcPr>
            <w:tcW w:w="9072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Регионы, где смертность выше рождаемости, в т.ч.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Регионы, где смертность выше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рожд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аемости,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6"/>
              </w:rPr>
              <w:t>ВТ. Ч.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9C7902">
        <w:trPr>
          <w:cantSplit/>
          <w:trHeight w:hRule="exact" w:val="4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3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pStyle w:val="1"/>
              <w:spacing w:before="20"/>
            </w:pPr>
            <w:r>
              <w:t xml:space="preserve">С миграционным оттоком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26,2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10,2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17,8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cantSplit/>
          <w:trHeight w:hRule="exact" w:val="86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  <w:p w:rsidR="009C7902" w:rsidRDefault="009C7902">
            <w:pPr>
              <w:pStyle w:val="1"/>
            </w:pPr>
            <w:r>
              <w:t>Тип 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миграционным притоком, не превышающим естественную убыль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13,8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30,7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55,1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cantSplit/>
          <w:trHeight w:hRule="exact" w:val="85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миграционным притоком, превышающим естественную убыль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9,0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48,7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18,9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cantSplit/>
          <w:trHeight w:hRule="exact" w:val="280"/>
        </w:trPr>
        <w:tc>
          <w:tcPr>
            <w:tcW w:w="4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pStyle w:val="3"/>
              <w:spacing w:before="20"/>
            </w:pPr>
            <w:r>
              <w:t>ИТОГО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</w:tbl>
    <w:p w:rsidR="009C7902" w:rsidRDefault="009C7902">
      <w:pPr>
        <w:pStyle w:val="a4"/>
      </w:pPr>
    </w:p>
    <w:p w:rsidR="009C7902" w:rsidRDefault="009C7902">
      <w:pPr>
        <w:pStyle w:val="a4"/>
      </w:pPr>
      <w:r>
        <w:t>Таким образом, и в 1990-х гг. в районах наибольшей депопуляции миграционный приток в села не смог перекрыть прогрессирующую убыль населения. Например, в Ярославской области наметившиеся было тенденции роста сельского населения пе</w:t>
      </w:r>
      <w:r>
        <w:softHyphen/>
        <w:t>реломились с 1997 г. И прежде эти тенденции обеспечивались не столько за счет при</w:t>
      </w:r>
      <w:r>
        <w:softHyphen/>
        <w:t>тока населения в село, который был меньше естественной убыли, сколько за счет адми</w:t>
      </w:r>
      <w:r>
        <w:softHyphen/>
        <w:t>нистративных преобразований поселков городского типа и маленьких городков в села, что давало преимущества их жителям в получении большего надела земли в собствен</w:t>
      </w:r>
      <w:r>
        <w:softHyphen/>
        <w:t>ность. Тем не менее еле заметное кратковременное улучшение демографической ситу</w:t>
      </w:r>
      <w:r>
        <w:softHyphen/>
        <w:t>ации все же произошло. За первую половину 1990-х доля сельского населения старше трудоспособного возраста на периферии уменьшилась на 1-2%, все равно оставаясь на уровне трети и даже более от всех селян (Демографические процессы.., 1996). Естественная убыль старого населения все увеличивалась, а динамика сельского населения к концу десятилетия почти вернулась на уровень 1990 г.</w:t>
      </w:r>
    </w:p>
    <w:p w:rsidR="009C7902" w:rsidRDefault="009C7902">
      <w:pPr>
        <w:spacing w:line="22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Более того, в той же Ярославской области, как и во многих среднерусских областях, уже к 1995 г. почти восстановилась и прежняя картина внутрирегиональных перемеще</w:t>
      </w:r>
      <w:r>
        <w:rPr>
          <w:rFonts w:ascii="Times New Roman" w:hAnsi="Times New Roman"/>
          <w:sz w:val="28"/>
        </w:rPr>
        <w:softHyphen/>
        <w:t xml:space="preserve">ний. Периферийные административные районы активно теряли сельское население, в то время как в пригородном Ярославском до 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/5 всего миграционного прироста со</w:t>
      </w:r>
      <w:r>
        <w:rPr>
          <w:rFonts w:ascii="Times New Roman" w:hAnsi="Times New Roman"/>
          <w:sz w:val="28"/>
        </w:rPr>
        <w:softHyphen/>
        <w:t>ставляли внутренние переселенцы. Но есть и отличия. Если прежде сельское население области стягивали и некоторые другие го</w:t>
      </w:r>
      <w:r>
        <w:rPr>
          <w:rFonts w:ascii="Times New Roman" w:hAnsi="Times New Roman"/>
          <w:sz w:val="28"/>
        </w:rPr>
        <w:softHyphen/>
        <w:t>рода (Рыбинск, Ростов), то теперь оно концентрируется вокруг областного центра (не только в Ярославском, но и в соседних административных районах), а также на юге на границе с Московской областью, поскольку Переяславский район стал фактически при</w:t>
      </w:r>
      <w:r>
        <w:rPr>
          <w:rFonts w:ascii="Times New Roman" w:hAnsi="Times New Roman"/>
          <w:sz w:val="28"/>
        </w:rPr>
        <w:softHyphen/>
        <w:t>городной дачной местностью Москвы.</w:t>
      </w:r>
    </w:p>
    <w:p w:rsidR="009C7902" w:rsidRDefault="009C7902">
      <w:pPr>
        <w:spacing w:before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 картина концентрации населения и размыва среднего звена поселений, особенно характерная для мелкоселенных районов, так и не смогла измениться за 1990-е гг. К сожалению, нет данных для анализа изменения раз</w:t>
      </w:r>
      <w:r>
        <w:rPr>
          <w:rFonts w:ascii="Times New Roman" w:hAnsi="Times New Roman"/>
          <w:sz w:val="28"/>
        </w:rPr>
        <w:softHyphen/>
        <w:t>меров поселений внутри регионов в 1990-х гг. Но сравнение внутриобластной поселен</w:t>
      </w:r>
      <w:r>
        <w:rPr>
          <w:rFonts w:ascii="Times New Roman" w:hAnsi="Times New Roman"/>
          <w:sz w:val="28"/>
        </w:rPr>
        <w:softHyphen/>
        <w:t>ческой структуры Ярославской области за 1996 и 1959 гг. показывает, что и в самом конце века мы видим все ту же картину, что сложилась к 1980-м гг. Более того, распад сети на полюсные крупные и мелкие поселения и очень высокая доля последних наблю</w:t>
      </w:r>
      <w:r>
        <w:rPr>
          <w:rFonts w:ascii="Times New Roman" w:hAnsi="Times New Roman"/>
          <w:sz w:val="28"/>
        </w:rPr>
        <w:softHyphen/>
        <w:t xml:space="preserve">даются как вблизи крупных городов, так и на периферии области, что иллюстрирует </w:t>
      </w:r>
      <w:r>
        <w:rPr>
          <w:rFonts w:ascii="Times New Roman" w:hAnsi="Times New Roman"/>
          <w:b/>
          <w:sz w:val="28"/>
        </w:rPr>
        <w:t>табл. 3.</w:t>
      </w:r>
      <w:r>
        <w:rPr>
          <w:rFonts w:ascii="Times New Roman" w:hAnsi="Times New Roman"/>
          <w:sz w:val="28"/>
        </w:rPr>
        <w:t xml:space="preserve"> Даже в пригородном и полупригородных административных районах вдоль транспортных магистралей Москва—Ярославль—Рыбинск и Ярославль—Кострома 68% составляет доля поселений, в которых живет менее 25 человек, а почти половину — поселения, где менее 10 жителей. Число таких поселений увеличилось по сравнению с 1959 г. в три раза, в то время как поселения среднего размера (25-100 человек) уменьшились за 1959-1996 гг. с 4,7 до 1 тыс.</w:t>
      </w:r>
    </w:p>
    <w:p w:rsidR="009C7902" w:rsidRDefault="009C7902">
      <w:pPr>
        <w:spacing w:line="220" w:lineRule="auto"/>
        <w:ind w:firstLine="320"/>
        <w:rPr>
          <w:rFonts w:ascii="Times New Roman" w:hAnsi="Times New Roman"/>
        </w:rPr>
      </w:pPr>
    </w:p>
    <w:p w:rsidR="009C7902" w:rsidRDefault="009C7902">
      <w:pPr>
        <w:spacing w:before="0" w:after="260" w:line="240" w:lineRule="auto"/>
        <w:ind w:right="198" w:firstLine="0"/>
        <w:jc w:val="left"/>
        <w:rPr>
          <w:rFonts w:ascii="Times New Roman" w:hAnsi="Times New Roman"/>
          <w:b/>
          <w:sz w:val="16"/>
        </w:rPr>
      </w:pPr>
    </w:p>
    <w:p w:rsidR="009C7902" w:rsidRDefault="009C7902">
      <w:pPr>
        <w:pStyle w:val="4"/>
      </w:pPr>
      <w:r>
        <w:t>Таблица 3</w:t>
      </w:r>
    </w:p>
    <w:p w:rsidR="009C7902" w:rsidRDefault="009C7902">
      <w:pPr>
        <w:spacing w:before="0" w:after="260" w:line="240" w:lineRule="auto"/>
        <w:ind w:right="198" w:firstLine="0"/>
        <w:jc w:val="center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Доля сельских поселений разного размера в их общем числе в пригородных и периферийных районах Ярославской области в 1959 и 1996 гг., в %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1460"/>
        <w:gridCol w:w="1669"/>
        <w:gridCol w:w="1701"/>
        <w:gridCol w:w="1701"/>
      </w:tblGrid>
      <w:tr w:rsidR="009C7902">
        <w:trPr>
          <w:cantSplit/>
          <w:trHeight w:hRule="exact" w:val="636"/>
        </w:trPr>
        <w:tc>
          <w:tcPr>
            <w:tcW w:w="2400" w:type="dxa"/>
            <w:vMerge w:val="restart"/>
          </w:tcPr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Размер поселений, чел.</w:t>
            </w:r>
          </w:p>
          <w:p w:rsidR="009C7902" w:rsidRDefault="009C7902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3129" w:type="dxa"/>
            <w:gridSpan w:val="2"/>
          </w:tcPr>
          <w:p w:rsidR="009C7902" w:rsidRDefault="009C7902">
            <w:pPr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Пригородные и примагистральные районы</w:t>
            </w:r>
          </w:p>
          <w:p w:rsidR="009C7902" w:rsidRDefault="009C7902">
            <w:pPr>
              <w:spacing w:line="240" w:lineRule="auto"/>
              <w:ind w:left="320" w:right="400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gridSpan w:val="2"/>
          </w:tcPr>
          <w:p w:rsidR="009C7902" w:rsidRDefault="009C7902">
            <w:pPr>
              <w:pStyle w:val="3"/>
            </w:pPr>
            <w:r>
              <w:t>Периферийные районы</w:t>
            </w:r>
          </w:p>
        </w:tc>
      </w:tr>
      <w:tr w:rsidR="009C7902">
        <w:trPr>
          <w:cantSplit/>
          <w:trHeight w:hRule="exact" w:val="260"/>
        </w:trPr>
        <w:tc>
          <w:tcPr>
            <w:tcW w:w="2400" w:type="dxa"/>
            <w:vMerge/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669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1959</w:t>
            </w: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1996</w:t>
            </w:r>
          </w:p>
        </w:tc>
      </w:tr>
      <w:tr w:rsidR="009C7902">
        <w:trPr>
          <w:trHeight w:hRule="exact" w:val="260"/>
        </w:trPr>
        <w:tc>
          <w:tcPr>
            <w:tcW w:w="2400" w:type="dxa"/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Менее 10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60"/>
        </w:trPr>
        <w:tc>
          <w:tcPr>
            <w:tcW w:w="2400" w:type="dxa"/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10-25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2400" w:type="dxa"/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25-50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2400" w:type="dxa"/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50-100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280"/>
        </w:trPr>
        <w:tc>
          <w:tcPr>
            <w:tcW w:w="2400" w:type="dxa"/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100-200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C7902">
        <w:trPr>
          <w:trHeight w:hRule="exact" w:val="320"/>
        </w:trPr>
        <w:tc>
          <w:tcPr>
            <w:tcW w:w="2400" w:type="dxa"/>
          </w:tcPr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Более 200</w:t>
            </w:r>
          </w:p>
          <w:p w:rsidR="009C7902" w:rsidRDefault="009C7902">
            <w:pPr>
              <w:spacing w:before="20" w:line="240" w:lineRule="auto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0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  <w:p w:rsidR="009C7902" w:rsidRDefault="009C7902">
            <w:pPr>
              <w:spacing w:before="20" w:line="240" w:lineRule="auto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9C7902" w:rsidRDefault="009C7902">
      <w:pPr>
        <w:spacing w:before="0" w:line="240" w:lineRule="auto"/>
        <w:ind w:firstLine="0"/>
        <w:jc w:val="left"/>
        <w:rPr>
          <w:rFonts w:ascii="Times New Roman" w:hAnsi="Times New Roman"/>
        </w:rPr>
      </w:pPr>
    </w:p>
    <w:p w:rsidR="009C7902" w:rsidRDefault="009C7902">
      <w:pPr>
        <w:spacing w:before="0" w:line="240" w:lineRule="auto"/>
        <w:ind w:firstLine="0"/>
        <w:jc w:val="left"/>
        <w:rPr>
          <w:rFonts w:ascii="Times New Roman" w:hAnsi="Times New Roman"/>
        </w:rPr>
        <w:sectPr w:rsidR="009C7902">
          <w:pgSz w:w="11900" w:h="16820"/>
          <w:pgMar w:top="1440" w:right="1410" w:bottom="1843" w:left="1440" w:header="720" w:footer="720" w:gutter="0"/>
          <w:cols w:space="60"/>
          <w:noEndnote/>
        </w:sectPr>
      </w:pPr>
    </w:p>
    <w:p w:rsidR="009C7902" w:rsidRDefault="009C7902">
      <w:pPr>
        <w:spacing w:before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Конечно, в пригородах доля крупных поселений чуть больше, и они концентрируют гораздо большую долю сельского населения. Но главное различие между пригород</w:t>
      </w:r>
      <w:r>
        <w:rPr>
          <w:rFonts w:ascii="Times New Roman" w:hAnsi="Times New Roman"/>
          <w:sz w:val="28"/>
        </w:rPr>
        <w:softHyphen/>
        <w:t>ными и периферийными районами не в этом. Сохранение в пригородах столь большо</w:t>
      </w:r>
      <w:r>
        <w:rPr>
          <w:rFonts w:ascii="Times New Roman" w:hAnsi="Times New Roman"/>
          <w:sz w:val="28"/>
        </w:rPr>
        <w:softHyphen/>
        <w:t>го числа мелких поселений с отмирающими сельскохозяйственными функциями в 1990-х гг. стало следствием не столько деградации, сколько устойчивости сельской местности, так как она сохраняется и используется горожанами, как местными, так и москвичами, давно уже скупившими сельские дома в транспортно доступных местах. Иное дело — сельская глубинка, где доля дачников невелика. Там половина поселений с двумя-тремя семьями — это реальная деградация огромных пространств сельской России.</w:t>
      </w:r>
    </w:p>
    <w:p w:rsidR="009C7902" w:rsidRDefault="009C7902">
      <w:pPr>
        <w:spacing w:before="0" w:line="240" w:lineRule="auto"/>
        <w:rPr>
          <w:rFonts w:ascii="Times New Roman" w:hAnsi="Times New Roman"/>
          <w:sz w:val="28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Хватает ли рабочих рук на селе?</w:t>
      </w:r>
    </w:p>
    <w:p w:rsidR="009C7902" w:rsidRDefault="009C7902">
      <w:pPr>
        <w:spacing w:before="0" w:line="240" w:lineRule="auto"/>
        <w:ind w:left="40" w:firstLine="68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характеристике российской деревни в XX в., в том числе и в самом его конце, большое внимание уделяется сельскому хозяйству. Отчасти это оправдано тем, что даже в такой урбанизированной стране, какой стала Россия, ее село, в отли</w:t>
      </w:r>
      <w:r>
        <w:rPr>
          <w:rFonts w:ascii="Times New Roman" w:hAnsi="Times New Roman"/>
          <w:sz w:val="28"/>
        </w:rPr>
        <w:softHyphen/>
        <w:t>чие от многих развитых стран, все еще остается сельскохозяйственным.</w:t>
      </w:r>
    </w:p>
    <w:p w:rsidR="009C7902" w:rsidRDefault="009C7902">
      <w:pPr>
        <w:pStyle w:val="31"/>
        <w:spacing w:before="0" w:line="240" w:lineRule="auto"/>
      </w:pPr>
      <w:r>
        <w:t>Официально в сельской местности США живет 26% населения — ровно столько, сколько и в России. Однако из них сельским хозяйством занимаются очень небольшая доля — только 7% селян. Остальные заняты в «городских» отраслях, в основном в сервисе. Личное сельское хозяйство американские сельские жители практически не ведут. Так что сельская местность и сельское хозяйство в Америке от</w:t>
      </w:r>
      <w:r>
        <w:softHyphen/>
        <w:t>нюдь не одно и то же. Там при росте сельского населения в последние десятилетия ко</w:t>
      </w:r>
      <w:r>
        <w:softHyphen/>
        <w:t>личество фермеров постоянно снижалось. В России же наблюдалось почти параллель</w:t>
      </w:r>
      <w:r>
        <w:softHyphen/>
        <w:t>ное сокращение сельского населения и занятых в сельском хозяйстве. В отличие от Запада, понятия сельской местности и сельского хозяйства у нас во многом идентичны. На предприятиях агросектора числится более половины занятых в сельской местности и 22% сельского населения, т. е. в три раза больше, чем в Америке (рассчитано по: Рос</w:t>
      </w:r>
      <w:r>
        <w:softHyphen/>
        <w:t>сия в цифрах, 2000). Плюс к этому около 10% трудоспособных сельских жителей офи</w:t>
      </w:r>
      <w:r>
        <w:softHyphen/>
        <w:t>циально заняты в своем приусадебном хозяйстве. Сельские пенсионеры тоже работают на личном подворье, и вообще крестьянским трудом занимается большинство жителей села. Выше всего эта доля в аграрных районах — Черноземье, Поволжье, на Северном Кавказе. Региональные различия велики и в Америке. На Среднем Западе, главной тра</w:t>
      </w:r>
      <w:r>
        <w:softHyphen/>
        <w:t>диционной житнице страны, в сельском хозяйстве занято 13% сельского населения. А на Северо-Востоке — не больше 2%.</w:t>
      </w:r>
    </w:p>
    <w:p w:rsidR="009C7902" w:rsidRDefault="009C7902">
      <w:pPr>
        <w:spacing w:before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Итак, сельская Россия конца века — это все еще крестьянский мир, сельская Аме</w:t>
      </w:r>
      <w:r>
        <w:rPr>
          <w:rFonts w:ascii="Times New Roman" w:hAnsi="Times New Roman"/>
          <w:sz w:val="28"/>
        </w:rPr>
        <w:softHyphen/>
        <w:t>рика — давно уже нет. Дело не в том, сколько людей занимается сельским хозяйством, дело в том, как они это делают. По американской статистике, 40% занятых в агропроиз-водстве — собственники, трудящиеся на своих фермах (там же). Остальные — рабочие и члены фермерских семей. Нетрудно подсчитать, что в среднем на 1 ферму приходит</w:t>
      </w:r>
      <w:r>
        <w:rPr>
          <w:rFonts w:ascii="Times New Roman" w:hAnsi="Times New Roman"/>
          <w:sz w:val="28"/>
        </w:rPr>
        <w:softHyphen/>
        <w:t>ся полтора наемного работника. Не густо, если учесть средний размер ферм. В среднем 2-3 человека управляются там на 160 гектарах. В России на такой площади обычно за</w:t>
      </w:r>
      <w:r>
        <w:rPr>
          <w:rFonts w:ascii="Times New Roman" w:hAnsi="Times New Roman"/>
          <w:sz w:val="28"/>
        </w:rPr>
        <w:softHyphen/>
        <w:t>нято несколько десятков человек. Да и производительность труда несопоставима. Если, например, американский фермер кормит 74 жителя США и 27 иностранцев, то наш крестьянин и в докризисных 80-х кормил от силы 8-15 россиян.</w:t>
      </w:r>
    </w:p>
    <w:p w:rsidR="009C7902" w:rsidRDefault="009C7902">
      <w:pPr>
        <w:spacing w:before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Таким образом, дело не в числе селян, которых в нашем селе больше, чем в разви</w:t>
      </w:r>
      <w:r>
        <w:rPr>
          <w:rFonts w:ascii="Times New Roman" w:hAnsi="Times New Roman"/>
          <w:sz w:val="28"/>
        </w:rPr>
        <w:softHyphen/>
        <w:t>тых западных странах, а в производительности их труда, которая зависит от множества факторов: экономических, демографических, социальных. Даже приток населения в сельскую местность в 1990-х не изменил ситуацию кардинально. Ведь если на пери</w:t>
      </w:r>
      <w:r>
        <w:rPr>
          <w:rFonts w:ascii="Times New Roman" w:hAnsi="Times New Roman"/>
          <w:sz w:val="28"/>
        </w:rPr>
        <w:softHyphen/>
        <w:t>ферии нечерноземных областей доля населения старше трудоспособного возраста в сельской местности составляла в середине 90-х гг. 33-40% (Демографические про</w:t>
      </w:r>
      <w:r>
        <w:rPr>
          <w:rFonts w:ascii="Times New Roman" w:hAnsi="Times New Roman"/>
          <w:sz w:val="28"/>
        </w:rPr>
        <w:softHyphen/>
        <w:t>цессы..., 1996), а само это население рассредоточено по поселкам менее 25 человек, то очевидно, что такая сельская местность не может служить базой для крупных товарных коллективных предприятий. Да и сам труд в сельскохозяйственных предприятиях в позднесоветское время стал самым непрестижным и самым непопулярным, даже при немалом росте зарплат, которые к 1990 г. достигли 95% среднероссийского уровня. Что же говорить о последующих годах, когда зарплата в сельском хозяйстве вновь упала до 50% среднероссийской!</w:t>
      </w:r>
    </w:p>
    <w:p w:rsidR="009C7902" w:rsidRDefault="009C7902">
      <w:pPr>
        <w:spacing w:before="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 не менее, положительное сальдо миграций не могло не сказаться на занятости в агросекторе. Число работников сельскохозяйственных предприятий поначалу посте</w:t>
      </w:r>
      <w:r>
        <w:rPr>
          <w:rFonts w:ascii="Times New Roman" w:hAnsi="Times New Roman"/>
          <w:sz w:val="28"/>
        </w:rPr>
        <w:softHyphen/>
        <w:t>пенно увеличивалось, максимально в 1992 г. — на 3,7% и в 1994 г. — на 1,7%. Частично этот прирост обеспе</w:t>
      </w:r>
      <w:r>
        <w:rPr>
          <w:rFonts w:ascii="Times New Roman" w:hAnsi="Times New Roman"/>
          <w:sz w:val="28"/>
        </w:rPr>
        <w:softHyphen/>
        <w:t>чивали и бурно растущие в первой половине десятилетия фермерские хозяйства, но росла занятость и в колхозах (или их новых формах ТОО, АО и т. п.). Однако после спа</w:t>
      </w:r>
      <w:r>
        <w:rPr>
          <w:rFonts w:ascii="Times New Roman" w:hAnsi="Times New Roman"/>
          <w:sz w:val="28"/>
        </w:rPr>
        <w:softHyphen/>
        <w:t>да волны максимальных миграций, начиная уже с 1995 г., занятость в агросекторе вновь начинает падать. К 2000 г. на сельскохозяйственных предприятиях было занято 89% от числа работников 1990 года. Здесь, конечно, сказались и описанные выше демографи</w:t>
      </w:r>
      <w:r>
        <w:rPr>
          <w:rFonts w:ascii="Times New Roman" w:hAnsi="Times New Roman"/>
          <w:sz w:val="28"/>
        </w:rPr>
        <w:softHyphen/>
        <w:t>ческие процессы, прежде всего естественная убыль стареющего сельского населения, которую не смогли перекрыть внешние миграции в села. Но, кроме того, весьма харак</w:t>
      </w:r>
      <w:r>
        <w:rPr>
          <w:rFonts w:ascii="Times New Roman" w:hAnsi="Times New Roman"/>
          <w:sz w:val="28"/>
        </w:rPr>
        <w:softHyphen/>
        <w:t>терен уход людей из коллективных хозяйств на свое подворье и превращение его в то</w:t>
      </w:r>
      <w:r>
        <w:rPr>
          <w:rFonts w:ascii="Times New Roman" w:hAnsi="Times New Roman"/>
          <w:sz w:val="28"/>
        </w:rPr>
        <w:softHyphen/>
        <w:t xml:space="preserve">варное без оформления юридического лица — т. е. </w:t>
      </w:r>
      <w:r>
        <w:rPr>
          <w:rFonts w:ascii="Times New Roman" w:hAnsi="Times New Roman"/>
          <w:i/>
          <w:sz w:val="28"/>
        </w:rPr>
        <w:t>теневая фермеризация, о</w:t>
      </w:r>
      <w:r>
        <w:rPr>
          <w:rFonts w:ascii="Times New Roman" w:hAnsi="Times New Roman"/>
          <w:sz w:val="28"/>
        </w:rPr>
        <w:t xml:space="preserve"> сути ко</w:t>
      </w:r>
      <w:r>
        <w:rPr>
          <w:rFonts w:ascii="Times New Roman" w:hAnsi="Times New Roman"/>
          <w:sz w:val="28"/>
        </w:rPr>
        <w:softHyphen/>
        <w:t>торой будет подробнее рассказано в этой главе. Частное теневое предпринимательство в сельской местности получило гораздо более широкое развитие, чем даже в городской, поскольку опиралось на главный вечный ресурс — землю, и во многих районах с полностью деградировавшими коллективными предприятиями стало един</w:t>
      </w:r>
      <w:r>
        <w:rPr>
          <w:rFonts w:ascii="Times New Roman" w:hAnsi="Times New Roman"/>
          <w:sz w:val="28"/>
        </w:rPr>
        <w:softHyphen/>
        <w:t>ственным возможным способом выживания.</w:t>
      </w:r>
    </w:p>
    <w:p w:rsidR="009C7902" w:rsidRDefault="009C7902">
      <w:pPr>
        <w:spacing w:before="0" w:line="240" w:lineRule="auto"/>
        <w:ind w:firstLine="3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этим отчасти связан и такой новый российский феномен, как сельская безработи</w:t>
      </w:r>
      <w:r>
        <w:rPr>
          <w:rFonts w:ascii="Times New Roman" w:hAnsi="Times New Roman"/>
          <w:sz w:val="28"/>
        </w:rPr>
        <w:softHyphen/>
        <w:t>ца. В некоторых областях Нечерноземья она достигает 15%, как и во,многих автономи</w:t>
      </w:r>
      <w:r>
        <w:rPr>
          <w:rFonts w:ascii="Times New Roman" w:hAnsi="Times New Roman"/>
          <w:sz w:val="28"/>
        </w:rPr>
        <w:softHyphen/>
        <w:t>ях. Однако вычленить собственно сельскую безработицу можно только в периферий</w:t>
      </w:r>
      <w:r>
        <w:rPr>
          <w:rFonts w:ascii="Times New Roman" w:hAnsi="Times New Roman"/>
          <w:sz w:val="28"/>
        </w:rPr>
        <w:softHyphen/>
        <w:t>ных районах, удаленных от городских мест приложения труда. Именно там она особенно высока. Тем не менее это феномен во многом парадоксальный, поскольку безработные</w:t>
      </w:r>
    </w:p>
    <w:p w:rsidR="009C7902" w:rsidRDefault="009C7902">
      <w:pPr>
        <w:spacing w:before="0" w:line="240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часто специально уходят из колхозов и живут на доходы от своего товарного личного хозяйства, которые могут превышать и пособие по безработице, и былой заработок.</w:t>
      </w:r>
    </w:p>
    <w:p w:rsidR="009C7902" w:rsidRDefault="009C7902">
      <w:pPr>
        <w:spacing w:before="0" w:line="240" w:lineRule="auto"/>
        <w:ind w:firstLine="0"/>
        <w:rPr>
          <w:rFonts w:ascii="Times New Roman" w:hAnsi="Times New Roman"/>
          <w:sz w:val="28"/>
        </w:rPr>
      </w:pPr>
    </w:p>
    <w:p w:rsidR="009C7902" w:rsidRDefault="009C7902">
      <w:pPr>
        <w:pStyle w:val="FR1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Региональные пути выживания сельской местности</w:t>
      </w:r>
    </w:p>
    <w:p w:rsidR="009C7902" w:rsidRDefault="009C7902">
      <w:pPr>
        <w:spacing w:before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Пути выживания современного российского сельского хозяйства и сельской мест</w:t>
      </w:r>
      <w:r>
        <w:rPr>
          <w:rFonts w:ascii="Times New Roman" w:hAnsi="Times New Roman"/>
          <w:sz w:val="28"/>
        </w:rPr>
        <w:softHyphen/>
        <w:t>ности, тесно с ним связанной, могут оказаться многообразными, если не навя</w:t>
      </w:r>
      <w:r>
        <w:rPr>
          <w:rFonts w:ascii="Times New Roman" w:hAnsi="Times New Roman"/>
          <w:sz w:val="28"/>
        </w:rPr>
        <w:softHyphen/>
        <w:t>зывать сверху голые схемы, а учитывать сложившиеся реалии, причем разные в разных районах. Недаром так различаются по отношению к реформам север и юг Рос</w:t>
      </w:r>
      <w:r>
        <w:rPr>
          <w:rFonts w:ascii="Times New Roman" w:hAnsi="Times New Roman"/>
          <w:sz w:val="28"/>
        </w:rPr>
        <w:softHyphen/>
        <w:t>сии. В Черноземной полосе, где село заметно выиграло от социалистических преобра</w:t>
      </w:r>
      <w:r>
        <w:rPr>
          <w:rFonts w:ascii="Times New Roman" w:hAnsi="Times New Roman"/>
          <w:sz w:val="28"/>
        </w:rPr>
        <w:softHyphen/>
        <w:t>зований, население и руководство постоянно отвергало навязываемую из центра мо</w:t>
      </w:r>
      <w:r>
        <w:rPr>
          <w:rFonts w:ascii="Times New Roman" w:hAnsi="Times New Roman"/>
          <w:sz w:val="28"/>
        </w:rPr>
        <w:softHyphen/>
        <w:t>дель реформ. Куда ближе им элементы внутрихозяйственного хозрасчета 80-х гг. Это район с наименьшим и к тому же сокращающимся числом фермеров на 1000 сельских жителей. На юге ситуация сложнее. Притягательность территории для переселенцев, благоприятные природные условия, активность местных жителей — все это вывело Ставрополье и Краснодарский край в чемпионы по числу фермеров, высоко их число и в Поволжье. Однако колхозное крестьянство здесь весьма консервативно, показате</w:t>
      </w:r>
      <w:r>
        <w:rPr>
          <w:rFonts w:ascii="Times New Roman" w:hAnsi="Times New Roman"/>
          <w:sz w:val="28"/>
        </w:rPr>
        <w:softHyphen/>
        <w:t>ли коллективных хозяйств оставляют желать лучшего, а сепаратистские действия реги</w:t>
      </w:r>
      <w:r>
        <w:rPr>
          <w:rFonts w:ascii="Times New Roman" w:hAnsi="Times New Roman"/>
          <w:sz w:val="28"/>
        </w:rPr>
        <w:softHyphen/>
        <w:t>ональных властей, запрещающие вывоз сельскохозяйственной продукции, подрывают экономические условия местных агропроизводителей. Поэтому лучшие хозяйства, как коллективные, так и фермерские, вынуждены отчаянно маневрировать.</w:t>
      </w:r>
    </w:p>
    <w:p w:rsidR="009C7902" w:rsidRDefault="009C7902">
      <w:pPr>
        <w:spacing w:before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Нечерноземье — совсем иной букет проблем. Бегство населения в города и за</w:t>
      </w:r>
      <w:r>
        <w:rPr>
          <w:rFonts w:ascii="Times New Roman" w:hAnsi="Times New Roman"/>
          <w:sz w:val="28"/>
        </w:rPr>
        <w:softHyphen/>
        <w:t>пустение села в историческом центре России, низкая продуктивность как результат видимой порочности экономической политики социализма, сподвигли власти на более активное проведение аграрных реформ. Но и здесь налицо разрыв между реформатор</w:t>
      </w:r>
      <w:r>
        <w:rPr>
          <w:rFonts w:ascii="Times New Roman" w:hAnsi="Times New Roman"/>
          <w:sz w:val="28"/>
        </w:rPr>
        <w:softHyphen/>
        <w:t>ским настроем политической элиты и консерватизмом сельского населения, особенно в глубинке. Очень велики и экономические различия между пригородными, полупери</w:t>
      </w:r>
      <w:r>
        <w:rPr>
          <w:rFonts w:ascii="Times New Roman" w:hAnsi="Times New Roman"/>
          <w:sz w:val="28"/>
        </w:rPr>
        <w:softHyphen/>
        <w:t>ферийными и периферийными районами областей.</w:t>
      </w:r>
    </w:p>
    <w:p w:rsidR="009C7902" w:rsidRDefault="009C7902">
      <w:pPr>
        <w:pStyle w:val="31"/>
        <w:spacing w:before="0" w:line="240" w:lineRule="auto"/>
      </w:pPr>
      <w:r>
        <w:t>Итак, деревня в конце XX века после постоянных преобразований так и не нашла се</w:t>
      </w:r>
      <w:r>
        <w:softHyphen/>
        <w:t>бя и постоянно нуждается в помощи. Тем не менее история доказала, что развитие аг-ропроизводства возможно только при опоре на сильные хозяйства и поддержке серед</w:t>
      </w:r>
      <w:r>
        <w:softHyphen/>
        <w:t>нячков (будь то частные или коллективные предприятия). Слабым же нужна не столько поддержка производства, которое поглощает деньги без отдачи, сколько социальная помощь по выживанию сельских общин, непременным компонентом которых стали и колхозы.</w:t>
      </w:r>
    </w:p>
    <w:p w:rsidR="009C7902" w:rsidRDefault="009C7902">
      <w:pPr>
        <w:pStyle w:val="a4"/>
        <w:spacing w:before="0" w:line="240" w:lineRule="auto"/>
      </w:pPr>
      <w:r>
        <w:t>Закончить можно словами Б. Б. Родомана (1996): «Избави нас боже от новых земель</w:t>
      </w:r>
      <w:r>
        <w:softHyphen/>
        <w:t>ных реформ! Пусть эти два полюса сельской жизни, два монстра, колхоз и крестьянский двор, сплетаясь во внешне противоестественном акте то ли любви, то ли ненависти, под</w:t>
      </w:r>
      <w:r>
        <w:softHyphen/>
        <w:t>держивают и душат, питают и грабят друг друга, и так они вместе что-то выработают при минимальном вмешательстве государства. Но только не надо никаких всероссийских программ, никакой единой реформы сверху, она будет новой катастрофой».</w:t>
      </w: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  <w:r>
        <w:rPr>
          <w:b/>
          <w:sz w:val="32"/>
        </w:rPr>
        <w:t>Список литературы:</w:t>
      </w:r>
    </w:p>
    <w:p w:rsidR="009C7902" w:rsidRDefault="009C7902">
      <w:pPr>
        <w:pStyle w:val="a4"/>
        <w:spacing w:before="0" w:line="240" w:lineRule="auto"/>
        <w:jc w:val="center"/>
        <w:rPr>
          <w:b/>
          <w:sz w:val="32"/>
        </w:rPr>
      </w:pPr>
    </w:p>
    <w:p w:rsidR="009C7902" w:rsidRDefault="009C7902">
      <w:pPr>
        <w:pStyle w:val="a4"/>
        <w:numPr>
          <w:ilvl w:val="0"/>
          <w:numId w:val="1"/>
        </w:numPr>
        <w:tabs>
          <w:tab w:val="clear" w:pos="360"/>
          <w:tab w:val="num" w:pos="680"/>
        </w:tabs>
        <w:spacing w:before="0" w:line="240" w:lineRule="auto"/>
        <w:ind w:left="680"/>
      </w:pPr>
      <w:r>
        <w:t>«Население России 1998г.», Центр демографии и экологии человека 1999г.</w:t>
      </w:r>
    </w:p>
    <w:p w:rsidR="009C7902" w:rsidRDefault="009C7902">
      <w:pPr>
        <w:pStyle w:val="a4"/>
        <w:numPr>
          <w:ilvl w:val="0"/>
          <w:numId w:val="1"/>
        </w:numPr>
        <w:tabs>
          <w:tab w:val="clear" w:pos="360"/>
          <w:tab w:val="num" w:pos="680"/>
        </w:tabs>
        <w:spacing w:before="0" w:line="240" w:lineRule="auto"/>
        <w:ind w:left="680"/>
      </w:pPr>
      <w:r>
        <w:t>«Смертность в России», А.Вишневский, В.Школьников, Москва 1997г.</w:t>
      </w:r>
    </w:p>
    <w:p w:rsidR="009C7902" w:rsidRDefault="009C7902">
      <w:pPr>
        <w:pStyle w:val="a4"/>
        <w:numPr>
          <w:ilvl w:val="0"/>
          <w:numId w:val="1"/>
        </w:numPr>
        <w:tabs>
          <w:tab w:val="clear" w:pos="360"/>
          <w:tab w:val="num" w:pos="680"/>
        </w:tabs>
        <w:spacing w:before="0" w:line="240" w:lineRule="auto"/>
        <w:ind w:left="680"/>
      </w:pPr>
      <w:r>
        <w:t>«Город и деревня в Европейской России: сто лет перемен», памяти В.П. Семенова-Тян-Шанского, ОГИ, Москва 2001г.</w:t>
      </w:r>
    </w:p>
    <w:p w:rsidR="009C7902" w:rsidRDefault="009C7902">
      <w:pPr>
        <w:pStyle w:val="a4"/>
        <w:spacing w:before="0" w:line="240" w:lineRule="auto"/>
      </w:pPr>
    </w:p>
    <w:p w:rsidR="009C7902" w:rsidRDefault="009C7902">
      <w:pPr>
        <w:pStyle w:val="a4"/>
        <w:spacing w:before="0" w:line="240" w:lineRule="auto"/>
      </w:pPr>
      <w:bookmarkStart w:id="0" w:name="_GoBack"/>
      <w:bookmarkEnd w:id="0"/>
    </w:p>
    <w:sectPr w:rsidR="009C7902">
      <w:pgSz w:w="11900" w:h="16820"/>
      <w:pgMar w:top="1440" w:right="1410" w:bottom="720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DA1" w:rsidRDefault="002E7DA1">
      <w:pPr>
        <w:spacing w:before="0" w:line="240" w:lineRule="auto"/>
      </w:pPr>
      <w:r>
        <w:separator/>
      </w:r>
    </w:p>
  </w:endnote>
  <w:endnote w:type="continuationSeparator" w:id="0">
    <w:p w:rsidR="002E7DA1" w:rsidRDefault="002E7DA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02" w:rsidRDefault="009C7902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9C7902" w:rsidRDefault="009C79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902" w:rsidRDefault="00AF038B">
    <w:pPr>
      <w:pStyle w:val="a5"/>
      <w:framePr w:wrap="around" w:vAnchor="text" w:hAnchor="margin" w:xAlign="center" w:y="1"/>
      <w:rPr>
        <w:rStyle w:val="a6"/>
      </w:rPr>
    </w:pPr>
    <w:r>
      <w:rPr>
        <w:rStyle w:val="a6"/>
        <w:noProof/>
      </w:rPr>
      <w:t>3</w:t>
    </w:r>
  </w:p>
  <w:p w:rsidR="009C7902" w:rsidRDefault="009C79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DA1" w:rsidRDefault="002E7DA1">
      <w:pPr>
        <w:spacing w:before="0" w:line="240" w:lineRule="auto"/>
      </w:pPr>
      <w:r>
        <w:separator/>
      </w:r>
    </w:p>
  </w:footnote>
  <w:footnote w:type="continuationSeparator" w:id="0">
    <w:p w:rsidR="002E7DA1" w:rsidRDefault="002E7DA1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8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81522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E93"/>
    <w:rsid w:val="00233AA6"/>
    <w:rsid w:val="002A5549"/>
    <w:rsid w:val="002E7DA1"/>
    <w:rsid w:val="00494E93"/>
    <w:rsid w:val="009C7902"/>
    <w:rsid w:val="00AF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5C1EE-A2BA-4404-88CE-E6394C00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40" w:line="260" w:lineRule="auto"/>
      <w:ind w:firstLine="340"/>
      <w:jc w:val="both"/>
    </w:pPr>
    <w:rPr>
      <w:rFonts w:ascii="Arial Narrow" w:hAnsi="Arial Narrow"/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line="240" w:lineRule="auto"/>
      <w:ind w:firstLine="0"/>
      <w:jc w:val="left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qFormat/>
    <w:pPr>
      <w:keepNext/>
      <w:spacing w:line="240" w:lineRule="auto"/>
      <w:ind w:firstLine="0"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pPr>
      <w:keepNext/>
      <w:spacing w:before="0" w:after="260" w:line="240" w:lineRule="auto"/>
      <w:ind w:right="198" w:firstLine="0"/>
      <w:jc w:val="right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 Narrow" w:hAnsi="Arial Narrow"/>
      <w:snapToGrid w:val="0"/>
      <w:sz w:val="28"/>
    </w:rPr>
  </w:style>
  <w:style w:type="paragraph" w:customStyle="1" w:styleId="FR2">
    <w:name w:val="FR2"/>
    <w:pPr>
      <w:widowControl w:val="0"/>
      <w:spacing w:before="400"/>
    </w:pPr>
    <w:rPr>
      <w:snapToGrid w:val="0"/>
      <w:sz w:val="16"/>
    </w:rPr>
  </w:style>
  <w:style w:type="paragraph" w:styleId="a3">
    <w:name w:val="Body Text"/>
    <w:basedOn w:val="a"/>
    <w:pPr>
      <w:spacing w:before="160" w:line="220" w:lineRule="auto"/>
      <w:ind w:firstLine="0"/>
      <w:jc w:val="right"/>
    </w:pPr>
    <w:rPr>
      <w:rFonts w:ascii="Times New Roman" w:hAnsi="Times New Roman"/>
    </w:rPr>
  </w:style>
  <w:style w:type="paragraph" w:styleId="20">
    <w:name w:val="Body Text 2"/>
    <w:basedOn w:val="a"/>
    <w:pPr>
      <w:spacing w:before="80" w:line="220" w:lineRule="auto"/>
      <w:ind w:firstLine="0"/>
    </w:pPr>
    <w:rPr>
      <w:rFonts w:ascii="Times New Roman" w:hAnsi="Times New Roman"/>
      <w:sz w:val="28"/>
    </w:rPr>
  </w:style>
  <w:style w:type="paragraph" w:styleId="30">
    <w:name w:val="Body Text 3"/>
    <w:basedOn w:val="a"/>
    <w:pPr>
      <w:spacing w:before="0" w:line="240" w:lineRule="auto"/>
      <w:ind w:firstLine="0"/>
      <w:jc w:val="right"/>
    </w:pPr>
    <w:rPr>
      <w:rFonts w:ascii="Times New Roman" w:hAnsi="Times New Roman"/>
      <w:i/>
      <w:sz w:val="24"/>
      <w:u w:val="single"/>
    </w:rPr>
  </w:style>
  <w:style w:type="paragraph" w:styleId="a4">
    <w:name w:val="Body Text Indent"/>
    <w:basedOn w:val="a"/>
    <w:pPr>
      <w:spacing w:line="220" w:lineRule="auto"/>
      <w:ind w:firstLine="320"/>
    </w:pPr>
    <w:rPr>
      <w:rFonts w:ascii="Times New Roman" w:hAnsi="Times New Roman"/>
      <w:sz w:val="28"/>
    </w:rPr>
  </w:style>
  <w:style w:type="paragraph" w:styleId="21">
    <w:name w:val="Body Text Indent 2"/>
    <w:basedOn w:val="a"/>
    <w:pPr>
      <w:spacing w:line="240" w:lineRule="auto"/>
      <w:ind w:left="320" w:firstLine="0"/>
      <w:jc w:val="center"/>
    </w:pPr>
    <w:rPr>
      <w:rFonts w:ascii="Times New Roman" w:hAnsi="Times New Roman"/>
      <w:sz w:val="24"/>
    </w:rPr>
  </w:style>
  <w:style w:type="paragraph" w:styleId="31">
    <w:name w:val="Body Text Indent 3"/>
    <w:basedOn w:val="a"/>
    <w:pPr>
      <w:spacing w:line="220" w:lineRule="auto"/>
    </w:pPr>
    <w:rPr>
      <w:rFonts w:ascii="Times New Roman" w:hAnsi="Times New Roman"/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 по курсу:</vt:lpstr>
    </vt:vector>
  </TitlesOfParts>
  <Company> </Company>
  <LinksUpToDate>false</LinksUpToDate>
  <CharactersWithSpaces>18387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по курсу:</dc:title>
  <dc:subject/>
  <dc:creator>Twinsnake</dc:creator>
  <cp:keywords/>
  <dc:description/>
  <cp:lastModifiedBy>Irina</cp:lastModifiedBy>
  <cp:revision>2</cp:revision>
  <cp:lastPrinted>1899-12-31T21:00:00Z</cp:lastPrinted>
  <dcterms:created xsi:type="dcterms:W3CDTF">2014-09-24T05:09:00Z</dcterms:created>
  <dcterms:modified xsi:type="dcterms:W3CDTF">2014-09-24T05:09:00Z</dcterms:modified>
</cp:coreProperties>
</file>