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41" w:rsidRPr="008306B1" w:rsidRDefault="000A4F41" w:rsidP="008306B1">
      <w:pPr>
        <w:pStyle w:val="1"/>
        <w:keepNext w:val="0"/>
        <w:keepLines w:val="0"/>
        <w:widowControl w:val="0"/>
        <w:spacing w:before="0"/>
        <w:ind w:firstLine="709"/>
        <w:rPr>
          <w:sz w:val="28"/>
        </w:rPr>
      </w:pPr>
      <w:r w:rsidRPr="008306B1">
        <w:rPr>
          <w:sz w:val="28"/>
        </w:rPr>
        <w:t xml:space="preserve">Сертификация: цели, схемы, виды, </w:t>
      </w:r>
      <w:r w:rsidR="00A375F6" w:rsidRPr="008306B1">
        <w:rPr>
          <w:sz w:val="28"/>
        </w:rPr>
        <w:t>этапы</w:t>
      </w:r>
    </w:p>
    <w:p w:rsidR="008306B1" w:rsidRDefault="008306B1" w:rsidP="008306B1">
      <w:pPr>
        <w:widowControl w:val="0"/>
        <w:ind w:firstLine="709"/>
        <w:jc w:val="both"/>
        <w:rPr>
          <w:b/>
        </w:rPr>
      </w:pPr>
    </w:p>
    <w:p w:rsidR="00362BDC" w:rsidRPr="008306B1" w:rsidRDefault="00C635C9" w:rsidP="008306B1">
      <w:pPr>
        <w:widowControl w:val="0"/>
        <w:ind w:firstLine="709"/>
        <w:jc w:val="both"/>
      </w:pPr>
      <w:r w:rsidRPr="008306B1">
        <w:rPr>
          <w:b/>
        </w:rPr>
        <w:t>Сертификация</w:t>
      </w:r>
      <w:r w:rsidRPr="008306B1">
        <w:t xml:space="preserve">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 Также 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 (в ред. Федерального закона от 01.05.2007 № 65-ФЗ).</w:t>
      </w:r>
    </w:p>
    <w:p w:rsidR="00C635C9" w:rsidRPr="008306B1" w:rsidRDefault="00C635C9" w:rsidP="008306B1">
      <w:pPr>
        <w:widowControl w:val="0"/>
        <w:ind w:firstLine="709"/>
        <w:jc w:val="both"/>
      </w:pPr>
      <w:r w:rsidRPr="008306B1">
        <w:t xml:space="preserve">Сертификация направлена на достижение следующих </w:t>
      </w:r>
      <w:r w:rsidRPr="008306B1">
        <w:rPr>
          <w:b/>
        </w:rPr>
        <w:t>целей</w:t>
      </w:r>
      <w:r w:rsidRPr="008306B1">
        <w:t>:</w:t>
      </w:r>
    </w:p>
    <w:p w:rsidR="00C635C9" w:rsidRPr="008306B1" w:rsidRDefault="00C635C9" w:rsidP="008306B1">
      <w:pPr>
        <w:pStyle w:val="a3"/>
        <w:widowControl w:val="0"/>
        <w:numPr>
          <w:ilvl w:val="0"/>
          <w:numId w:val="1"/>
        </w:numPr>
        <w:ind w:left="0" w:firstLine="709"/>
        <w:jc w:val="both"/>
      </w:pPr>
      <w:r w:rsidRPr="008306B1">
        <w:t>содействие потребителям в компетентном выборе продукции (услуги);</w:t>
      </w:r>
    </w:p>
    <w:p w:rsidR="00C635C9" w:rsidRPr="008306B1" w:rsidRDefault="00C635C9" w:rsidP="008306B1">
      <w:pPr>
        <w:pStyle w:val="a3"/>
        <w:widowControl w:val="0"/>
        <w:numPr>
          <w:ilvl w:val="0"/>
          <w:numId w:val="1"/>
        </w:numPr>
        <w:ind w:left="0" w:firstLine="709"/>
        <w:jc w:val="both"/>
      </w:pPr>
      <w:r w:rsidRPr="008306B1">
        <w:t>защита потребителя от недобросовестности изготовителя (продавца, исполнителя);</w:t>
      </w:r>
    </w:p>
    <w:p w:rsidR="00C635C9" w:rsidRPr="008306B1" w:rsidRDefault="00C635C9" w:rsidP="008306B1">
      <w:pPr>
        <w:pStyle w:val="a3"/>
        <w:widowControl w:val="0"/>
        <w:numPr>
          <w:ilvl w:val="0"/>
          <w:numId w:val="1"/>
        </w:numPr>
        <w:ind w:left="0" w:firstLine="709"/>
        <w:jc w:val="both"/>
      </w:pPr>
      <w:r w:rsidRPr="008306B1">
        <w:t>контроль безопасности продукции (услуги, работы) для окружающей среды, жизни, здоровья и имущества;</w:t>
      </w:r>
    </w:p>
    <w:p w:rsidR="00C635C9" w:rsidRPr="008306B1" w:rsidRDefault="00C635C9" w:rsidP="008306B1">
      <w:pPr>
        <w:pStyle w:val="a3"/>
        <w:widowControl w:val="0"/>
        <w:numPr>
          <w:ilvl w:val="0"/>
          <w:numId w:val="1"/>
        </w:numPr>
        <w:ind w:left="0" w:firstLine="709"/>
        <w:jc w:val="both"/>
      </w:pPr>
      <w:r w:rsidRPr="008306B1">
        <w:t>подтверждение показателей качества продукции (услуги, работы), заявленных изготовителем (исполнителем);</w:t>
      </w:r>
    </w:p>
    <w:p w:rsidR="00C635C9" w:rsidRPr="008306B1" w:rsidRDefault="00C635C9" w:rsidP="008306B1">
      <w:pPr>
        <w:pStyle w:val="a3"/>
        <w:widowControl w:val="0"/>
        <w:numPr>
          <w:ilvl w:val="0"/>
          <w:numId w:val="1"/>
        </w:numPr>
        <w:ind w:left="0" w:firstLine="709"/>
        <w:jc w:val="both"/>
      </w:pPr>
      <w:r w:rsidRPr="008306B1">
        <w:t>создание условий для деятельности организаций и предпринимателей на едином товарном рынке России, а также для участия в международном экономическом, научно-техническом сотрудничестве и международной торговле.</w:t>
      </w:r>
    </w:p>
    <w:p w:rsidR="00C635C9" w:rsidRPr="008306B1" w:rsidRDefault="00C635C9" w:rsidP="008306B1">
      <w:pPr>
        <w:widowControl w:val="0"/>
        <w:ind w:firstLine="709"/>
        <w:jc w:val="both"/>
      </w:pPr>
      <w:r w:rsidRPr="008306B1">
        <w:t xml:space="preserve">Система государственных стандартов предусматривает несколько различных видов сертификации продукции. Наиболее распространены следующие </w:t>
      </w:r>
      <w:r w:rsidRPr="008306B1">
        <w:rPr>
          <w:b/>
        </w:rPr>
        <w:t>схемы</w:t>
      </w:r>
      <w:r w:rsidRPr="008306B1">
        <w:t xml:space="preserve"> проведения процесса подтверждения качества выпускаемой (или продаваемой) продукции:</w:t>
      </w:r>
    </w:p>
    <w:p w:rsidR="00C635C9" w:rsidRPr="008306B1" w:rsidRDefault="00C635C9" w:rsidP="008306B1">
      <w:pPr>
        <w:pStyle w:val="a3"/>
        <w:widowControl w:val="0"/>
        <w:numPr>
          <w:ilvl w:val="0"/>
          <w:numId w:val="2"/>
        </w:numPr>
        <w:ind w:left="0" w:firstLine="709"/>
        <w:jc w:val="both"/>
      </w:pPr>
      <w:r w:rsidRPr="008306B1">
        <w:t>проведение сертификации у производителя продукции;</w:t>
      </w:r>
    </w:p>
    <w:p w:rsidR="00C635C9" w:rsidRPr="008306B1" w:rsidRDefault="00C635C9" w:rsidP="008306B1">
      <w:pPr>
        <w:pStyle w:val="a3"/>
        <w:widowControl w:val="0"/>
        <w:numPr>
          <w:ilvl w:val="0"/>
          <w:numId w:val="2"/>
        </w:numPr>
        <w:ind w:left="0" w:firstLine="709"/>
        <w:jc w:val="both"/>
      </w:pPr>
      <w:r w:rsidRPr="008306B1">
        <w:t>проведение сертификации на основе заключаемого контракта на выпуск продукции;</w:t>
      </w:r>
    </w:p>
    <w:p w:rsidR="00C635C9" w:rsidRPr="008306B1" w:rsidRDefault="00C635C9" w:rsidP="008306B1">
      <w:pPr>
        <w:pStyle w:val="a3"/>
        <w:widowControl w:val="0"/>
        <w:numPr>
          <w:ilvl w:val="0"/>
          <w:numId w:val="2"/>
        </w:numPr>
        <w:ind w:left="0" w:firstLine="709"/>
        <w:jc w:val="both"/>
      </w:pPr>
      <w:r w:rsidRPr="008306B1">
        <w:t>проведение сертификации отдельной партии продукции на основе контракта (партия может быть большой, либо малой по размерам).</w:t>
      </w:r>
    </w:p>
    <w:p w:rsidR="00C635C9" w:rsidRPr="008306B1" w:rsidRDefault="00C635C9" w:rsidP="008306B1">
      <w:pPr>
        <w:widowControl w:val="0"/>
        <w:ind w:firstLine="709"/>
        <w:jc w:val="both"/>
      </w:pPr>
      <w:r w:rsidRPr="008306B1">
        <w:t xml:space="preserve">Кроме того, все </w:t>
      </w:r>
      <w:r w:rsidRPr="008306B1">
        <w:rPr>
          <w:b/>
        </w:rPr>
        <w:t>виды</w:t>
      </w:r>
      <w:r w:rsidRPr="008306B1">
        <w:t xml:space="preserve"> сертификации можно поделить на два вида: добровольная сертификация, обязательная сертификация.</w:t>
      </w:r>
    </w:p>
    <w:p w:rsidR="0099780B" w:rsidRPr="008306B1" w:rsidRDefault="0099780B" w:rsidP="008306B1">
      <w:pPr>
        <w:widowControl w:val="0"/>
        <w:ind w:firstLine="709"/>
        <w:jc w:val="both"/>
      </w:pPr>
      <w:r w:rsidRPr="008306B1">
        <w:t>Процесс сертификации, который проводится у производителя выпускаемой продукции, выглядит следующим образом. Предприятие заказывает у соответствующей, аккредитованной государственными органами по стандартизации организации проведение сертификации своей продукции. Специалисты, представители этой организации приезжают на предприятие, берут несколько образцов их продукции и испытывают их в своей лаборатории на соответствие определенным государственным стандартам. НА основе испытаний составляется протокол, на основе которого и выдается сертификат на продукцию. Срок действия такого сертификата определяется законом до трех лет, затем требуется проводить процедуру сертификации заново.</w:t>
      </w:r>
    </w:p>
    <w:p w:rsidR="0099780B" w:rsidRPr="008306B1" w:rsidRDefault="0099780B" w:rsidP="008306B1">
      <w:pPr>
        <w:widowControl w:val="0"/>
        <w:ind w:firstLine="709"/>
        <w:jc w:val="both"/>
      </w:pPr>
      <w:r w:rsidRPr="008306B1">
        <w:t>Сертификат на основе контракта выдается, как правило, продавцу продукции. Часто получается, что какой-либо товар привезен из-за границы и не имеет российских сертификатов. В таком случае продавец (участник ВЭД) заключает контракт с соответствующей организацией, которая проводит испытания образцов товара и выдает сертификат соответствия. Такой сертификат действует только 1 год.</w:t>
      </w:r>
    </w:p>
    <w:p w:rsidR="0099780B" w:rsidRPr="008306B1" w:rsidRDefault="0099780B" w:rsidP="008306B1">
      <w:pPr>
        <w:widowControl w:val="0"/>
        <w:ind w:firstLine="709"/>
        <w:jc w:val="both"/>
      </w:pPr>
      <w:r w:rsidRPr="008306B1">
        <w:t>Сертификация партий товаров на основе контракта проводится аналогичным образом, но сроки действия этих документов – неограничен. В случае с большой партией товаров проводятся испытания образцов товара. Для небольшой партии такие испытания не проводятся.</w:t>
      </w:r>
    </w:p>
    <w:p w:rsidR="0099780B" w:rsidRPr="008306B1" w:rsidRDefault="0099780B" w:rsidP="008306B1">
      <w:pPr>
        <w:widowControl w:val="0"/>
        <w:ind w:firstLine="709"/>
        <w:jc w:val="both"/>
      </w:pPr>
      <w:r w:rsidRPr="008306B1">
        <w:t>Все вышеописанные схемы применимы и к добровольной, и к обязательной сертификации, различия лишь в том, что добровольная сертификация проводится по инициативе самого производителя (или продавца) продукции, а обязательная – на основании законов.</w:t>
      </w:r>
    </w:p>
    <w:p w:rsidR="0099780B" w:rsidRPr="008306B1" w:rsidRDefault="0099780B" w:rsidP="008306B1">
      <w:pPr>
        <w:widowControl w:val="0"/>
        <w:ind w:firstLine="709"/>
        <w:jc w:val="both"/>
      </w:pPr>
      <w:r w:rsidRPr="008306B1">
        <w:rPr>
          <w:b/>
        </w:rPr>
        <w:t>Обязательная сертификация</w:t>
      </w:r>
      <w:r w:rsidRPr="008306B1">
        <w:t xml:space="preserve"> осуществляется на основании законов и законодательных положений и обеспечивает доказательство соответствия товара (процесса, услуги) требованиям технических регламентов, обязательным требованиям стандартов. Так как обязательная сертификация относится к безопасности, охране здоровья людей и окружающей среды, следовательно, аспект обязательной сертификации — безопасность и экологичность.</w:t>
      </w:r>
    </w:p>
    <w:p w:rsidR="0099780B" w:rsidRPr="008306B1" w:rsidRDefault="0099780B" w:rsidP="008306B1">
      <w:pPr>
        <w:widowControl w:val="0"/>
        <w:ind w:firstLine="709"/>
        <w:jc w:val="both"/>
      </w:pPr>
      <w:r w:rsidRPr="008306B1">
        <w:t>Установленная законодательством РФ обязательная сертификация — это система сертификации продукции или услуг, сертификация которых является обязательным требованием. Чаще всего обязательная сертификация применяется для продукции, которая может повлиять на безопасность людей, их имущество и окружающую среду, на такую продукцию оформляется обязательный сертификат. Сертификация продукции включает в себя различные схемы сертификации. Самые распространенные — это оформление сертификата соответствия на контракт, на серийный выпуск и на определенную партию продукции.</w:t>
      </w:r>
    </w:p>
    <w:p w:rsidR="0099780B" w:rsidRPr="008306B1" w:rsidRDefault="0099780B" w:rsidP="008306B1">
      <w:pPr>
        <w:widowControl w:val="0"/>
        <w:ind w:firstLine="709"/>
        <w:jc w:val="both"/>
      </w:pPr>
      <w:r w:rsidRPr="008306B1">
        <w:rPr>
          <w:b/>
        </w:rPr>
        <w:t>Добровольной сертификации</w:t>
      </w:r>
      <w:r w:rsidRPr="008306B1">
        <w:t xml:space="preserve"> подлежит продукция, на которую отсутствуют обязательные к выполнению требования по безопасности. В то же время ее проведение ограничивает доступ на рынок некачественных изделий за счет проверки таких показателей, как надежность, эстетичность, экономичность и др.</w:t>
      </w:r>
    </w:p>
    <w:p w:rsidR="0099780B" w:rsidRPr="008306B1" w:rsidRDefault="0099780B" w:rsidP="008306B1">
      <w:pPr>
        <w:widowControl w:val="0"/>
        <w:ind w:firstLine="709"/>
        <w:jc w:val="both"/>
      </w:pPr>
      <w:r w:rsidRPr="008306B1">
        <w:t>Добровольная сертификация проводится в соответствии с Законом РФ «О сертификации продукции и услуг» по инициативе заявителей (изготовителей, продавцов, исполнителей) в целях подтверждения соответствия продукции (услуг) требованиям стандартов, технических условий, рецептур и других документов, определяемых заявителем. (Закон РФ «О сертификации продукции и услуг» от 10.06.1993 N5151-1 утратил силу по истечении шести месяцев со дня официального опубликования Федерального закона от 27.12.2002 N184-ФЗ «О техническом регулировании».) Добровольная сертификация проводится на условиях договора между заявителем и органом по сертификации.</w:t>
      </w:r>
    </w:p>
    <w:p w:rsidR="000A4F41" w:rsidRPr="008306B1" w:rsidRDefault="000A4F41" w:rsidP="008306B1">
      <w:pPr>
        <w:widowControl w:val="0"/>
        <w:ind w:firstLine="709"/>
        <w:jc w:val="both"/>
      </w:pPr>
      <w:r w:rsidRPr="008306B1">
        <w:rPr>
          <w:b/>
        </w:rPr>
        <w:t>Основные этапы процесса сертификации</w:t>
      </w:r>
      <w:r w:rsidRPr="008306B1">
        <w:t xml:space="preserve"> неизменны и независимы от вида и объекта сертификации. 5 основных этапов:</w:t>
      </w:r>
    </w:p>
    <w:p w:rsidR="000A4F41" w:rsidRPr="008306B1" w:rsidRDefault="000A4F41" w:rsidP="008306B1">
      <w:pPr>
        <w:pStyle w:val="a3"/>
        <w:widowControl w:val="0"/>
        <w:numPr>
          <w:ilvl w:val="0"/>
          <w:numId w:val="3"/>
        </w:numPr>
        <w:ind w:left="0" w:firstLine="709"/>
        <w:jc w:val="both"/>
      </w:pPr>
      <w:r w:rsidRPr="008306B1">
        <w:t>Заявка на сертификацию.</w:t>
      </w:r>
    </w:p>
    <w:p w:rsidR="000A4F41" w:rsidRPr="008306B1" w:rsidRDefault="000A4F41" w:rsidP="008306B1">
      <w:pPr>
        <w:pStyle w:val="a3"/>
        <w:widowControl w:val="0"/>
        <w:numPr>
          <w:ilvl w:val="0"/>
          <w:numId w:val="3"/>
        </w:numPr>
        <w:ind w:left="0" w:firstLine="709"/>
        <w:jc w:val="both"/>
      </w:pPr>
      <w:r w:rsidRPr="008306B1">
        <w:t>Оценка соответствия объекта сертификации установленным требованиям.</w:t>
      </w:r>
    </w:p>
    <w:p w:rsidR="000A4F41" w:rsidRPr="008306B1" w:rsidRDefault="000A4F41" w:rsidP="008306B1">
      <w:pPr>
        <w:pStyle w:val="a3"/>
        <w:widowControl w:val="0"/>
        <w:numPr>
          <w:ilvl w:val="0"/>
          <w:numId w:val="3"/>
        </w:numPr>
        <w:ind w:left="0" w:firstLine="709"/>
        <w:jc w:val="both"/>
      </w:pPr>
      <w:r w:rsidRPr="008306B1">
        <w:t>Анализ результатов оценки соответствия.</w:t>
      </w:r>
    </w:p>
    <w:p w:rsidR="000A4F41" w:rsidRPr="008306B1" w:rsidRDefault="000A4F41" w:rsidP="008306B1">
      <w:pPr>
        <w:pStyle w:val="a3"/>
        <w:widowControl w:val="0"/>
        <w:numPr>
          <w:ilvl w:val="0"/>
          <w:numId w:val="3"/>
        </w:numPr>
        <w:ind w:left="0" w:firstLine="709"/>
        <w:jc w:val="both"/>
      </w:pPr>
      <w:r w:rsidRPr="008306B1">
        <w:t>Решение по сертификации.</w:t>
      </w:r>
    </w:p>
    <w:p w:rsidR="000A4F41" w:rsidRPr="008306B1" w:rsidRDefault="000A4F41" w:rsidP="008306B1">
      <w:pPr>
        <w:pStyle w:val="a3"/>
        <w:widowControl w:val="0"/>
        <w:numPr>
          <w:ilvl w:val="0"/>
          <w:numId w:val="3"/>
        </w:numPr>
        <w:ind w:left="0" w:firstLine="709"/>
        <w:jc w:val="both"/>
      </w:pPr>
      <w:r w:rsidRPr="008306B1">
        <w:t>Инспекционный контроль за сертифицированным объектом.</w:t>
      </w:r>
    </w:p>
    <w:p w:rsidR="000A4F41" w:rsidRPr="008306B1" w:rsidRDefault="000A4F41" w:rsidP="008306B1">
      <w:pPr>
        <w:widowControl w:val="0"/>
        <w:ind w:firstLine="709"/>
        <w:jc w:val="both"/>
      </w:pPr>
      <w:r w:rsidRPr="008306B1">
        <w:t>Этап заявки на сертификацию заключается в выборе заявителем органа по сертификации, способного провести оценку соответствия интересующего его объекта. Это определяется областью аккредитации органа по сертификации. Если данную работу могут провести несколько органов по сертификации, то заявитель может обратиться в любой из них. Заявка направляется по установленной в системе сертификации форме. Орган по сертификации рассматривает ее и сообщает заявителю решение. В форме указываются все основные условия сертификации, в том числе схема сертификации, наименование испытательной лаборатории для проведения испытаний (если они предусмотрены схемой сертификации) или их перечень для выбора заявителем, номенклатура нормативных документов, на соответствие которым будет проведена сертификация.</w:t>
      </w:r>
    </w:p>
    <w:p w:rsidR="000A4F41" w:rsidRPr="008306B1" w:rsidRDefault="000A4F41" w:rsidP="008306B1">
      <w:pPr>
        <w:widowControl w:val="0"/>
        <w:ind w:firstLine="709"/>
        <w:jc w:val="both"/>
      </w:pPr>
      <w:r w:rsidRPr="008306B1">
        <w:t>Этап оценки соответствия имеет особенности в зависимости от объекта сертификации. Применительно к продукции он состоит из отбора и идентификации образцов изделий и их испытаний. Образцы должны быть такими же, как и продукция, поставляемая потребителю. Образцы выбираются случайным образом по установленным правилам из готовой продукции. Отобранные образцы изолируют от основной продукции, упаковывают, пломбируют или опечатывают на месте отбора. Составляется акт отбора образцов. На всех стадиях хранения, транспортирования и подготовки образцов к испытаниям, а также в процессе испытаний должны соблюдаться требования, установленные в нормативной документации на продукцию. Все этапы движения образцов в ходе работ по сертификации должны документироваться и подтверждаться подписью ответственных лиц.</w:t>
      </w:r>
    </w:p>
    <w:p w:rsidR="000A4F41" w:rsidRPr="008306B1" w:rsidRDefault="000A4F41" w:rsidP="008306B1">
      <w:pPr>
        <w:widowControl w:val="0"/>
        <w:ind w:firstLine="709"/>
        <w:jc w:val="both"/>
      </w:pPr>
      <w:r w:rsidRPr="008306B1">
        <w:t>Испытательная лаборатория или орган по сертификации может включить в отбираемую выборку дополнительно по одному образцу каждого вида продукции (кроме скоропортящейся) для хранения в качестве контрольного экземпляра с целью сохранения наглядности сертифицируемой продукции. Срок хранения контрольного образца должен соответствовать сроку действия сертификата или сроку годности продукции, по истечении которого образцы возвращаются заявителю.</w:t>
      </w:r>
    </w:p>
    <w:p w:rsidR="000A4F41" w:rsidRPr="008306B1" w:rsidRDefault="000A4F41" w:rsidP="008306B1">
      <w:pPr>
        <w:widowControl w:val="0"/>
        <w:ind w:firstLine="709"/>
        <w:jc w:val="both"/>
      </w:pPr>
      <w:r w:rsidRPr="008306B1">
        <w:t>Отбор образцов для испытаний осуществляет, как правило, испытательная лаборатория или по ее поручению другая компетентная организация. В случае проведения испытаний в двух и более испытательных лабораториях отбор образцов для испытаний может быть осуществлен органом по сертификации (при необходимости с участием испытательных лабораторий).</w:t>
      </w:r>
    </w:p>
    <w:p w:rsidR="000A4F41" w:rsidRPr="008306B1" w:rsidRDefault="000A4F41" w:rsidP="008306B1">
      <w:pPr>
        <w:widowControl w:val="0"/>
        <w:ind w:firstLine="709"/>
        <w:jc w:val="both"/>
      </w:pPr>
      <w:r w:rsidRPr="008306B1">
        <w:t>Испытания для сертификации проводятся в испытательных лабораториях, аккредитованных на проведение тех испытаний, которые предусмотрены в нормативных документах, используемых при сертификации данной продукции.</w:t>
      </w:r>
    </w:p>
    <w:p w:rsidR="000A4F41" w:rsidRPr="008306B1" w:rsidRDefault="000A4F41" w:rsidP="008306B1">
      <w:pPr>
        <w:widowControl w:val="0"/>
        <w:ind w:firstLine="709"/>
        <w:jc w:val="both"/>
      </w:pPr>
      <w:r w:rsidRPr="008306B1">
        <w:t>В случае отсутствия испытательной лаборатории, аккредитованной на компетентность и независимость, или значительной ее удаленности, что усложняет транспортирование образцов, увеличивает стоимость испытаний и недопустимо удлиняет их сроки, допускается проводить испытания с целью сертификации в испытательных лабораториях, аккредитованных только на компетентность, под контролем представителей органа по сертификации конкретной продукции. Объективность таких испытаний наряду с испытательной лабораторией обеспечивает орган по сертификации, поручивший испытательной лаборатории их проведение. Протокол испытаний в этом случае подписывают уполномоченные специалисты испытательной лаборатории и органа по сертификации.</w:t>
      </w:r>
    </w:p>
    <w:p w:rsidR="000A4F41" w:rsidRPr="008306B1" w:rsidRDefault="000A4F41" w:rsidP="008306B1">
      <w:pPr>
        <w:widowControl w:val="0"/>
        <w:ind w:firstLine="709"/>
        <w:jc w:val="both"/>
      </w:pPr>
      <w:r w:rsidRPr="008306B1">
        <w:t>Протоколы испытаний представляются заявителю и в орган по сертификации. Копии протоколов испытаний подлежат хранению не менее срока действия сертификата. Конкретные сроки хранения копий протоколов (в том числе и для случая, когда заявителю не может быть выдан сертификат ввиду несоответствия продукции требованиям) устанавливают в системе сертификации однородной продукции и в документах испытательной лаборатории.</w:t>
      </w:r>
    </w:p>
    <w:p w:rsidR="000A4F41" w:rsidRPr="008306B1" w:rsidRDefault="000A4F41" w:rsidP="008306B1">
      <w:pPr>
        <w:widowControl w:val="0"/>
        <w:ind w:firstLine="709"/>
        <w:jc w:val="both"/>
      </w:pPr>
      <w:r w:rsidRPr="008306B1">
        <w:t>Оценка соответствия услуг зависит от их вида. Услуги нематериального характера (например, оценка движимого и недвижимого имущества) оцениваются экспертным или социологическим методами. Проверка материальных услуг (например, услуги по техническому обслуживанию и ремонту автомототранспортных средств) основана на испытаниях результата услуги.</w:t>
      </w:r>
    </w:p>
    <w:p w:rsidR="000A4F41" w:rsidRPr="008306B1" w:rsidRDefault="000A4F41" w:rsidP="008306B1">
      <w:pPr>
        <w:widowControl w:val="0"/>
        <w:ind w:firstLine="709"/>
        <w:jc w:val="both"/>
      </w:pPr>
      <w:r w:rsidRPr="008306B1">
        <w:br w:type="page"/>
      </w:r>
    </w:p>
    <w:p w:rsidR="000A4F41" w:rsidRDefault="000A4F41" w:rsidP="00BC64DF">
      <w:pPr>
        <w:pStyle w:val="1"/>
        <w:keepNext w:val="0"/>
        <w:keepLines w:val="0"/>
        <w:widowControl w:val="0"/>
        <w:spacing w:before="0"/>
        <w:ind w:firstLine="709"/>
        <w:rPr>
          <w:sz w:val="28"/>
        </w:rPr>
      </w:pPr>
      <w:r w:rsidRPr="008306B1">
        <w:rPr>
          <w:sz w:val="28"/>
        </w:rPr>
        <w:t>С</w:t>
      </w:r>
      <w:r w:rsidR="008306B1">
        <w:rPr>
          <w:sz w:val="28"/>
        </w:rPr>
        <w:t>писок использованной литературы</w:t>
      </w:r>
    </w:p>
    <w:p w:rsidR="008306B1" w:rsidRPr="00F664FB" w:rsidRDefault="00ED17E3" w:rsidP="008306B1">
      <w:pPr>
        <w:rPr>
          <w:color w:val="FFFFFF"/>
        </w:rPr>
      </w:pPr>
      <w:r w:rsidRPr="00F664FB">
        <w:rPr>
          <w:color w:val="FFFFFF"/>
        </w:rPr>
        <w:t>сертификация соответствие испытание услуга</w:t>
      </w:r>
    </w:p>
    <w:p w:rsidR="000A4F41" w:rsidRPr="008306B1" w:rsidRDefault="000A4F41" w:rsidP="008306B1">
      <w:pPr>
        <w:pStyle w:val="a3"/>
        <w:widowControl w:val="0"/>
        <w:numPr>
          <w:ilvl w:val="0"/>
          <w:numId w:val="4"/>
        </w:numPr>
        <w:tabs>
          <w:tab w:val="left" w:pos="284"/>
        </w:tabs>
        <w:ind w:left="0" w:firstLine="0"/>
      </w:pPr>
      <w:r w:rsidRPr="008306B1">
        <w:t>Электронный ресурс [http://tso.su]</w:t>
      </w:r>
    </w:p>
    <w:p w:rsidR="000A4F41" w:rsidRPr="008306B1" w:rsidRDefault="000A4F41" w:rsidP="008306B1">
      <w:pPr>
        <w:pStyle w:val="a3"/>
        <w:widowControl w:val="0"/>
        <w:numPr>
          <w:ilvl w:val="0"/>
          <w:numId w:val="4"/>
        </w:numPr>
        <w:tabs>
          <w:tab w:val="left" w:pos="284"/>
        </w:tabs>
        <w:ind w:left="0" w:firstLine="0"/>
      </w:pPr>
      <w:r w:rsidRPr="008306B1">
        <w:t>Электронный ресурс [http://www.sertifikat.info]</w:t>
      </w:r>
    </w:p>
    <w:p w:rsidR="000A4F41" w:rsidRPr="008306B1" w:rsidRDefault="000A4F41" w:rsidP="008306B1">
      <w:pPr>
        <w:pStyle w:val="a3"/>
        <w:widowControl w:val="0"/>
        <w:numPr>
          <w:ilvl w:val="0"/>
          <w:numId w:val="4"/>
        </w:numPr>
        <w:tabs>
          <w:tab w:val="left" w:pos="284"/>
        </w:tabs>
        <w:ind w:left="0" w:firstLine="0"/>
      </w:pPr>
      <w:r w:rsidRPr="008306B1">
        <w:t>Электронный ресурс [http://www.rospromsert.ru/]</w:t>
      </w:r>
    </w:p>
    <w:p w:rsidR="000A4F41" w:rsidRDefault="000A4F41" w:rsidP="008306B1">
      <w:pPr>
        <w:pStyle w:val="a3"/>
        <w:widowControl w:val="0"/>
        <w:numPr>
          <w:ilvl w:val="0"/>
          <w:numId w:val="4"/>
        </w:numPr>
        <w:tabs>
          <w:tab w:val="left" w:pos="284"/>
        </w:tabs>
        <w:ind w:left="0" w:firstLine="0"/>
      </w:pPr>
      <w:r w:rsidRPr="008306B1">
        <w:t>Электронный ресурс [http://ru.wikipedia.org]</w:t>
      </w:r>
    </w:p>
    <w:p w:rsidR="008306B1" w:rsidRPr="00F664FB" w:rsidRDefault="008306B1" w:rsidP="008306B1">
      <w:pPr>
        <w:pStyle w:val="a3"/>
        <w:widowControl w:val="0"/>
        <w:tabs>
          <w:tab w:val="left" w:pos="284"/>
        </w:tabs>
        <w:ind w:left="0" w:firstLine="0"/>
        <w:rPr>
          <w:color w:val="FFFFFF"/>
        </w:rPr>
      </w:pPr>
      <w:bookmarkStart w:id="0" w:name="_GoBack"/>
      <w:bookmarkEnd w:id="0"/>
    </w:p>
    <w:sectPr w:rsidR="008306B1" w:rsidRPr="00F664FB" w:rsidSect="008306B1">
      <w:headerReference w:type="default"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133" w:rsidRDefault="002E4133" w:rsidP="000A4F41">
      <w:pPr>
        <w:spacing w:line="240" w:lineRule="auto"/>
      </w:pPr>
      <w:r>
        <w:separator/>
      </w:r>
    </w:p>
  </w:endnote>
  <w:endnote w:type="continuationSeparator" w:id="0">
    <w:p w:rsidR="002E4133" w:rsidRDefault="002E4133" w:rsidP="000A4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133" w:rsidRDefault="002E4133" w:rsidP="000A4F41">
      <w:pPr>
        <w:spacing w:line="240" w:lineRule="auto"/>
      </w:pPr>
      <w:r>
        <w:separator/>
      </w:r>
    </w:p>
  </w:footnote>
  <w:footnote w:type="continuationSeparator" w:id="0">
    <w:p w:rsidR="002E4133" w:rsidRDefault="002E4133" w:rsidP="000A4F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B1" w:rsidRDefault="008306B1" w:rsidP="008306B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11AAF"/>
    <w:multiLevelType w:val="hybridMultilevel"/>
    <w:tmpl w:val="A806A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F33E40"/>
    <w:multiLevelType w:val="hybridMultilevel"/>
    <w:tmpl w:val="AF968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65171C1"/>
    <w:multiLevelType w:val="hybridMultilevel"/>
    <w:tmpl w:val="D5A6C7C4"/>
    <w:lvl w:ilvl="0" w:tplc="B43AB1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7F54006E"/>
    <w:multiLevelType w:val="hybridMultilevel"/>
    <w:tmpl w:val="2FCC3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C9"/>
    <w:rsid w:val="000A4F41"/>
    <w:rsid w:val="001706F9"/>
    <w:rsid w:val="002E4133"/>
    <w:rsid w:val="00362BDC"/>
    <w:rsid w:val="003B04AB"/>
    <w:rsid w:val="005B67EA"/>
    <w:rsid w:val="00611DAE"/>
    <w:rsid w:val="008306B1"/>
    <w:rsid w:val="0099780B"/>
    <w:rsid w:val="00A375F6"/>
    <w:rsid w:val="00B05E95"/>
    <w:rsid w:val="00BC64DF"/>
    <w:rsid w:val="00C635C9"/>
    <w:rsid w:val="00D10AB6"/>
    <w:rsid w:val="00E159F4"/>
    <w:rsid w:val="00ED17E3"/>
    <w:rsid w:val="00F0703E"/>
    <w:rsid w:val="00F6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4C83C-5CCD-42BC-8267-8D15C066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ферат"/>
    <w:qFormat/>
    <w:rsid w:val="003B04AB"/>
    <w:pPr>
      <w:spacing w:line="360" w:lineRule="auto"/>
      <w:ind w:firstLine="720"/>
    </w:pPr>
    <w:rPr>
      <w:rFonts w:ascii="Times New Roman" w:hAnsi="Times New Roman" w:cs="Times New Roman"/>
      <w:sz w:val="28"/>
      <w:szCs w:val="22"/>
      <w:lang w:eastAsia="en-US"/>
    </w:rPr>
  </w:style>
  <w:style w:type="paragraph" w:styleId="1">
    <w:name w:val="heading 1"/>
    <w:aliases w:val="Реф Заголовок"/>
    <w:basedOn w:val="a"/>
    <w:next w:val="a"/>
    <w:link w:val="10"/>
    <w:uiPriority w:val="9"/>
    <w:qFormat/>
    <w:rsid w:val="00B05E95"/>
    <w:pPr>
      <w:keepNext/>
      <w:keepLines/>
      <w:spacing w:before="200"/>
      <w:jc w:val="center"/>
      <w:outlineLvl w:val="0"/>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еф Заголовок Знак"/>
    <w:link w:val="1"/>
    <w:uiPriority w:val="9"/>
    <w:locked/>
    <w:rsid w:val="00B05E95"/>
    <w:rPr>
      <w:rFonts w:ascii="Times New Roman" w:eastAsia="Times New Roman" w:hAnsi="Times New Roman" w:cs="Times New Roman"/>
      <w:b/>
      <w:bCs/>
      <w:sz w:val="28"/>
      <w:szCs w:val="28"/>
      <w:lang w:val="ru-RU" w:eastAsia="x-none"/>
    </w:rPr>
  </w:style>
  <w:style w:type="paragraph" w:styleId="a3">
    <w:name w:val="List Paragraph"/>
    <w:basedOn w:val="a"/>
    <w:uiPriority w:val="34"/>
    <w:qFormat/>
    <w:rsid w:val="00C635C9"/>
    <w:pPr>
      <w:ind w:left="720"/>
      <w:contextualSpacing/>
    </w:pPr>
  </w:style>
  <w:style w:type="paragraph" w:styleId="a4">
    <w:name w:val="header"/>
    <w:basedOn w:val="a"/>
    <w:link w:val="a5"/>
    <w:uiPriority w:val="99"/>
    <w:semiHidden/>
    <w:unhideWhenUsed/>
    <w:rsid w:val="000A4F41"/>
    <w:pPr>
      <w:tabs>
        <w:tab w:val="center" w:pos="4844"/>
        <w:tab w:val="right" w:pos="9689"/>
      </w:tabs>
      <w:spacing w:line="240" w:lineRule="auto"/>
    </w:pPr>
  </w:style>
  <w:style w:type="character" w:customStyle="1" w:styleId="a5">
    <w:name w:val="Верхний колонтитул Знак"/>
    <w:link w:val="a4"/>
    <w:uiPriority w:val="99"/>
    <w:semiHidden/>
    <w:locked/>
    <w:rsid w:val="000A4F41"/>
    <w:rPr>
      <w:rFonts w:ascii="Times New Roman" w:hAnsi="Times New Roman" w:cs="Times New Roman"/>
      <w:sz w:val="28"/>
      <w:lang w:val="ru-RU" w:eastAsia="x-none"/>
    </w:rPr>
  </w:style>
  <w:style w:type="paragraph" w:styleId="a6">
    <w:name w:val="footer"/>
    <w:basedOn w:val="a"/>
    <w:link w:val="a7"/>
    <w:uiPriority w:val="99"/>
    <w:unhideWhenUsed/>
    <w:rsid w:val="000A4F41"/>
    <w:pPr>
      <w:tabs>
        <w:tab w:val="center" w:pos="4844"/>
        <w:tab w:val="right" w:pos="9689"/>
      </w:tabs>
      <w:spacing w:line="240" w:lineRule="auto"/>
    </w:pPr>
  </w:style>
  <w:style w:type="character" w:customStyle="1" w:styleId="a7">
    <w:name w:val="Нижний колонтитул Знак"/>
    <w:link w:val="a6"/>
    <w:uiPriority w:val="99"/>
    <w:locked/>
    <w:rsid w:val="000A4F41"/>
    <w:rPr>
      <w:rFonts w:ascii="Times New Roman" w:hAnsi="Times New Roman" w:cs="Times New Roman"/>
      <w:sz w:val="28"/>
      <w:lang w:val="ru-RU" w:eastAsia="x-none"/>
    </w:rPr>
  </w:style>
  <w:style w:type="character" w:styleId="a8">
    <w:name w:val="Hyperlink"/>
    <w:uiPriority w:val="99"/>
    <w:semiHidden/>
    <w:unhideWhenUsed/>
    <w:rsid w:val="000A4F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2869">
      <w:marLeft w:val="0"/>
      <w:marRight w:val="0"/>
      <w:marTop w:val="0"/>
      <w:marBottom w:val="0"/>
      <w:divBdr>
        <w:top w:val="none" w:sz="0" w:space="0" w:color="auto"/>
        <w:left w:val="none" w:sz="0" w:space="0" w:color="auto"/>
        <w:bottom w:val="none" w:sz="0" w:space="0" w:color="auto"/>
        <w:right w:val="none" w:sz="0" w:space="0" w:color="auto"/>
      </w:divBdr>
    </w:div>
    <w:div w:id="1627662870">
      <w:marLeft w:val="0"/>
      <w:marRight w:val="0"/>
      <w:marTop w:val="0"/>
      <w:marBottom w:val="0"/>
      <w:divBdr>
        <w:top w:val="none" w:sz="0" w:space="0" w:color="auto"/>
        <w:left w:val="none" w:sz="0" w:space="0" w:color="auto"/>
        <w:bottom w:val="none" w:sz="0" w:space="0" w:color="auto"/>
        <w:right w:val="none" w:sz="0" w:space="0" w:color="auto"/>
      </w:divBdr>
    </w:div>
    <w:div w:id="1627662871">
      <w:marLeft w:val="0"/>
      <w:marRight w:val="0"/>
      <w:marTop w:val="0"/>
      <w:marBottom w:val="0"/>
      <w:divBdr>
        <w:top w:val="none" w:sz="0" w:space="0" w:color="auto"/>
        <w:left w:val="none" w:sz="0" w:space="0" w:color="auto"/>
        <w:bottom w:val="none" w:sz="0" w:space="0" w:color="auto"/>
        <w:right w:val="none" w:sz="0" w:space="0" w:color="auto"/>
      </w:divBdr>
    </w:div>
    <w:div w:id="1627662872">
      <w:marLeft w:val="0"/>
      <w:marRight w:val="0"/>
      <w:marTop w:val="0"/>
      <w:marBottom w:val="0"/>
      <w:divBdr>
        <w:top w:val="none" w:sz="0" w:space="0" w:color="auto"/>
        <w:left w:val="none" w:sz="0" w:space="0" w:color="auto"/>
        <w:bottom w:val="none" w:sz="0" w:space="0" w:color="auto"/>
        <w:right w:val="none" w:sz="0" w:space="0" w:color="auto"/>
      </w:divBdr>
      <w:divsChild>
        <w:div w:id="162766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dcterms:created xsi:type="dcterms:W3CDTF">2014-03-27T21:22:00Z</dcterms:created>
  <dcterms:modified xsi:type="dcterms:W3CDTF">2014-03-27T21:22:00Z</dcterms:modified>
</cp:coreProperties>
</file>