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25" w:rsidRPr="004D13A0" w:rsidRDefault="00711525" w:rsidP="00711525">
      <w:pPr>
        <w:spacing w:before="120"/>
        <w:jc w:val="center"/>
        <w:rPr>
          <w:b/>
          <w:bCs/>
          <w:sz w:val="32"/>
          <w:szCs w:val="32"/>
        </w:rPr>
      </w:pPr>
      <w:r w:rsidRPr="002A7D20">
        <w:rPr>
          <w:b/>
          <w:bCs/>
          <w:sz w:val="32"/>
          <w:szCs w:val="32"/>
        </w:rPr>
        <w:t>Синтаксис</w:t>
      </w:r>
    </w:p>
    <w:p w:rsidR="00711525" w:rsidRPr="00711525" w:rsidRDefault="00711525" w:rsidP="00711525">
      <w:pPr>
        <w:spacing w:before="120"/>
        <w:ind w:firstLine="567"/>
        <w:jc w:val="both"/>
        <w:rPr>
          <w:sz w:val="28"/>
          <w:szCs w:val="28"/>
        </w:rPr>
      </w:pPr>
      <w:r w:rsidRPr="00711525">
        <w:rPr>
          <w:sz w:val="28"/>
          <w:szCs w:val="28"/>
        </w:rPr>
        <w:t xml:space="preserve">Р. Шор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Определение С. — В определениях </w:t>
      </w:r>
      <w:r>
        <w:t>синтаксиса</w:t>
      </w:r>
      <w:r w:rsidRPr="00966079">
        <w:t xml:space="preserve"> отражены три основных направления в изучении грамматики  в целом — направления логическое, психологическое и формальное. Так, наиболее распространенными определениями С. являются: 1) определение его как учения о сочетании слов (или еще у́же — о формах словосочетаний), </w:t>
      </w:r>
      <w:r>
        <w:t xml:space="preserve"> </w:t>
      </w:r>
      <w:r w:rsidRPr="00966079">
        <w:t>восходящее еще к античной грамматике; 2) определение С. как учения о предложении, относящееся к периоду разработки рационалистической логической грамматики; 3) наконец выдвинутое младограмматиками определение С. как учения о классах слов и их использовании в связной речи (Миклошич, «Vergleichende Syntax der slav. Sprachen»). Недостаточность последнего определения очевидна, т.</w:t>
      </w:r>
      <w:r>
        <w:t xml:space="preserve"> </w:t>
      </w:r>
      <w:r w:rsidRPr="00966079">
        <w:t xml:space="preserve">к. оно сводит С. к учению о частях речи . Вундт не без остроумия назвал его «негативным С.». Но и первые два определения не покрывают полностью всего предмета. Понимание С. как учения о формах словосочетания игнорирует возможность синтаксических целых (предложений) из одного слова. Определение же С. как учения о предложении выносит за пределы С. изучение всех типов сочетания слов, </w:t>
      </w:r>
      <w:r>
        <w:t>котор</w:t>
      </w:r>
      <w:r w:rsidRPr="00966079">
        <w:t xml:space="preserve">ые не являются предложениями.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>Исходя из понимания отдельного слова  как возможного минимального высказывания, наиболее правильным представится определение С. как учения о строе связной речи, включающего как случаи использования отдельных слов в качестве синтаксических целых (предложений), так и случаи многословных предложений; при этом в качестве единицы анализа С. имеет всегда дело с синтагмой — т.</w:t>
      </w:r>
      <w:r>
        <w:t xml:space="preserve"> </w:t>
      </w:r>
      <w:r w:rsidRPr="00966079">
        <w:t xml:space="preserve">е. с сочетанием слов или даже отдельным словом, но обязательно образующим член целого связной речи.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>Учение о предложении — В центре С. остается проблема предложения, не получившая до настоящего времени общепринятого разрешения (Ries приводит около 150 определений предложения, выдвинутых представителями различных направлений в грамматике). Выдвинутое логической грамматикой определение предложения как «выраженного словами суждения» или как «языкового выражения мысли» подверглось в свое время достаточно развернутой критике со стороны психологического направления. Психологисты указывали, с одной стороны, на необходимость расширения понятия «мысли» вплоть до включения в него чувствований и волевых побуждений человека, находящих свое выражение в речи, а с другой — на отсутствие постоянного соответствия между правильностью построения мысли и правильностью построения речи; отталкиваясь от логицизма, они выдвинули учение о предложении как о «выраженном словами психологическом суждении», т.</w:t>
      </w:r>
      <w:r>
        <w:t xml:space="preserve"> </w:t>
      </w:r>
      <w:r w:rsidRPr="00966079">
        <w:t xml:space="preserve">е. об акте соединения представлений, при </w:t>
      </w:r>
      <w:r>
        <w:t>котор</w:t>
      </w:r>
      <w:r w:rsidRPr="00966079">
        <w:t xml:space="preserve">ом одно представление присоединяется к другому, главенствующему, и образует с ним вместе сложное представление. Лежащая в основе этого определения ассоциативная система психологии Гербарта подверглась критике со стороны основоположника волюнтаристической психологии Вундта; последний выдвинул определение предложения как «выраженного в словах намеренного (willkürlich) процесса разложения сложного целого представления на единичные представления в их соотношениях». </w:t>
      </w:r>
      <w:r>
        <w:t xml:space="preserve"> </w:t>
      </w:r>
      <w:r w:rsidRPr="00966079">
        <w:t xml:space="preserve">Представители формальной грамматики отмечают не без основания игнорирование собственно грамматического момента в определениях как логицистов, так и психологистов. Однако выдвигавшееся ими определение предложения как «определенного типа словосочетания» игнорировало полностью специфическую семантику предложения и в сущности уничтожало понятие предложения, рассматривая его в качестве одного из возможных сочетаний слов в одном ряду с сочетаниями слов, не образующими предложения. В бесконечной и до настоящего времени не завершенной полемике основных грамматических школ выдвигается то одна, то другая сторона в определении предложения. Эта проблема, очевидно, может быть разрешена лишь на основе общего понимания языка как «практического действительного сознания», как «орудия общения» людей и вытекающего отсюда примата семантики во всех языковых явлениях; ясно, что предложение не может рассматриваться вне смысловой его характеристики.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Три момента в семантике предложения заслуживают особого внимания. Прежде всего то обстоятельство, что в предложении всегда налицо известная законченность языковой коммуникации, достигающая той основной цели организации и координирования человеческих действий, </w:t>
      </w:r>
      <w:r>
        <w:t>котор</w:t>
      </w:r>
      <w:r w:rsidRPr="00966079">
        <w:t>ая и преследуется языком как орудием общения (см. «Язык»). Эта завершенность коммуникации препятствует непосредственному продолжению той же единицы сообщения — Пауль не без основания говорит о «закрытых конструкциях» в приложении к предложениям, — а ее элементарность не позволяет делить ее на новые единицы того же порядка, т.</w:t>
      </w:r>
      <w:r>
        <w:t xml:space="preserve"> </w:t>
      </w:r>
      <w:r w:rsidRPr="00966079">
        <w:t>е. предложения, а лишь на единицы низшего порядка — синтагмы. Далее, в предложении наряду с этой завершенностью выступает его соотносительность суждению, его сказуемость, предикативность. Недаром Ленин писал: «В любом предложении можно (и должно) как в „ячейке, („клеточке“) вскрыть зачатки всех элементов диалектики» («К вопросу о диалектике»). Наконец предикация, обязательная в предложении, всегда заключает в себе известную модальность, т.</w:t>
      </w:r>
      <w:r>
        <w:t xml:space="preserve"> </w:t>
      </w:r>
      <w:r w:rsidRPr="00966079">
        <w:t xml:space="preserve">е. отношение к действительности сообщаемого. Эти три семантических признака предложения получают в каждом языке свойственное ему грамматическое выражение.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Так. обр. предложение определяется как грамматически оформленная единица речевого общения (коммуникации), выражающая свое содержание под углом зрения его отношения к действительности. Предложение как единица речи всегда является грамматически оформленным. Грамматическая оформленность предложения включает: 1) наличие интонации, характеризующей как модальность высказывания, так и связь между отдельными элементами предложения (членами предложения); 2) наличие разных типов морфологического </w:t>
      </w:r>
      <w:r>
        <w:t xml:space="preserve"> </w:t>
      </w:r>
      <w:r w:rsidRPr="00966079">
        <w:t xml:space="preserve">изменения слов для передачи существующих в речи связей семантических единиц, и 3) последовательность элементов предложения.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>Проблема безличного предложения. — Хотя обычно простое предложение выступает как двучленная (состоящая из субъекта и предиката) единица, почти во всех языках существует одночленное, так наз. безличное предложение (ср. лат. «pluit», русск. «светает» и т.</w:t>
      </w:r>
      <w:r>
        <w:t xml:space="preserve"> </w:t>
      </w:r>
      <w:r w:rsidRPr="00966079">
        <w:t>п.). Проблема безличных предложений подверглась весьма разнообразным интерпретациям (обзор их дан в работе: E.</w:t>
      </w:r>
      <w:r>
        <w:t xml:space="preserve"> </w:t>
      </w:r>
      <w:r w:rsidRPr="00966079">
        <w:t xml:space="preserve">Beck, Die Impersonalien in sprachpsychologischer, logischer und linguistischer Hinsicht, Lpz, 1922), начиная от теории подразумевания или эллипсиса одного из членов предложения (античные грамматики) и кончая учением о безличных предложениях как исключительно формальном явлении строя языка (Marty). В современной грамматике приобретают все больше авторитета те определения безличного предложения, </w:t>
      </w:r>
      <w:r>
        <w:t>котор</w:t>
      </w:r>
      <w:r w:rsidRPr="00966079">
        <w:t xml:space="preserve">ые склонны видеть в нем пережиток очень древней эпохи, периода недостаточной расчлененности языкового выражения и самого мышления (акад. Марр).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Структура двухсоставного предложения. — В пределах простого предложения наиболее частым является двучленное его строение (группа субъекта и группа предиката). При этом каждый из членов предложения может распадаться на более мелкие члены, связь и последовательность </w:t>
      </w:r>
      <w:r>
        <w:t>котор</w:t>
      </w:r>
      <w:r w:rsidRPr="00966079">
        <w:t xml:space="preserve">ых определяются грамматич. строем данного языка. Вопрос о типах связей членов предложения принадлежит к числу наименее выясненных в С., тем более, что в решениях его часто смешиваются определение семантической стороны этих связей и определение грамматического их выражения (ср. напр. в русском С. спор логицистов и формалистов о классификации второстепенных членов предложения). Со стороны семантической наиболее ярко выделяются: тип предикативной связи, тип аттрибутивной связи и тип связи пояснительной.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Только первый тип образует замкнутую единицу сообщения, предложение в собственном смысле; второй тип, сближаясь с сложным словом, образует тесно связанную, но не замкнутую часть сообщения, нуждающуюся в завершении; третий тип представляет наиболее слабую связь семантических единиц.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Грамматическое выражение, получаемое этими типами связей в каждом языке, создает огромное разнообразие так наз. синтаксических конструкций. Так, выражения предикативной связи распадаются на две большие группы: конструкций с глаголом и конструкций с именным предикатом.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Показания ряда языков более архаического типа заставляют выделить в первой группе сочетания субъекта с непереходным глаголом собственно действия, непереходным глаголом чувствования (verba sentiendi) и с переходным глаголом в сочетании с прямым дополнением, по-разному осмыслявшиеся и оформлявшиеся на разных стадиях языкотворческого процесса. Так, в языках яфетических только </w:t>
      </w:r>
      <w:r>
        <w:t xml:space="preserve"> </w:t>
      </w:r>
      <w:r w:rsidRPr="00966079">
        <w:t xml:space="preserve">первое сочетание выражается активным оборотом с им. пад. действующего лица, при двух других сочетаниях имя действующего лица ставится в косвенном падеже (дат. или эргативном), а имя объекта — в именительном. Синтаксические конструкции, </w:t>
      </w:r>
      <w:r>
        <w:t>котор</w:t>
      </w:r>
      <w:r w:rsidRPr="00966079">
        <w:t>ыми в различных языках выражены эти типы сочетаний, весьма разнообразны, начиная от безличного в собственном смысле оборота вплоть до согласования личного глагола или с подлежащим при активной конструкции, или с объектом при эргативной и пассивной конструкциях. Следует еще отметить, что во многих языках (напр. в мордовском, грузинском) наблюдается одновременное согласование глагола и с субъектом и с объектом, т.</w:t>
      </w:r>
      <w:r>
        <w:t xml:space="preserve"> </w:t>
      </w:r>
      <w:r w:rsidRPr="00966079">
        <w:t xml:space="preserve">н. полиперсонное спряжение.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При именном предикате разнообразие синтаксических конструкций тоже весьма велико, включая простое соположение двух слов (при наличии лишь определенной интонации, — ср. русск. «дом белый», «орел — птица»), конструкции с вспомогательным глаголом (связкой, — ср. франц. «L’aigle est un oiseau»), изменение предиката по лицам (как в языках тюркских) или по падежам (предикативный творительный в русском). Следует еще отметить, что одной из наиболее архаических конструкций является конструкция, стоящая на грани предикативной и аттрибутивной связей.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Аттрибутивные и пояснительные связи в свою очередь могут получить выражение как в простом соположении (juxtapositio, — ср. англ. «a gold chain» — «золото-цепь» — «золотая цепь»), так и в разнообразных формах согласования и управления, включая в последние явления изафета (управление определяющего, а не определяемого слова, — ср. тюркск. «at basь» — «лошадь + голова ее» = «лошадиная голова»), групповое управление (как в древнегрузинском) и аналогичные конструкции.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Учению о сложном предложении. — Конструкции с предлогами, выражающие аттрибутивно-пояснительные связи, легко обособляются, образуя как бы включение новой коммуникативной единицы в строение простого предложения. В ряде языков, как в языках тюркских, монгольских и мн. др., основным методом выражения сложного сообщения (сложной коммуникации) и является развертывание аттрибутивных и пояснительных членов предложения; в других же языках развиваются явления так наз. паратаксиса и гипотаксиса, — объединение нескольких самостоятельных предложений в одно сложное целое посредством союзов и союзных слов. Так. обр. намечаются два пути развития сложного предложения, а именно: одним из этих путей развития является развертывание обособленных оборотов вплоть до выпадения их из структуры простого предложения; другим же путем является движение от соположения (паратаксиса) к подчинению (гипотаксису) путем сдвига смысловых границ и утраты известными элементами предложений первоначальных значений. Ср.: Hermann, Gabes im Idg. Nebensätze — K. Zt. 33. </w:t>
      </w:r>
      <w:r>
        <w:t xml:space="preserve"> </w:t>
      </w:r>
      <w:r w:rsidRPr="00966079">
        <w:t xml:space="preserve">Проблема генезиса предложения. — Проблема развития предложения нуждается еще в дальнейшем развертывании; однако во многих отношениях можно считать убедительным положение яфетической теории о позднем развитии активной конструкции простого предложения и о предшествовании ей эргативной и еще более древней безличной конструкции.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Совершенно доказанным можно считать позднее появление сложного предложения; в частности развитие многих форм гипотаксиса протекает уже в исторические эпохи существования языков (ср. напр. происхождение русских сложно-подчиненных оборотов с «который», «если», «хотя» и др.). 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>С. художественной речи привлекал внимание исследователей еще в античной древности, — так, александрийская и римская риторика и стилистика разрабатывают учение о периоде  и строят в основном на анализе С. учение о фигурах  речи. Следуя античной традиции, и многие стилисты нового времени выдвигают С. художественной речи как основной и даже чуть ли не единственный (Р.</w:t>
      </w:r>
      <w:r>
        <w:t xml:space="preserve"> </w:t>
      </w:r>
      <w:r w:rsidRPr="00966079">
        <w:t xml:space="preserve">Мейер) предмет стилистики. Однако это отождествление стиля и С. и слишком узко </w:t>
      </w:r>
      <w:r>
        <w:t>(</w:t>
      </w:r>
      <w:r w:rsidRPr="00966079">
        <w:t xml:space="preserve">оно напр. не учитывает наличия многочисленных художественных средств, построенных на семантике языка, — так наз. тропов </w:t>
      </w:r>
      <w:r>
        <w:t>)</w:t>
      </w:r>
      <w:r w:rsidRPr="00966079">
        <w:t xml:space="preserve"> и формалистично (оно сводит понятие стиля к структурным особенностям речи). В плане же анализа художественного метода писателя и представленного им стилистического направления в целом, а не в плане формалистического подсчета отдельных «фигур» и «приемов», проблема изучения С. художественной речи еще стоит перед литературоведением. </w:t>
      </w:r>
    </w:p>
    <w:p w:rsidR="00711525" w:rsidRPr="004D13A0" w:rsidRDefault="00711525" w:rsidP="00711525">
      <w:pPr>
        <w:spacing w:before="120"/>
        <w:jc w:val="center"/>
        <w:rPr>
          <w:b/>
          <w:bCs/>
          <w:sz w:val="28"/>
          <w:szCs w:val="28"/>
        </w:rPr>
      </w:pPr>
      <w:r w:rsidRPr="004D13A0">
        <w:rPr>
          <w:b/>
          <w:bCs/>
          <w:sz w:val="28"/>
          <w:szCs w:val="28"/>
        </w:rPr>
        <w:t>Список литературы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Теория С. освещена в значительной части в общих работах по языку  и грамматике . Кроме указанной там </w:t>
      </w:r>
      <w:r>
        <w:t>литератур</w:t>
      </w:r>
      <w:r w:rsidRPr="00966079">
        <w:t>ы см.: Буслаев</w:t>
      </w:r>
      <w:r>
        <w:t xml:space="preserve"> </w:t>
      </w:r>
      <w:r w:rsidRPr="00966079">
        <w:t>Ф., Опыт исторической грамматики русского языка, 2</w:t>
      </w:r>
      <w:r>
        <w:t xml:space="preserve"> </w:t>
      </w:r>
      <w:r w:rsidRPr="00966079">
        <w:t>чч., М., 1888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Потебня</w:t>
      </w:r>
      <w:r>
        <w:t xml:space="preserve"> </w:t>
      </w:r>
      <w:r w:rsidRPr="00966079">
        <w:t>А.</w:t>
      </w:r>
      <w:r>
        <w:t xml:space="preserve"> </w:t>
      </w:r>
      <w:r w:rsidRPr="00966079">
        <w:t>А., Из записок по русской грамматике, 2</w:t>
      </w:r>
      <w:r>
        <w:t xml:space="preserve"> </w:t>
      </w:r>
      <w:r w:rsidRPr="00966079">
        <w:t>тт., Харьков, 1888—1899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Фортунатов</w:t>
      </w:r>
      <w:r>
        <w:t xml:space="preserve"> </w:t>
      </w:r>
      <w:r w:rsidRPr="00966079">
        <w:t>Ф.</w:t>
      </w:r>
      <w:r>
        <w:t xml:space="preserve"> </w:t>
      </w:r>
      <w:r w:rsidRPr="00966079">
        <w:t>Ф., О преподавании грамматики русского языка в средней школе, «Труды первого съезда преподавателей русского языка в военно-учебных заведениях», СПБ, 1904 (перепечатано в «Русском филологическом вестнике», т.</w:t>
      </w:r>
      <w:r>
        <w:t xml:space="preserve"> </w:t>
      </w:r>
      <w:r w:rsidRPr="00966079">
        <w:t>LIII, 1905)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Овсянико-Куликовский</w:t>
      </w:r>
      <w:r>
        <w:t xml:space="preserve"> </w:t>
      </w:r>
      <w:r w:rsidRPr="00966079">
        <w:t>Д., Синтаксис русского языка, изд. 2, СПБ, 1911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Синтаксические наблюдения, вып.</w:t>
      </w:r>
      <w:r>
        <w:t xml:space="preserve"> </w:t>
      </w:r>
      <w:r w:rsidRPr="00966079">
        <w:t>I, СПБ 1899 (и в «ЖМНП», 1897, май, 1898, май, 1899, июнь)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Будде</w:t>
      </w:r>
      <w:r>
        <w:t xml:space="preserve"> </w:t>
      </w:r>
      <w:r w:rsidRPr="00966079">
        <w:t>Е.</w:t>
      </w:r>
      <w:r>
        <w:t xml:space="preserve"> </w:t>
      </w:r>
      <w:r w:rsidRPr="00966079">
        <w:t>Ф., Основа синтаксиса русского языка, «Русский филологический вестник», т.</w:t>
      </w:r>
      <w:r>
        <w:t xml:space="preserve"> </w:t>
      </w:r>
      <w:r w:rsidRPr="00966079">
        <w:t>64. 1910, №№</w:t>
      </w:r>
      <w:r>
        <w:t xml:space="preserve"> </w:t>
      </w:r>
      <w:r w:rsidRPr="00966079">
        <w:t>3—4 и т.</w:t>
      </w:r>
      <w:r>
        <w:t xml:space="preserve"> </w:t>
      </w:r>
      <w:r w:rsidRPr="00966079">
        <w:t>70, 1913, №</w:t>
      </w:r>
      <w:r>
        <w:t xml:space="preserve"> </w:t>
      </w:r>
      <w:r w:rsidRPr="00966079">
        <w:t>4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Грунский</w:t>
      </w:r>
      <w:r>
        <w:t xml:space="preserve"> </w:t>
      </w:r>
      <w:r w:rsidRPr="00966079">
        <w:t>Н.</w:t>
      </w:r>
      <w:r>
        <w:t xml:space="preserve"> </w:t>
      </w:r>
      <w:r w:rsidRPr="00966079">
        <w:t>К., Очерки по истории разработки синтаксиса славянских языков («ЖМНП», 1910, май, 1911, февраль — март и «Ученые записки Юрьевского ун-та», 1911, №</w:t>
      </w:r>
      <w:r>
        <w:t xml:space="preserve"> </w:t>
      </w:r>
      <w:r w:rsidRPr="00966079">
        <w:t>11 и 12)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Корш</w:t>
      </w:r>
      <w:r>
        <w:t xml:space="preserve"> </w:t>
      </w:r>
      <w:r w:rsidRPr="00966079">
        <w:t>Ф.</w:t>
      </w:r>
      <w:r>
        <w:t xml:space="preserve"> </w:t>
      </w:r>
      <w:r w:rsidRPr="00966079">
        <w:t>Е. Способы относительного подчинения, М., 1877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Шахматов</w:t>
      </w:r>
      <w:r>
        <w:t xml:space="preserve"> </w:t>
      </w:r>
      <w:r w:rsidRPr="00966079">
        <w:t>А., Синтаксис русского языка, вып.</w:t>
      </w:r>
      <w:r>
        <w:t xml:space="preserve"> </w:t>
      </w:r>
      <w:r w:rsidRPr="00966079">
        <w:t>1—2, Л., 1925—1927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Бернштейн</w:t>
      </w:r>
      <w:r>
        <w:t xml:space="preserve"> </w:t>
      </w:r>
      <w:r w:rsidRPr="00966079">
        <w:t>С.</w:t>
      </w:r>
      <w:r>
        <w:t xml:space="preserve"> </w:t>
      </w:r>
      <w:r w:rsidRPr="00966079">
        <w:t>И., Основные вопросы синтаксиса в освещении А.</w:t>
      </w:r>
      <w:r>
        <w:t xml:space="preserve"> </w:t>
      </w:r>
      <w:r w:rsidRPr="00966079">
        <w:t>А.</w:t>
      </w:r>
      <w:r>
        <w:t xml:space="preserve"> </w:t>
      </w:r>
      <w:r w:rsidRPr="00966079">
        <w:t>Шахматова, «Изв. Отд. русского яз. и словесности Академии наук», т.</w:t>
      </w:r>
      <w:r>
        <w:t xml:space="preserve"> </w:t>
      </w:r>
      <w:r w:rsidRPr="00966079">
        <w:t>XXV, 1920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Петерсон</w:t>
      </w:r>
      <w:r>
        <w:t xml:space="preserve"> </w:t>
      </w:r>
      <w:r w:rsidRPr="00966079">
        <w:t>М.</w:t>
      </w:r>
      <w:r>
        <w:t xml:space="preserve"> </w:t>
      </w:r>
      <w:r w:rsidRPr="00966079">
        <w:t>Н., Очерк синтаксиса русского языка, П., 1923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Пешковский</w:t>
      </w:r>
      <w:r>
        <w:t xml:space="preserve"> </w:t>
      </w:r>
      <w:r w:rsidRPr="00966079">
        <w:t>А.</w:t>
      </w:r>
      <w:r>
        <w:t xml:space="preserve"> </w:t>
      </w:r>
      <w:r w:rsidRPr="00966079">
        <w:t>М., Русский синтаксис в научном освещении, изд. 5, М., 1935</w:t>
      </w:r>
    </w:p>
    <w:p w:rsidR="00711525" w:rsidRPr="004D13A0" w:rsidRDefault="00711525" w:rsidP="00711525">
      <w:pPr>
        <w:spacing w:before="120"/>
        <w:ind w:firstLine="567"/>
        <w:jc w:val="both"/>
        <w:rPr>
          <w:lang w:val="en-US"/>
        </w:rPr>
      </w:pPr>
      <w:r w:rsidRPr="00966079">
        <w:t xml:space="preserve"> </w:t>
      </w:r>
      <w:r w:rsidRPr="004D13A0">
        <w:rPr>
          <w:lang w:val="en-US"/>
        </w:rPr>
        <w:t xml:space="preserve">Delbbrück B., Vergleichende Syntax der indo-germanischen Sprachen, 3 Bde, </w:t>
      </w:r>
      <w:r w:rsidRPr="00966079">
        <w:t>в</w:t>
      </w:r>
      <w:r w:rsidRPr="004D13A0">
        <w:rPr>
          <w:lang w:val="en-US"/>
        </w:rPr>
        <w:t xml:space="preserve"> </w:t>
      </w:r>
      <w:r w:rsidRPr="00966079">
        <w:t>кн</w:t>
      </w:r>
      <w:r w:rsidRPr="004D13A0">
        <w:rPr>
          <w:lang w:val="en-US"/>
        </w:rPr>
        <w:t>.: Brugmann K., Grundriss der vergleichenden Grammatik der indo-germanischen, Sprachen, T. 3—5, Strassburg, 1893—1900</w:t>
      </w:r>
    </w:p>
    <w:p w:rsidR="00711525" w:rsidRPr="004D13A0" w:rsidRDefault="00711525" w:rsidP="00711525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Noreen A., Einführung in die wissenschaftliche Betrachtung der Sprache, Durchges. übers von H. W. Pollak, Halle, 1923</w:t>
      </w:r>
    </w:p>
    <w:p w:rsidR="00711525" w:rsidRPr="004D13A0" w:rsidRDefault="00711525" w:rsidP="00711525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Paul H., Prinzipien der Sprachgeschichte, 5 Aufl., Halle, 1920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Wundt W., Die Sprache, 3 Aufl., </w:t>
      </w:r>
      <w:r w:rsidRPr="00966079">
        <w:t>в</w:t>
      </w:r>
      <w:r w:rsidRPr="004D13A0">
        <w:rPr>
          <w:lang w:val="en-US"/>
        </w:rPr>
        <w:t xml:space="preserve"> </w:t>
      </w:r>
      <w:r w:rsidRPr="00966079">
        <w:t>его</w:t>
      </w:r>
      <w:r w:rsidRPr="004D13A0">
        <w:rPr>
          <w:lang w:val="en-US"/>
        </w:rPr>
        <w:t xml:space="preserve"> </w:t>
      </w:r>
      <w:r w:rsidRPr="00966079">
        <w:t>кн</w:t>
      </w:r>
      <w:r w:rsidRPr="004D13A0">
        <w:rPr>
          <w:lang w:val="en-US"/>
        </w:rPr>
        <w:t xml:space="preserve">.: Völkerpsychologie. </w:t>
      </w:r>
      <w:r w:rsidRPr="00FC45F3">
        <w:rPr>
          <w:lang w:val="en-US"/>
        </w:rPr>
        <w:t>Bd., I—II, Lpz., 1911—1912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Morris E. P., On principles and method in Latin Syntax. N. Y., 1902: Ries J., Was ist Syntax, </w:t>
      </w:r>
      <w:r w:rsidRPr="00966079">
        <w:t>в</w:t>
      </w:r>
      <w:r w:rsidRPr="00FC45F3">
        <w:rPr>
          <w:lang w:val="en-US"/>
        </w:rPr>
        <w:t xml:space="preserve"> </w:t>
      </w:r>
      <w:r w:rsidRPr="00966079">
        <w:t>его</w:t>
      </w:r>
      <w:r w:rsidRPr="00FC45F3">
        <w:rPr>
          <w:lang w:val="en-US"/>
        </w:rPr>
        <w:t xml:space="preserve"> </w:t>
      </w:r>
      <w:r w:rsidRPr="00966079">
        <w:t>кн</w:t>
      </w:r>
      <w:r w:rsidRPr="00FC45F3">
        <w:rPr>
          <w:lang w:val="en-US"/>
        </w:rPr>
        <w:t>.: Beiträge zur Grundlegung der Syntax, Bd. I, Marburg, 1894,  2 vcrm. Ausg., Prag., 1927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4D13A0">
        <w:t xml:space="preserve"> </w:t>
      </w:r>
      <w:r w:rsidRPr="00966079">
        <w:t>Его</w:t>
      </w:r>
      <w:r w:rsidRPr="004D13A0">
        <w:t xml:space="preserve"> </w:t>
      </w:r>
      <w:r w:rsidRPr="00966079">
        <w:t>же</w:t>
      </w:r>
      <w:r w:rsidRPr="004D13A0">
        <w:t xml:space="preserve">, </w:t>
      </w:r>
      <w:r w:rsidRPr="00FC45F3">
        <w:rPr>
          <w:lang w:val="en-US"/>
        </w:rPr>
        <w:t>Was</w:t>
      </w:r>
      <w:r w:rsidRPr="004D13A0">
        <w:t xml:space="preserve"> </w:t>
      </w:r>
      <w:r w:rsidRPr="00FC45F3">
        <w:rPr>
          <w:lang w:val="en-US"/>
        </w:rPr>
        <w:t>ist</w:t>
      </w:r>
      <w:r w:rsidRPr="004D13A0">
        <w:t xml:space="preserve"> </w:t>
      </w:r>
      <w:r w:rsidRPr="00FC45F3">
        <w:rPr>
          <w:lang w:val="en-US"/>
        </w:rPr>
        <w:t>ein</w:t>
      </w:r>
      <w:r w:rsidRPr="004D13A0">
        <w:t xml:space="preserve"> </w:t>
      </w:r>
      <w:r w:rsidRPr="00FC45F3">
        <w:rPr>
          <w:lang w:val="en-US"/>
        </w:rPr>
        <w:t>Satz</w:t>
      </w:r>
      <w:r w:rsidRPr="004D13A0">
        <w:t xml:space="preserve">, </w:t>
      </w:r>
      <w:r w:rsidRPr="00966079">
        <w:t>там</w:t>
      </w:r>
      <w:r w:rsidRPr="004D13A0">
        <w:t xml:space="preserve"> </w:t>
      </w:r>
      <w:r w:rsidRPr="00966079">
        <w:t>же</w:t>
      </w:r>
      <w:r w:rsidRPr="004D13A0">
        <w:t xml:space="preserve">, </w:t>
      </w:r>
      <w:r w:rsidRPr="00FC45F3">
        <w:rPr>
          <w:lang w:val="en-US"/>
        </w:rPr>
        <w:t>Bd</w:t>
      </w:r>
      <w:r w:rsidRPr="004D13A0">
        <w:t xml:space="preserve">. </w:t>
      </w:r>
      <w:r w:rsidRPr="00FC45F3">
        <w:rPr>
          <w:lang w:val="en-US"/>
        </w:rPr>
        <w:t>III, Prag., 1931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Blümel R., Einführung in die Syntax, Hdlb., 1914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Wackernagel J., Vorlesungen über Syntax..., 2 Bde, Basel, 1920—1924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Hjelmslev L., Principes de grammaire générate, København, 1928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Sechehaye A., Essai sur la structure logique de la phrase, P., 1926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Brunot F., La pensée et la langue, P., 1922</w:t>
      </w:r>
    </w:p>
    <w:p w:rsidR="00711525" w:rsidRDefault="00711525" w:rsidP="0071152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Jespersen O., The philosophy of grammar, L., 1924</w:t>
      </w:r>
    </w:p>
    <w:p w:rsidR="00711525" w:rsidRDefault="00711525" w:rsidP="00711525">
      <w:pPr>
        <w:spacing w:before="120"/>
        <w:ind w:firstLine="567"/>
        <w:jc w:val="both"/>
      </w:pPr>
      <w:r w:rsidRPr="00FC45F3">
        <w:rPr>
          <w:lang w:val="en-US"/>
        </w:rPr>
        <w:t xml:space="preserve"> Havers W., Handbuch der erklärenden Syntax, Hdlb., 1931. </w:t>
      </w:r>
      <w:r w:rsidRPr="00966079">
        <w:t xml:space="preserve">См. также </w:t>
      </w:r>
      <w:r>
        <w:t>литератур</w:t>
      </w:r>
      <w:r w:rsidRPr="00966079">
        <w:t>у по отдельным языкам. О синтаксисе художественной речи — см. «Стилистика». О генезисе предложения и его развитии см. Марр</w:t>
      </w:r>
      <w:r>
        <w:t xml:space="preserve"> </w:t>
      </w:r>
      <w:r w:rsidRPr="00966079">
        <w:t>Н., акад., Яфетическая теория, Баку, 1928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Его же, Первая выдвиженческая экспедиция по обследованию мариев, Л., 1930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Его же, Язык и мышление, Л., 1931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Его же, Язык и современность, «Изв. ГАИМК», вып.</w:t>
      </w:r>
      <w:r>
        <w:t xml:space="preserve"> </w:t>
      </w:r>
      <w:r w:rsidRPr="00966079">
        <w:t>60, Л., 1932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Его же, Актуальные проблемы и очередные задачи яфетической теории, М., 1929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Его же, Стадия мышления при возникновении глагола «быть», «ДАН», 1930, и отд. отт., Л., 1930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Мещанинов</w:t>
      </w:r>
      <w:r>
        <w:t xml:space="preserve"> </w:t>
      </w:r>
      <w:r w:rsidRPr="00966079">
        <w:t>И., Проблема классификации языков в свете нового учения о языке, Л., 1934 (изд. 4, Л., 1935)</w:t>
      </w:r>
    </w:p>
    <w:p w:rsidR="00711525" w:rsidRDefault="00711525" w:rsidP="00711525">
      <w:pPr>
        <w:spacing w:before="120"/>
        <w:ind w:firstLine="567"/>
        <w:jc w:val="both"/>
      </w:pPr>
      <w:r w:rsidRPr="00966079">
        <w:t xml:space="preserve"> Его же, Язык и мышление в доклассовом обществе (журн. «Проблема истории докапиталистических обществ» №</w:t>
      </w:r>
      <w:r>
        <w:t xml:space="preserve"> </w:t>
      </w:r>
      <w:r w:rsidRPr="00966079">
        <w:t>9—10, 1934)</w:t>
      </w:r>
    </w:p>
    <w:p w:rsidR="00711525" w:rsidRPr="00966079" w:rsidRDefault="00711525" w:rsidP="00711525">
      <w:pPr>
        <w:spacing w:before="120"/>
        <w:ind w:firstLine="567"/>
        <w:jc w:val="both"/>
      </w:pPr>
      <w:r w:rsidRPr="00966079">
        <w:t xml:space="preserve"> Его же, Новое учение о языке (литограф. издание ЛИФЛИ).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525"/>
    <w:rsid w:val="00002B5A"/>
    <w:rsid w:val="0010437E"/>
    <w:rsid w:val="001F03CE"/>
    <w:rsid w:val="002A7D20"/>
    <w:rsid w:val="004D13A0"/>
    <w:rsid w:val="00610D61"/>
    <w:rsid w:val="00616072"/>
    <w:rsid w:val="006A5004"/>
    <w:rsid w:val="006F12D1"/>
    <w:rsid w:val="00710178"/>
    <w:rsid w:val="00711525"/>
    <w:rsid w:val="008B35EE"/>
    <w:rsid w:val="00905CC1"/>
    <w:rsid w:val="00966079"/>
    <w:rsid w:val="00B42C45"/>
    <w:rsid w:val="00B47B6A"/>
    <w:rsid w:val="00E02B52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F86F3A-B704-40FE-86E3-40494174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1152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Синтаксис</vt:lpstr>
    </vt:vector>
  </TitlesOfParts>
  <Company>Home</Company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Синтаксис</dc:title>
  <dc:subject/>
  <dc:creator>User</dc:creator>
  <cp:keywords/>
  <dc:description/>
  <cp:lastModifiedBy>admin</cp:lastModifiedBy>
  <cp:revision>2</cp:revision>
  <dcterms:created xsi:type="dcterms:W3CDTF">2014-02-15T03:07:00Z</dcterms:created>
  <dcterms:modified xsi:type="dcterms:W3CDTF">2014-02-15T03:07:00Z</dcterms:modified>
</cp:coreProperties>
</file>