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4D" w:rsidRPr="00ED4B3A" w:rsidRDefault="00ED4B3A" w:rsidP="00ED4B3A">
      <w:pPr>
        <w:pStyle w:val="1"/>
        <w:keepNext w:val="0"/>
        <w:tabs>
          <w:tab w:val="left" w:pos="567"/>
        </w:tabs>
        <w:autoSpaceDE w:val="0"/>
        <w:autoSpaceDN w:val="0"/>
        <w:spacing w:before="0" w:after="0" w:line="360" w:lineRule="auto"/>
        <w:ind w:firstLine="709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Синтезы органических соединений </w:t>
      </w:r>
      <w:r w:rsidR="005D504D" w:rsidRPr="00ED4B3A">
        <w:rPr>
          <w:rFonts w:ascii="Times New Roman" w:hAnsi="Times New Roman"/>
          <w:szCs w:val="36"/>
        </w:rPr>
        <w:t>на основе оксида углерода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36"/>
        </w:rPr>
      </w:pPr>
    </w:p>
    <w:p w:rsidR="005D504D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Помимо синтезов органических соединений из СО и Н</w:t>
      </w:r>
      <w:r w:rsidRPr="00ED4B3A">
        <w:rPr>
          <w:sz w:val="28"/>
          <w:szCs w:val="28"/>
          <w:vertAlign w:val="subscript"/>
        </w:rPr>
        <w:t>2</w:t>
      </w:r>
      <w:r w:rsidRPr="00ED4B3A">
        <w:rPr>
          <w:sz w:val="28"/>
          <w:szCs w:val="28"/>
        </w:rPr>
        <w:t xml:space="preserve"> – углеводороды, олефины, в том числе изобутилен с высокими показателями (селективность &gt; 90%), спирты, в том числе изобутанол с выходом ~70%, метанол и др. – оксид углерода взаимодействует с различными органическими молекулами без и с участием Н2.</w:t>
      </w:r>
    </w:p>
    <w:p w:rsidR="00BA52C8" w:rsidRPr="00ED4B3A" w:rsidRDefault="00BA52C8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5D504D" w:rsidRDefault="005D504D" w:rsidP="00ED4B3A">
      <w:pPr>
        <w:pStyle w:val="ad"/>
        <w:spacing w:after="0" w:line="360" w:lineRule="auto"/>
        <w:ind w:firstLine="709"/>
        <w:jc w:val="both"/>
        <w:rPr>
          <w:b/>
          <w:sz w:val="28"/>
          <w:szCs w:val="36"/>
        </w:rPr>
      </w:pPr>
      <w:r w:rsidRPr="00ED4B3A">
        <w:rPr>
          <w:b/>
          <w:sz w:val="28"/>
          <w:szCs w:val="36"/>
        </w:rPr>
        <w:t>Оксосинтез</w:t>
      </w:r>
    </w:p>
    <w:p w:rsidR="00BA52C8" w:rsidRPr="00ED4B3A" w:rsidRDefault="00BA52C8" w:rsidP="00ED4B3A">
      <w:pPr>
        <w:pStyle w:val="ad"/>
        <w:spacing w:after="0" w:line="360" w:lineRule="auto"/>
        <w:ind w:firstLine="709"/>
        <w:jc w:val="both"/>
        <w:rPr>
          <w:b/>
          <w:sz w:val="28"/>
          <w:szCs w:val="36"/>
        </w:rPr>
      </w:pP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 xml:space="preserve">Первый важный промышленный синтез альдегидов и спиртов по реакции СО и Н2 с олефинами был открыт в </w:t>
      </w:r>
      <w:smartTag w:uri="urn:schemas-microsoft-com:office:smarttags" w:element="metricconverter">
        <w:smartTagPr>
          <w:attr w:name="ProductID" w:val="1939 г"/>
        </w:smartTagPr>
        <w:r w:rsidRPr="00ED4B3A">
          <w:rPr>
            <w:sz w:val="28"/>
            <w:szCs w:val="28"/>
          </w:rPr>
          <w:t>1939 г</w:t>
        </w:r>
      </w:smartTag>
      <w:r w:rsidRPr="00ED4B3A">
        <w:rPr>
          <w:sz w:val="28"/>
          <w:szCs w:val="28"/>
        </w:rPr>
        <w:t xml:space="preserve"> О.</w:t>
      </w:r>
      <w:r w:rsidR="00ED4B3A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Рёленом. Процесс получил название “оксосинтез” (oxo-process), а реакцию синтеза альдегидов называют реакцией гидроформилирования, например: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7.5pt">
            <v:imagedata r:id="rId7" o:title=""/>
          </v:shape>
        </w:pict>
      </w:r>
      <w:r w:rsidR="005D504D" w:rsidRPr="00ED4B3A">
        <w:rPr>
          <w:sz w:val="28"/>
          <w:szCs w:val="28"/>
        </w:rPr>
        <w:tab/>
        <w:t>(1)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 xml:space="preserve">В реакции используют этилен, пропилен, изобутилен, стирол и высшие </w:t>
      </w:r>
      <w:r w:rsidRPr="00ED4B3A">
        <w:rPr>
          <w:sz w:val="28"/>
          <w:szCs w:val="28"/>
        </w:rPr>
        <w:sym w:font="Symbol" w:char="F061"/>
      </w:r>
      <w:r w:rsidRPr="00ED4B3A">
        <w:rPr>
          <w:sz w:val="28"/>
          <w:szCs w:val="28"/>
        </w:rPr>
        <w:t>-оле</w:t>
      </w:r>
      <w:r w:rsidRPr="00ED4B3A">
        <w:rPr>
          <w:sz w:val="28"/>
          <w:szCs w:val="28"/>
        </w:rPr>
        <w:softHyphen/>
        <w:t>фины (для получения высших спиртов нормального строения). Процесс проводят в органических растворителях или в жидких олефинах.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Первым катализатором процесса были комплексы кобальта, а в качестве исходного комплекса использовали кластер Co2(CO)8. Стадии процесса – типичные реакции для металлокомплексного катализа.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2.75pt;height:18.75pt">
            <v:imagedata r:id="rId8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8.5pt;height:16.5pt">
            <v:imagedata r:id="rId9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3.25pt;height:18pt">
            <v:imagedata r:id="rId10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03.25pt;height:16.5pt">
            <v:imagedata r:id="rId11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8.25pt;height:18pt">
            <v:imagedata r:id="rId12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76pt;height:16.5pt">
            <v:imagedata r:id="rId13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13pt;height:16.5pt">
            <v:imagedata r:id="rId14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58.75pt;height:18pt">
            <v:imagedata r:id="rId15" o:title=""/>
          </v:shape>
        </w:pic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Основные формы катализатора в растворе – HCo(CO)4 и C2H5COCo(CO)4.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Процесс требует высокой температуры ~ 150оС и, следовательно, высокого давления (&gt; 30 атм) для предотвращения распада термически неустойчивых комплексов Со. Критическое давление Р &gt; 10 атм при 120оС. Строгая кинетическая модель этого сложного процесса пока не получена. Отмечено сильное торможение оксидом углерода и важная роль координационно-ненасыщенных комплексов HCo(CO)3 и C2H5COCo(CO)3. Экспериментально полученное кинетическое уравнение (2)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23pt;height:36pt">
            <v:imagedata r:id="rId16" o:title=""/>
          </v:shape>
        </w:pict>
      </w:r>
      <w:r w:rsidR="005D504D" w:rsidRPr="00ED4B3A">
        <w:rPr>
          <w:sz w:val="28"/>
          <w:szCs w:val="28"/>
        </w:rPr>
        <w:tab/>
        <w:t>(2)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превращается в уравнение (3), описывающее процесс в узком интервале РСО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1pt;height:36pt">
            <v:imagedata r:id="rId17" o:title=""/>
          </v:shape>
        </w:pict>
      </w:r>
      <w:r w:rsidR="005D504D" w:rsidRPr="00ED4B3A">
        <w:rPr>
          <w:sz w:val="28"/>
          <w:szCs w:val="28"/>
        </w:rPr>
        <w:t>,</w:t>
      </w:r>
      <w:r w:rsidR="005D504D" w:rsidRPr="00ED4B3A">
        <w:rPr>
          <w:sz w:val="28"/>
          <w:szCs w:val="28"/>
        </w:rPr>
        <w:tab/>
        <w:t>(3)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 xml:space="preserve">где n </w:t>
      </w:r>
      <w:r w:rsidRPr="00ED4B3A">
        <w:rPr>
          <w:sz w:val="28"/>
          <w:szCs w:val="28"/>
        </w:rPr>
        <w:sym w:font="Symbol" w:char="F0B3"/>
      </w:r>
      <w:r w:rsidRPr="00ED4B3A">
        <w:rPr>
          <w:sz w:val="28"/>
          <w:szCs w:val="28"/>
        </w:rPr>
        <w:t xml:space="preserve"> 2.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ходе реакции имеет место частичное гидрирование альдегидов до спиртов. Важным показателем процесса является соотношение альдегидов нормального (n) и изостроения (i). С целью повысить соотношение n/i и смягчить условия процесса исследовали другие каталитические системы (см. таблицу).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5D504D" w:rsidRPr="00ED4B3A" w:rsidRDefault="00BA52C8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Таблица. Катализаторы оксо</w:t>
      </w:r>
      <w:r w:rsidR="005D504D" w:rsidRPr="00ED4B3A">
        <w:rPr>
          <w:sz w:val="28"/>
          <w:szCs w:val="28"/>
        </w:rPr>
        <w:t>синтеза.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485"/>
        <w:gridCol w:w="1559"/>
        <w:gridCol w:w="1559"/>
      </w:tblGrid>
      <w:tr w:rsidR="005D504D" w:rsidRPr="00BA52C8" w:rsidTr="005D504D">
        <w:trPr>
          <w:jc w:val="center"/>
        </w:trPr>
        <w:tc>
          <w:tcPr>
            <w:tcW w:w="1876" w:type="dxa"/>
            <w:vAlign w:val="center"/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 xml:space="preserve">Условия, </w:t>
            </w:r>
            <w:r w:rsidR="005D504D" w:rsidRPr="00BA52C8">
              <w:rPr>
                <w:sz w:val="20"/>
                <w:szCs w:val="20"/>
              </w:rPr>
              <w:t>показатели</w:t>
            </w:r>
          </w:p>
        </w:tc>
        <w:tc>
          <w:tcPr>
            <w:tcW w:w="2485" w:type="dxa"/>
            <w:vAlign w:val="center"/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HCo(CO)4</w:t>
            </w:r>
          </w:p>
        </w:tc>
        <w:tc>
          <w:tcPr>
            <w:tcW w:w="1559" w:type="dxa"/>
            <w:vAlign w:val="center"/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  <w:lang w:val="en-US"/>
              </w:rPr>
            </w:pPr>
            <w:r w:rsidRPr="00BA52C8">
              <w:rPr>
                <w:sz w:val="20"/>
                <w:szCs w:val="20"/>
                <w:lang w:val="en-US"/>
              </w:rPr>
              <w:t xml:space="preserve">HCo(CO)3L </w:t>
            </w:r>
            <w:r w:rsidR="005D504D" w:rsidRPr="00BA52C8">
              <w:rPr>
                <w:sz w:val="20"/>
                <w:szCs w:val="20"/>
                <w:lang w:val="en-US"/>
              </w:rPr>
              <w:t>L – PBu3</w:t>
            </w:r>
          </w:p>
        </w:tc>
        <w:tc>
          <w:tcPr>
            <w:tcW w:w="1559" w:type="dxa"/>
            <w:vAlign w:val="center"/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  <w:lang w:val="en-US"/>
              </w:rPr>
            </w:pPr>
            <w:r w:rsidRPr="00BA52C8">
              <w:rPr>
                <w:sz w:val="20"/>
                <w:szCs w:val="20"/>
                <w:lang w:val="en-US"/>
              </w:rPr>
              <w:t xml:space="preserve">HRh(CO)L3 </w:t>
            </w:r>
            <w:r w:rsidR="005D504D" w:rsidRPr="00BA52C8">
              <w:rPr>
                <w:sz w:val="20"/>
                <w:szCs w:val="20"/>
                <w:lang w:val="en-US"/>
              </w:rPr>
              <w:t>L – PPh3</w:t>
            </w:r>
          </w:p>
        </w:tc>
      </w:tr>
      <w:tr w:rsidR="005D504D" w:rsidRPr="00ED4B3A" w:rsidTr="005D504D">
        <w:trPr>
          <w:jc w:val="center"/>
        </w:trPr>
        <w:tc>
          <w:tcPr>
            <w:tcW w:w="1876" w:type="dxa"/>
            <w:tcBorders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T, oC</w:t>
            </w:r>
          </w:p>
        </w:tc>
        <w:tc>
          <w:tcPr>
            <w:tcW w:w="2485" w:type="dxa"/>
            <w:tcBorders>
              <w:bottom w:val="nil"/>
            </w:tcBorders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12 –</w:t>
            </w:r>
            <w:r w:rsidR="005D504D" w:rsidRPr="00BA52C8">
              <w:rPr>
                <w:sz w:val="20"/>
                <w:szCs w:val="20"/>
              </w:rPr>
              <w:t>160 (опт. 150)</w:t>
            </w:r>
          </w:p>
        </w:tc>
        <w:tc>
          <w:tcPr>
            <w:tcW w:w="1559" w:type="dxa"/>
            <w:tcBorders>
              <w:bottom w:val="nil"/>
            </w:tcBorders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160–</w:t>
            </w:r>
            <w:r w:rsidR="005D504D" w:rsidRPr="00BA52C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bottom w:val="nil"/>
            </w:tcBorders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80–</w:t>
            </w:r>
            <w:r w:rsidR="005D504D" w:rsidRPr="00BA52C8">
              <w:rPr>
                <w:sz w:val="20"/>
                <w:szCs w:val="20"/>
              </w:rPr>
              <w:t>120</w:t>
            </w:r>
          </w:p>
        </w:tc>
      </w:tr>
      <w:tr w:rsidR="005D504D" w:rsidRPr="00ED4B3A" w:rsidTr="005D504D">
        <w:trPr>
          <w:jc w:val="center"/>
        </w:trPr>
        <w:tc>
          <w:tcPr>
            <w:tcW w:w="1876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Р, атм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200–</w:t>
            </w:r>
            <w:r w:rsidR="005D504D" w:rsidRPr="00BA52C8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50–</w:t>
            </w:r>
            <w:r w:rsidR="005D504D" w:rsidRPr="00BA52C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BA52C8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15–</w:t>
            </w:r>
            <w:r w:rsidR="005D504D" w:rsidRPr="00BA52C8">
              <w:rPr>
                <w:sz w:val="20"/>
                <w:szCs w:val="20"/>
              </w:rPr>
              <w:t>50</w:t>
            </w:r>
          </w:p>
        </w:tc>
      </w:tr>
      <w:tr w:rsidR="005D504D" w:rsidRPr="00ED4B3A" w:rsidTr="005D504D">
        <w:trPr>
          <w:jc w:val="center"/>
        </w:trPr>
        <w:tc>
          <w:tcPr>
            <w:tcW w:w="1876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Альдегиды, %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96</w:t>
            </w:r>
          </w:p>
        </w:tc>
      </w:tr>
      <w:tr w:rsidR="005D504D" w:rsidRPr="00ED4B3A" w:rsidTr="005D504D">
        <w:trPr>
          <w:jc w:val="center"/>
        </w:trPr>
        <w:tc>
          <w:tcPr>
            <w:tcW w:w="1876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Спирты, %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–</w:t>
            </w:r>
          </w:p>
        </w:tc>
      </w:tr>
      <w:tr w:rsidR="005D504D" w:rsidRPr="00ED4B3A" w:rsidTr="005D504D">
        <w:trPr>
          <w:jc w:val="center"/>
        </w:trPr>
        <w:tc>
          <w:tcPr>
            <w:tcW w:w="1876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n/i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80:20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88:12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92:8</w:t>
            </w:r>
          </w:p>
        </w:tc>
      </w:tr>
      <w:tr w:rsidR="005D504D" w:rsidRPr="00ED4B3A" w:rsidTr="005D504D">
        <w:trPr>
          <w:jc w:val="center"/>
        </w:trPr>
        <w:tc>
          <w:tcPr>
            <w:tcW w:w="1876" w:type="dxa"/>
            <w:tcBorders>
              <w:top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Алканы, %</w:t>
            </w:r>
          </w:p>
        </w:tc>
        <w:tc>
          <w:tcPr>
            <w:tcW w:w="2485" w:type="dxa"/>
            <w:tcBorders>
              <w:top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</w:tcBorders>
          </w:tcPr>
          <w:p w:rsidR="005D504D" w:rsidRPr="00BA52C8" w:rsidRDefault="005D504D" w:rsidP="00BA52C8">
            <w:pPr>
              <w:pStyle w:val="ad"/>
              <w:spacing w:after="0" w:line="360" w:lineRule="auto"/>
              <w:ind w:firstLine="78"/>
              <w:jc w:val="both"/>
              <w:rPr>
                <w:sz w:val="20"/>
                <w:szCs w:val="20"/>
              </w:rPr>
            </w:pPr>
            <w:r w:rsidRPr="00BA52C8">
              <w:rPr>
                <w:sz w:val="20"/>
                <w:szCs w:val="20"/>
              </w:rPr>
              <w:t>2</w:t>
            </w:r>
          </w:p>
        </w:tc>
      </w:tr>
    </w:tbl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Наиболее мягкие условия проведения процесса установлены для комплексов Rh(I), которые более, чем в 104 раз активнее карбонильных комплексов Со. В случае комплексов Rh(I) кинетическое уравнение (4) заметно отличается от уравнения (3)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3pt;height:42pt">
            <v:imagedata r:id="rId18" o:title=""/>
          </v:shape>
        </w:pict>
      </w:r>
      <w:r w:rsidR="005D504D" w:rsidRPr="00ED4B3A">
        <w:rPr>
          <w:sz w:val="28"/>
          <w:szCs w:val="28"/>
        </w:rPr>
        <w:tab/>
        <w:t>(4)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Нулевой порядок по олефину объясняют лимитирующей стадией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43pt;height:23.25pt">
            <v:imagedata r:id="rId19" o:title=""/>
          </v:shape>
        </w:pict>
      </w:r>
      <w:r w:rsidR="005D504D" w:rsidRPr="00ED4B3A">
        <w:rPr>
          <w:sz w:val="28"/>
          <w:szCs w:val="28"/>
        </w:rPr>
        <w:tab/>
        <w:t>(5)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при условии, что весь [Rh]</w:t>
      </w:r>
      <w:r w:rsidRPr="00ED4B3A">
        <w:rPr>
          <w:sz w:val="28"/>
          <w:szCs w:val="28"/>
        </w:rPr>
        <w:sym w:font="Symbol" w:char="F053"/>
      </w:r>
      <w:r w:rsidRPr="00ED4B3A">
        <w:rPr>
          <w:sz w:val="28"/>
          <w:szCs w:val="28"/>
        </w:rPr>
        <w:t xml:space="preserve"> практически находится в форме ацильного комплекса родия(I).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случае малоактивных олефинов лимитирующая стадия – взаимодействие HRh~ с олефином, в этом случае гидридные комплексы родия склонны взаимодействовать друг с другом с образованием кластеров Rh(0), часть которых образуется необратимо и приводит к дезактивации катализатора. На примере HRh(CO)4 схема превращений выглядит следующим образом: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05.75pt;height:133.5pt">
            <v:imagedata r:id="rId20" o:title="" croptop="23893f" cropbottom="17067f"/>
          </v:shape>
        </w:pic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Кластер Rh4(CO)12 при взаимодействии со смесью СО и Н2 превращается в активный HRh(CO)4, а кластер Rh6(CO)16 – уже нет. Предполагают, что свободный HRh(CO)4 принимает участие в стадиях (4) и (5). Таким образом, более активный олефин, ускоряя процесс перехода HRh~ в RCORh, уменьшает концентрацию HRh~ и тем самым “защищает” катализатор от дезактивации. Аналогичная картина имеет место и для фосфиновых комплексов родия.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Несмотря на явно более эффективный и селективный процесс в случае родиевых катализаторов, высокая стоимость родия делает кобальтовые и родиевые системы близкими по экономическим показателям. В курсе “Прикладной катализ” будут рассмотрены технологические варианты декобальтизации, т.е. процессов отделения катализатора от продуктов реакции и методы выделения родиевых катализаторов.</w:t>
      </w:r>
    </w:p>
    <w:p w:rsidR="00916C36" w:rsidRPr="00ED4B3A" w:rsidRDefault="00916C36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b/>
          <w:sz w:val="28"/>
          <w:szCs w:val="40"/>
        </w:rPr>
      </w:pPr>
      <w:r w:rsidRPr="00ED4B3A">
        <w:rPr>
          <w:b/>
          <w:sz w:val="28"/>
          <w:szCs w:val="40"/>
        </w:rPr>
        <w:t>Различные реакции с участием СО</w:t>
      </w:r>
    </w:p>
    <w:p w:rsidR="00916C36" w:rsidRPr="00ED4B3A" w:rsidRDefault="00916C36" w:rsidP="00ED4B3A">
      <w:pPr>
        <w:pStyle w:val="ad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реакциях СО с олефинами и алкинами участвуют также молекулы других реагентов – Н2О, ROH, RNH2 и др. Эти процессы были открыты В.</w:t>
      </w:r>
      <w:r w:rsidR="00BA52C8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Реппе в начале 40</w:t>
      </w:r>
      <w:r w:rsidR="00BA52C8">
        <w:rPr>
          <w:sz w:val="28"/>
          <w:szCs w:val="28"/>
        </w:rPr>
        <w:t>-</w:t>
      </w:r>
      <w:r w:rsidRPr="00ED4B3A">
        <w:rPr>
          <w:sz w:val="28"/>
          <w:szCs w:val="28"/>
        </w:rPr>
        <w:t>х гг XX века и протекают в растворах комплексов Ni(0, II) и Pd(0, II). Например,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39.75pt;height:44.25pt">
            <v:imagedata r:id="rId21" o:title=""/>
          </v:shape>
        </w:pict>
      </w:r>
      <w:r w:rsidR="005D504D" w:rsidRPr="00ED4B3A">
        <w:rPr>
          <w:sz w:val="28"/>
          <w:szCs w:val="28"/>
        </w:rPr>
        <w:tab/>
        <w:t>(6)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21.25pt;height:23.25pt">
            <v:imagedata r:id="rId22" o:title=""/>
          </v:shape>
        </w:pict>
      </w:r>
      <w:r w:rsidR="005D504D" w:rsidRPr="00ED4B3A">
        <w:rPr>
          <w:sz w:val="28"/>
          <w:szCs w:val="28"/>
        </w:rPr>
        <w:tab/>
        <w:t>(7)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92.5pt;height:24pt">
            <v:imagedata r:id="rId23" o:title=""/>
          </v:shape>
        </w:pict>
      </w:r>
      <w:r w:rsidR="005D504D" w:rsidRPr="00ED4B3A">
        <w:rPr>
          <w:sz w:val="28"/>
          <w:szCs w:val="28"/>
        </w:rPr>
        <w:tab/>
        <w:t>(8)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случае олефинов активными являются гидридные комплексы палладия HPdClL, и схема механизма напоминает схему оксосинтеза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00pt;height:34.5pt">
            <v:imagedata r:id="rId24" o:title=""/>
          </v:shape>
        </w:pict>
      </w:r>
      <w:r w:rsidR="005D504D" w:rsidRPr="00ED4B3A">
        <w:rPr>
          <w:sz w:val="28"/>
          <w:szCs w:val="28"/>
        </w:rPr>
        <w:tab/>
        <w:t>(9)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Механизм гидрокарбалкоксилирования ацетилена в растворах комплексов цис-PdBr2[P(OPh)3]2 отличается от схемы (9) – в этой системе активными комплексами являются комплексы Pd(II) (упрощенная схема):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00.25pt;height:18pt">
            <v:imagedata r:id="rId25" o:title=""/>
          </v:shape>
        </w:pic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15.75pt;height:48pt">
            <v:imagedata r:id="rId26" o:title=""/>
          </v:shape>
        </w:pic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Кинетическая модель процесса (10):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64.25pt;height:38.25pt">
            <v:imagedata r:id="rId27" o:title=""/>
          </v:shape>
        </w:pict>
      </w:r>
      <w:r w:rsidR="005D504D" w:rsidRPr="00ED4B3A">
        <w:rPr>
          <w:sz w:val="28"/>
          <w:szCs w:val="28"/>
        </w:rPr>
        <w:tab/>
        <w:t>(10)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отражает образование алкоголятных комплексов палладия(II) в квазиравновесной стадии.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Процесс синтеза метилметакрилата (ММА) (8) считается в настоящее время наиболее экономически и экологически эффективным (по сравнению с ацетонциангидринным методом и окислением изобутена). Процесс разработан фирмой Shell и протекает при давлении 40 – 60 атм и температуре 110оС с очень большой скоростью (50000 моль/(моль·час)) и высокой селективностью (~100%) в растворах комплексов PdL2X2, где L – 2-PyPPh2, X – CH3SO3–, CF3SO3–, тозилат). Механизм процесса пока не ясен.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Среди новых процессов карбонилирования можно привести реакции синтеза ангидрида янтарной кислоты (11)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07pt;height:42.75pt">
            <v:imagedata r:id="rId28" o:title=""/>
          </v:shape>
        </w:pict>
      </w:r>
      <w:r w:rsidR="005D504D" w:rsidRPr="00ED4B3A">
        <w:rPr>
          <w:sz w:val="28"/>
          <w:szCs w:val="28"/>
        </w:rPr>
        <w:tab/>
        <w:t>(11)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и ангидрида малеиновой кислоты (12)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10.75pt;height:45.75pt">
            <v:imagedata r:id="rId29" o:title=""/>
          </v:shape>
        </w:pict>
      </w:r>
      <w:r w:rsidR="005D504D" w:rsidRPr="00ED4B3A">
        <w:rPr>
          <w:sz w:val="28"/>
          <w:szCs w:val="28"/>
        </w:rPr>
        <w:t>,</w:t>
      </w:r>
      <w:r w:rsidR="005D504D" w:rsidRPr="00ED4B3A">
        <w:rPr>
          <w:sz w:val="28"/>
          <w:szCs w:val="28"/>
        </w:rPr>
        <w:tab/>
        <w:t>(12)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которых активной формой являются комплексы Pd(I) – Pd2(CO)2Br4 (Л.</w:t>
      </w:r>
      <w:r w:rsidR="00BA52C8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Брук, О.</w:t>
      </w:r>
      <w:r w:rsidR="00BA52C8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Темкин). К промышленным процессам карбонилирования спиртов относятся процесс окислительного карбонилирования спиртов (13)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32.5pt;height:23.25pt">
            <v:imagedata r:id="rId30" o:title=""/>
          </v:shape>
        </w:pict>
      </w:r>
      <w:r w:rsidR="005D504D" w:rsidRPr="00ED4B3A">
        <w:rPr>
          <w:sz w:val="28"/>
          <w:szCs w:val="28"/>
        </w:rPr>
        <w:tab/>
        <w:t>(13)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и два процесса неокислительного карбонилирования – синтез метилформиата (14) и синтез уксусной кислоты (15) по методам фирмы “Monsanto” и фирмы “Cativa”.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9pt;height:45pt">
            <v:imagedata r:id="rId31" o:title=""/>
          </v:shape>
        </w:pict>
      </w:r>
      <w:r w:rsidR="005D504D" w:rsidRPr="00ED4B3A">
        <w:rPr>
          <w:sz w:val="28"/>
          <w:szCs w:val="28"/>
        </w:rPr>
        <w:tab/>
        <w:t>(14)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62pt;height:21pt">
            <v:imagedata r:id="rId32" o:title=""/>
          </v:shape>
        </w:pict>
      </w:r>
      <w:r w:rsidR="005D504D" w:rsidRPr="00ED4B3A">
        <w:rPr>
          <w:sz w:val="28"/>
          <w:szCs w:val="28"/>
        </w:rPr>
        <w:tab/>
        <w:t>(15)</w:t>
      </w:r>
    </w:p>
    <w:p w:rsidR="005D504D" w:rsidRPr="00BA52C8" w:rsidRDefault="005D504D" w:rsidP="00ED4B3A">
      <w:pPr>
        <w:pStyle w:val="ad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A52C8">
        <w:rPr>
          <w:b/>
          <w:sz w:val="28"/>
          <w:szCs w:val="28"/>
        </w:rPr>
        <w:t>Про</w:t>
      </w:r>
      <w:r w:rsidR="00BA52C8" w:rsidRPr="00BA52C8">
        <w:rPr>
          <w:b/>
          <w:sz w:val="28"/>
          <w:szCs w:val="28"/>
        </w:rPr>
        <w:t xml:space="preserve">цессы карбонилирования метанола </w:t>
      </w:r>
      <w:r w:rsidRPr="00BA52C8">
        <w:rPr>
          <w:b/>
          <w:sz w:val="28"/>
          <w:szCs w:val="28"/>
        </w:rPr>
        <w:t>до уксусной кислоты</w:t>
      </w:r>
    </w:p>
    <w:p w:rsidR="00BA52C8" w:rsidRPr="00ED4B3A" w:rsidRDefault="00BA52C8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процессе фирмы “Monsanto” активным катализатором является комплекс Rh(CO)2I2–, а в процессе фирмы “Cativa” – Ir(CO)2I2–. Основные стадии процесса в случае комплексов родия: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63.25pt;height:16.5pt">
            <v:imagedata r:id="rId33" o:title=""/>
          </v:shape>
        </w:pict>
      </w:r>
      <w:r w:rsidR="005D504D" w:rsidRPr="00ED4B3A">
        <w:rPr>
          <w:sz w:val="28"/>
          <w:szCs w:val="28"/>
        </w:rPr>
        <w:tab/>
        <w:t>(16)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(формирование активного комплекса Rh(I))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Вторым катализатором процессе является HI.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2.25pt;height:18pt">
            <v:imagedata r:id="rId34" o:title=""/>
          </v:shape>
        </w:pict>
      </w:r>
      <w:r w:rsidR="005D504D" w:rsidRPr="00ED4B3A">
        <w:rPr>
          <w:sz w:val="28"/>
          <w:szCs w:val="28"/>
        </w:rPr>
        <w:tab/>
        <w:t>(17)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19pt;height:19.5pt">
            <v:imagedata r:id="rId35" o:title=""/>
          </v:shape>
        </w:pict>
      </w:r>
      <w:r w:rsidR="005D504D" w:rsidRPr="00ED4B3A">
        <w:rPr>
          <w:sz w:val="28"/>
          <w:szCs w:val="28"/>
        </w:rPr>
        <w:tab/>
        <w:t>(18)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57.25pt;height:19.5pt">
            <v:imagedata r:id="rId36" o:title=""/>
          </v:shape>
        </w:pict>
      </w:r>
      <w:r w:rsidR="005D504D" w:rsidRPr="00ED4B3A">
        <w:rPr>
          <w:sz w:val="28"/>
          <w:szCs w:val="28"/>
        </w:rPr>
        <w:tab/>
        <w:t>(19)</w:t>
      </w:r>
    </w:p>
    <w:p w:rsidR="00916C36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условиях, когда концентрация воды в СН3СООН &gt;</w:t>
      </w:r>
      <w:r w:rsidR="00ED4B3A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8% (масс) переход Rh(I) в Rh(III) в стадии (18) является медленной стадией. Распад ацильного комплекса до CH3COI и Rh(CO)2I2– или под действием Н2О (или МеОН) приводит к образованию СН3СООН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52pt;height:19.5pt">
            <v:imagedata r:id="rId37" o:title=""/>
          </v:shape>
        </w:pict>
      </w:r>
      <w:r w:rsidR="005D504D" w:rsidRPr="00ED4B3A">
        <w:rPr>
          <w:sz w:val="28"/>
          <w:szCs w:val="28"/>
        </w:rPr>
        <w:tab/>
        <w:t>(20)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06.25pt;height:16.5pt">
            <v:imagedata r:id="rId38" o:title=""/>
          </v:shape>
        </w:pict>
      </w:r>
      <w:r w:rsidR="005D504D" w:rsidRPr="00ED4B3A">
        <w:rPr>
          <w:sz w:val="28"/>
          <w:szCs w:val="28"/>
        </w:rPr>
        <w:tab/>
        <w:t>(21)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25.5pt;height:19.5pt">
            <v:imagedata r:id="rId39" o:title=""/>
          </v:shape>
        </w:pict>
      </w:r>
      <w:r w:rsidR="005D504D" w:rsidRPr="00ED4B3A">
        <w:rPr>
          <w:sz w:val="28"/>
          <w:szCs w:val="28"/>
        </w:rPr>
        <w:tab/>
        <w:t>(22)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Скорость реакции описывается уравнением (23)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93pt;height:18pt">
            <v:imagedata r:id="rId40" o:title=""/>
          </v:shape>
        </w:pict>
      </w:r>
      <w:r w:rsidR="005D504D" w:rsidRPr="00ED4B3A">
        <w:rPr>
          <w:sz w:val="28"/>
          <w:szCs w:val="28"/>
        </w:rPr>
        <w:t>,</w:t>
      </w:r>
      <w:r w:rsidR="005D504D" w:rsidRPr="00ED4B3A">
        <w:rPr>
          <w:sz w:val="28"/>
          <w:szCs w:val="28"/>
        </w:rPr>
        <w:tab/>
        <w:t>(23)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что свидетельствует о существовании Rh, в основном, в форме Rh(CO)2I2–. Хотя скорость не зависит от РСО, давление СО необходимо для сохранения в растворе карбонилов Rh(I). Условия проц</w:t>
      </w:r>
      <w:r w:rsidR="00BA52C8">
        <w:rPr>
          <w:sz w:val="28"/>
          <w:szCs w:val="28"/>
        </w:rPr>
        <w:t>есса – РСО = 30 атм и Т = 150–</w:t>
      </w:r>
      <w:r w:rsidRPr="00ED4B3A">
        <w:rPr>
          <w:sz w:val="28"/>
          <w:szCs w:val="28"/>
        </w:rPr>
        <w:t>170оС. Если содержание воды &lt; 8%, лимитирует стадия восстановительного элиминирования (20).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ходе процесса наблюдаются реакция конверсии СО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56.75pt;height:26.25pt">
            <v:imagedata r:id="rId41" o:title=""/>
          </v:shape>
        </w:pict>
      </w:r>
      <w:r w:rsidR="005D504D" w:rsidRPr="00ED4B3A">
        <w:rPr>
          <w:sz w:val="28"/>
          <w:szCs w:val="28"/>
        </w:rPr>
        <w:tab/>
        <w:t>(24)</w:t>
      </w:r>
      <w:r w:rsidR="00BA52C8">
        <w:rPr>
          <w:sz w:val="28"/>
          <w:szCs w:val="28"/>
        </w:rPr>
        <w:t xml:space="preserve"> </w:t>
      </w:r>
      <w:r w:rsidR="005D504D" w:rsidRPr="00ED4B3A">
        <w:rPr>
          <w:sz w:val="28"/>
          <w:szCs w:val="28"/>
        </w:rPr>
        <w:t>реакции образования метилацетата, диметилового эфира, этанола и пропионовой кислоты. Однако, селективность образования уксусной кислоты (на метанол) &gt; 99%, а на СО – 90% (из-за реакции 24). Потери родия составляют 0.1г на 1 тонну кислоты, что при производительности установки 160 тыс.</w:t>
      </w:r>
      <w:r w:rsidR="00BA52C8">
        <w:rPr>
          <w:sz w:val="28"/>
          <w:szCs w:val="28"/>
        </w:rPr>
        <w:t xml:space="preserve"> </w:t>
      </w:r>
      <w:r w:rsidR="005D504D" w:rsidRPr="00ED4B3A">
        <w:rPr>
          <w:sz w:val="28"/>
          <w:szCs w:val="28"/>
        </w:rPr>
        <w:t xml:space="preserve">тонн составляет </w:t>
      </w:r>
      <w:smartTag w:uri="urn:schemas-microsoft-com:office:smarttags" w:element="metricconverter">
        <w:smartTagPr>
          <w:attr w:name="ProductID" w:val="16 кг"/>
        </w:smartTagPr>
        <w:r w:rsidR="005D504D" w:rsidRPr="00ED4B3A">
          <w:rPr>
            <w:sz w:val="28"/>
            <w:szCs w:val="28"/>
          </w:rPr>
          <w:t>16 кг</w:t>
        </w:r>
      </w:smartTag>
      <w:r w:rsidR="005D504D" w:rsidRPr="00ED4B3A">
        <w:rPr>
          <w:sz w:val="28"/>
          <w:szCs w:val="28"/>
        </w:rPr>
        <w:t xml:space="preserve"> в год.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Усовершенствование процесса при переходе к комплексам Ir (“Cativa”-процесс, BP и “Monsanto”) связано с тем, что аналогичный Rh(I) комплекс Ir [Ir(CO)2I2–] более устойчив в широком диапазоне РСО и [Н2О]. Так, комплекс устойчив при ~0.5% концентрации Н2О в отличие от комплекса Rh (&gt; 8% H2O). Показано, что скорость присоединения CH3I к Ir(I) ~ в 150 раз выше, чем в случае Rh(I) (стадия 18), и не лимитирует процесс. Медленной стадией в этой системе считают реакцию (26) внедрения СО в метильном комплексе Ir(III), следующую за стадией замещения I– (25)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45.25pt;height:19.5pt">
            <v:imagedata r:id="rId42" o:title=""/>
          </v:shape>
        </w:pict>
      </w:r>
      <w:r w:rsidR="005D504D" w:rsidRPr="00ED4B3A">
        <w:rPr>
          <w:sz w:val="28"/>
          <w:szCs w:val="28"/>
        </w:rPr>
        <w:tab/>
        <w:t>(25)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98.75pt;height:16.5pt">
            <v:imagedata r:id="rId43" o:title=""/>
          </v:shape>
        </w:pict>
      </w:r>
      <w:r w:rsidR="005D504D" w:rsidRPr="00ED4B3A">
        <w:rPr>
          <w:sz w:val="28"/>
          <w:szCs w:val="28"/>
        </w:rPr>
        <w:tab/>
        <w:t>(26)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56.5pt;height:19.5pt">
            <v:imagedata r:id="rId44" o:title=""/>
          </v:shape>
        </w:pict>
      </w:r>
      <w:r w:rsidR="005D504D" w:rsidRPr="00ED4B3A">
        <w:rPr>
          <w:sz w:val="28"/>
          <w:szCs w:val="28"/>
        </w:rPr>
        <w:tab/>
        <w:t>(27)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Скорость процесса описывается уравнением (28)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75pt;height:35.25pt">
            <v:imagedata r:id="rId45" o:title=""/>
          </v:shape>
        </w:pict>
      </w:r>
      <w:r w:rsidR="005D504D" w:rsidRPr="00ED4B3A">
        <w:rPr>
          <w:sz w:val="28"/>
          <w:szCs w:val="28"/>
        </w:rPr>
        <w:tab/>
        <w:t>(28)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 предположении, что в быстрой квазиравновесной стадии</w:t>
      </w:r>
    </w:p>
    <w:p w:rsidR="005D504D" w:rsidRPr="00ED4B3A" w:rsidRDefault="004B107F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15.25pt;height:19.5pt">
            <v:imagedata r:id="rId46" o:title=""/>
          </v:shape>
        </w:pict>
      </w:r>
      <w:r w:rsidR="005D504D" w:rsidRPr="00ED4B3A">
        <w:rPr>
          <w:sz w:val="28"/>
          <w:szCs w:val="28"/>
        </w:rPr>
        <w:tab/>
        <w:t>(29)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равновесие практически полностью смещено вправо и весь [Ir]</w:t>
      </w:r>
      <w:r w:rsidRPr="00ED4B3A">
        <w:rPr>
          <w:sz w:val="28"/>
          <w:szCs w:val="28"/>
        </w:rPr>
        <w:sym w:font="Symbol" w:char="F0E5"/>
      </w:r>
      <w:r w:rsidRPr="00ED4B3A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sym w:font="Symbol" w:char="F040"/>
      </w:r>
      <w:r w:rsidRPr="00ED4B3A">
        <w:rPr>
          <w:sz w:val="28"/>
          <w:szCs w:val="28"/>
        </w:rPr>
        <w:t xml:space="preserve"> [CH3Ir(CO)2I3–]. Производительность по СН3СООН в процессе “Cativa” ~ в 2 раза выше, чем в процессе “Monsanto” и составляет ~2кг/л·час.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Возможность использования растворов с низкой концентрацией воды в случае Ir приводит к тому, что в технологической схеме исключается колонна осушки. Это обстоятельство, вместе с более высокой производительностью и с более низкой ценой Ir (~ в 170 раз дешевле Rh) делает процесс “Cativa” более экономически эффективным.</w:t>
      </w:r>
    </w:p>
    <w:p w:rsidR="005D504D" w:rsidRPr="00BA52C8" w:rsidRDefault="00BA52C8" w:rsidP="00ED4B3A">
      <w:pPr>
        <w:pStyle w:val="ad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504D" w:rsidRPr="00BA52C8">
        <w:rPr>
          <w:b/>
          <w:sz w:val="28"/>
          <w:szCs w:val="28"/>
        </w:rPr>
        <w:t>Вопросы для самоконтроля</w:t>
      </w:r>
    </w:p>
    <w:p w:rsidR="00BA52C8" w:rsidRPr="00ED4B3A" w:rsidRDefault="00BA52C8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Объясните причины торможения оксидом углерода процесса оксосинтеза в случае кобальтовых и родиевых катализаторов.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Почему более активные олефины в случае родиевых катализаторов увеличивают срок жизни катализатора?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Какие процессы с участием СО связаны с именем В.</w:t>
      </w:r>
      <w:r w:rsidR="00BA52C8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Реппе?</w:t>
      </w:r>
    </w:p>
    <w:p w:rsidR="005D504D" w:rsidRPr="00ED4B3A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Чем различаются кинетические модели процессов синтеза уксусной кислоты фирм “Monsanto” и “Cativa”? В чем причина различий в моделях?</w:t>
      </w:r>
    </w:p>
    <w:p w:rsidR="00BA52C8" w:rsidRDefault="005D504D" w:rsidP="00ED4B3A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Каковы достоинства технологии фирмы “Cativa”?</w:t>
      </w:r>
    </w:p>
    <w:p w:rsidR="005D504D" w:rsidRPr="00BA52C8" w:rsidRDefault="00BA52C8" w:rsidP="00BA52C8">
      <w:pPr>
        <w:pStyle w:val="ad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</w:t>
      </w:r>
    </w:p>
    <w:p w:rsidR="00BA52C8" w:rsidRPr="00ED4B3A" w:rsidRDefault="00BA52C8" w:rsidP="00BA52C8">
      <w:pPr>
        <w:pStyle w:val="ad"/>
        <w:spacing w:after="0" w:line="360" w:lineRule="auto"/>
        <w:jc w:val="both"/>
        <w:rPr>
          <w:sz w:val="28"/>
          <w:szCs w:val="28"/>
        </w:rPr>
      </w:pPr>
    </w:p>
    <w:p w:rsidR="005D504D" w:rsidRPr="00ED4B3A" w:rsidRDefault="005D504D" w:rsidP="00BA52C8">
      <w:pPr>
        <w:pStyle w:val="ad"/>
        <w:spacing w:after="0" w:line="360" w:lineRule="auto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Катализ в промышленности, под ред. Б.</w:t>
      </w:r>
      <w:r w:rsidR="00BA52C8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Лича, М., Мир, 1986, т. 1, 2.</w:t>
      </w:r>
    </w:p>
    <w:p w:rsidR="005D504D" w:rsidRPr="00ED4B3A" w:rsidRDefault="005D504D" w:rsidP="00BA52C8">
      <w:pPr>
        <w:pStyle w:val="ad"/>
        <w:spacing w:after="0" w:line="360" w:lineRule="auto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Шелдон Р.А., Химические продукты на основе синтез-газа, М., Химия, 1987.</w:t>
      </w:r>
    </w:p>
    <w:p w:rsidR="005D504D" w:rsidRPr="00BA52C8" w:rsidRDefault="005D504D" w:rsidP="00BA52C8">
      <w:pPr>
        <w:pStyle w:val="ad"/>
        <w:spacing w:after="0" w:line="360" w:lineRule="auto"/>
        <w:jc w:val="both"/>
        <w:rPr>
          <w:sz w:val="28"/>
          <w:szCs w:val="28"/>
          <w:lang w:val="en-US"/>
        </w:rPr>
      </w:pPr>
      <w:r w:rsidRPr="00BA52C8">
        <w:rPr>
          <w:sz w:val="28"/>
          <w:szCs w:val="28"/>
          <w:lang w:val="en-US"/>
        </w:rPr>
        <w:t>Jones J.H., The Cativa™ Process for Manufacture of Acetic Acid, Platinum Metals Rev., 2000, 44 (3), p</w:t>
      </w:r>
      <w:r w:rsidR="00BA52C8" w:rsidRPr="00BA52C8">
        <w:rPr>
          <w:sz w:val="28"/>
          <w:szCs w:val="28"/>
          <w:lang w:val="en-US"/>
        </w:rPr>
        <w:t>p. 94–</w:t>
      </w:r>
      <w:r w:rsidRPr="00BA52C8">
        <w:rPr>
          <w:sz w:val="28"/>
          <w:szCs w:val="28"/>
          <w:lang w:val="en-US"/>
        </w:rPr>
        <w:t>105.</w:t>
      </w:r>
    </w:p>
    <w:p w:rsidR="00352BB9" w:rsidRPr="00ED4B3A" w:rsidRDefault="005D504D" w:rsidP="00BA52C8">
      <w:pPr>
        <w:pStyle w:val="ad"/>
        <w:spacing w:after="0" w:line="360" w:lineRule="auto"/>
        <w:jc w:val="both"/>
        <w:rPr>
          <w:sz w:val="28"/>
          <w:szCs w:val="28"/>
        </w:rPr>
      </w:pPr>
      <w:r w:rsidRPr="00ED4B3A">
        <w:rPr>
          <w:sz w:val="28"/>
          <w:szCs w:val="28"/>
        </w:rPr>
        <w:t>Темкин О.Н., Брук Л.Г., Комплексы Pd(II, I, 0) в реакциях окислительного карбонилирования, Кинетика и катализ, 2003, №</w:t>
      </w:r>
      <w:r w:rsidR="00BA52C8">
        <w:rPr>
          <w:sz w:val="28"/>
          <w:szCs w:val="28"/>
        </w:rPr>
        <w:t xml:space="preserve"> </w:t>
      </w:r>
      <w:r w:rsidRPr="00ED4B3A">
        <w:rPr>
          <w:sz w:val="28"/>
          <w:szCs w:val="28"/>
        </w:rPr>
        <w:t>5.</w:t>
      </w:r>
      <w:bookmarkStart w:id="0" w:name="_GoBack"/>
      <w:bookmarkEnd w:id="0"/>
    </w:p>
    <w:sectPr w:rsidR="00352BB9" w:rsidRPr="00ED4B3A" w:rsidSect="00ED4B3A">
      <w:headerReference w:type="even" r:id="rId47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FA" w:rsidRDefault="005C5DFA" w:rsidP="002B0A78">
      <w:r>
        <w:separator/>
      </w:r>
    </w:p>
  </w:endnote>
  <w:endnote w:type="continuationSeparator" w:id="0">
    <w:p w:rsidR="005C5DFA" w:rsidRDefault="005C5DFA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FA" w:rsidRDefault="005C5DFA" w:rsidP="002B0A78">
      <w:r>
        <w:separator/>
      </w:r>
    </w:p>
  </w:footnote>
  <w:footnote w:type="continuationSeparator" w:id="0">
    <w:p w:rsidR="005C5DFA" w:rsidRDefault="005C5DFA" w:rsidP="002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4"/>
      <w:framePr w:wrap="around" w:vAnchor="text" w:hAnchor="margin" w:xAlign="center" w:y="1"/>
      <w:rPr>
        <w:rStyle w:val="a8"/>
      </w:rPr>
    </w:pPr>
  </w:p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1DC67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F38D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00C1E1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7">
    <w:nsid w:val="6E7C63D7"/>
    <w:multiLevelType w:val="hybridMultilevel"/>
    <w:tmpl w:val="65C232EC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D0C"/>
    <w:rsid w:val="00004E0A"/>
    <w:rsid w:val="00011C28"/>
    <w:rsid w:val="00017611"/>
    <w:rsid w:val="0003023E"/>
    <w:rsid w:val="00035A06"/>
    <w:rsid w:val="00045A39"/>
    <w:rsid w:val="00063173"/>
    <w:rsid w:val="0006645A"/>
    <w:rsid w:val="0006703B"/>
    <w:rsid w:val="00080121"/>
    <w:rsid w:val="000808B0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57958"/>
    <w:rsid w:val="00193E0B"/>
    <w:rsid w:val="00196005"/>
    <w:rsid w:val="001B1FBC"/>
    <w:rsid w:val="001B7E20"/>
    <w:rsid w:val="001C4A42"/>
    <w:rsid w:val="00200292"/>
    <w:rsid w:val="002031D1"/>
    <w:rsid w:val="00223CF8"/>
    <w:rsid w:val="0029262A"/>
    <w:rsid w:val="002966B7"/>
    <w:rsid w:val="002A7BCF"/>
    <w:rsid w:val="002A7E80"/>
    <w:rsid w:val="002B0A78"/>
    <w:rsid w:val="002B3F13"/>
    <w:rsid w:val="002C0615"/>
    <w:rsid w:val="003142E0"/>
    <w:rsid w:val="00317F73"/>
    <w:rsid w:val="003229CB"/>
    <w:rsid w:val="00340AB5"/>
    <w:rsid w:val="003414BE"/>
    <w:rsid w:val="0034480E"/>
    <w:rsid w:val="00352BB9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F1CDB"/>
    <w:rsid w:val="003F44BA"/>
    <w:rsid w:val="0040734C"/>
    <w:rsid w:val="004165EF"/>
    <w:rsid w:val="00423E68"/>
    <w:rsid w:val="00440AD9"/>
    <w:rsid w:val="00445E0D"/>
    <w:rsid w:val="00465321"/>
    <w:rsid w:val="00483716"/>
    <w:rsid w:val="0048724B"/>
    <w:rsid w:val="004B107F"/>
    <w:rsid w:val="004B3993"/>
    <w:rsid w:val="004C5992"/>
    <w:rsid w:val="004D1A9D"/>
    <w:rsid w:val="004F66FA"/>
    <w:rsid w:val="00523CFB"/>
    <w:rsid w:val="005251C5"/>
    <w:rsid w:val="005271E4"/>
    <w:rsid w:val="00543DA9"/>
    <w:rsid w:val="00556A05"/>
    <w:rsid w:val="0056258B"/>
    <w:rsid w:val="00563597"/>
    <w:rsid w:val="00564FBE"/>
    <w:rsid w:val="005875F6"/>
    <w:rsid w:val="005B13BA"/>
    <w:rsid w:val="005C21D7"/>
    <w:rsid w:val="005C5DFA"/>
    <w:rsid w:val="005D504D"/>
    <w:rsid w:val="005F1D9C"/>
    <w:rsid w:val="00606DFD"/>
    <w:rsid w:val="00610176"/>
    <w:rsid w:val="006304C1"/>
    <w:rsid w:val="006316F2"/>
    <w:rsid w:val="00665858"/>
    <w:rsid w:val="00670E9C"/>
    <w:rsid w:val="00680746"/>
    <w:rsid w:val="006931AC"/>
    <w:rsid w:val="006960AA"/>
    <w:rsid w:val="006B0F6A"/>
    <w:rsid w:val="00713B6B"/>
    <w:rsid w:val="00747FD0"/>
    <w:rsid w:val="00775ABB"/>
    <w:rsid w:val="007803EA"/>
    <w:rsid w:val="00782508"/>
    <w:rsid w:val="00785CEF"/>
    <w:rsid w:val="007B0015"/>
    <w:rsid w:val="007B0814"/>
    <w:rsid w:val="007C504E"/>
    <w:rsid w:val="007C7F31"/>
    <w:rsid w:val="007E4EB7"/>
    <w:rsid w:val="00802506"/>
    <w:rsid w:val="00806A46"/>
    <w:rsid w:val="008130C2"/>
    <w:rsid w:val="0084319E"/>
    <w:rsid w:val="0085633E"/>
    <w:rsid w:val="00856E68"/>
    <w:rsid w:val="00870F4A"/>
    <w:rsid w:val="0089634D"/>
    <w:rsid w:val="008963E6"/>
    <w:rsid w:val="008A1D83"/>
    <w:rsid w:val="008A5EAF"/>
    <w:rsid w:val="008B4064"/>
    <w:rsid w:val="008B72CA"/>
    <w:rsid w:val="008C0EF9"/>
    <w:rsid w:val="008F2FCC"/>
    <w:rsid w:val="008F5ADE"/>
    <w:rsid w:val="00916C36"/>
    <w:rsid w:val="00921763"/>
    <w:rsid w:val="009445DF"/>
    <w:rsid w:val="00950875"/>
    <w:rsid w:val="00955DD6"/>
    <w:rsid w:val="0096586F"/>
    <w:rsid w:val="009715F6"/>
    <w:rsid w:val="00990589"/>
    <w:rsid w:val="009C20AA"/>
    <w:rsid w:val="009D0CE6"/>
    <w:rsid w:val="009D1DB5"/>
    <w:rsid w:val="009E7BD3"/>
    <w:rsid w:val="009F396F"/>
    <w:rsid w:val="00A31478"/>
    <w:rsid w:val="00A56092"/>
    <w:rsid w:val="00A67390"/>
    <w:rsid w:val="00A705B5"/>
    <w:rsid w:val="00A7165C"/>
    <w:rsid w:val="00AD2FAB"/>
    <w:rsid w:val="00AF02AC"/>
    <w:rsid w:val="00B0604A"/>
    <w:rsid w:val="00B10341"/>
    <w:rsid w:val="00B1790C"/>
    <w:rsid w:val="00B56674"/>
    <w:rsid w:val="00B60624"/>
    <w:rsid w:val="00B8785C"/>
    <w:rsid w:val="00B97A1A"/>
    <w:rsid w:val="00BA52C8"/>
    <w:rsid w:val="00BB2A14"/>
    <w:rsid w:val="00BE6164"/>
    <w:rsid w:val="00BE653F"/>
    <w:rsid w:val="00C6482C"/>
    <w:rsid w:val="00C80FF6"/>
    <w:rsid w:val="00C82523"/>
    <w:rsid w:val="00C868AF"/>
    <w:rsid w:val="00C95E9F"/>
    <w:rsid w:val="00C97505"/>
    <w:rsid w:val="00CD1ECD"/>
    <w:rsid w:val="00CE191D"/>
    <w:rsid w:val="00D004BD"/>
    <w:rsid w:val="00D12C9E"/>
    <w:rsid w:val="00D30983"/>
    <w:rsid w:val="00D321E1"/>
    <w:rsid w:val="00D3638A"/>
    <w:rsid w:val="00D47611"/>
    <w:rsid w:val="00D53B17"/>
    <w:rsid w:val="00DC1001"/>
    <w:rsid w:val="00DE125F"/>
    <w:rsid w:val="00E04AE1"/>
    <w:rsid w:val="00E137ED"/>
    <w:rsid w:val="00E16A82"/>
    <w:rsid w:val="00E3295E"/>
    <w:rsid w:val="00E34FE6"/>
    <w:rsid w:val="00E46835"/>
    <w:rsid w:val="00E643F7"/>
    <w:rsid w:val="00E722FA"/>
    <w:rsid w:val="00E77C02"/>
    <w:rsid w:val="00E96A40"/>
    <w:rsid w:val="00EB1203"/>
    <w:rsid w:val="00ED01B3"/>
    <w:rsid w:val="00ED4B3A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32DEB"/>
    <w:rsid w:val="00F41635"/>
    <w:rsid w:val="00F47F21"/>
    <w:rsid w:val="00F645BA"/>
    <w:rsid w:val="00F71F77"/>
    <w:rsid w:val="00F93CDE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F240D6D7-572E-402C-BA00-A16BB1D1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99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C2504"/>
    <w:pPr>
      <w:keepNext/>
      <w:ind w:left="360"/>
      <w:jc w:val="center"/>
      <w:outlineLvl w:val="1"/>
    </w:pPr>
    <w:rPr>
      <w:sz w:val="36"/>
      <w:szCs w:val="20"/>
    </w:rPr>
  </w:style>
  <w:style w:type="paragraph" w:styleId="30">
    <w:name w:val="heading 3"/>
    <w:basedOn w:val="a"/>
    <w:next w:val="a"/>
    <w:link w:val="31"/>
    <w:uiPriority w:val="99"/>
    <w:qFormat/>
    <w:rsid w:val="00A56092"/>
    <w:pPr>
      <w:keepNext/>
      <w:outlineLvl w:val="2"/>
    </w:pPr>
    <w:rPr>
      <w:b/>
      <w:bCs/>
      <w:szCs w:val="20"/>
    </w:rPr>
  </w:style>
  <w:style w:type="paragraph" w:styleId="40">
    <w:name w:val="heading 4"/>
    <w:basedOn w:val="a"/>
    <w:next w:val="a"/>
    <w:link w:val="41"/>
    <w:uiPriority w:val="99"/>
    <w:qFormat/>
    <w:rsid w:val="004B3993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0">
    <w:name w:val="heading 5"/>
    <w:basedOn w:val="a"/>
    <w:next w:val="a"/>
    <w:link w:val="51"/>
    <w:uiPriority w:val="99"/>
    <w:qFormat/>
    <w:rsid w:val="00A56092"/>
    <w:pPr>
      <w:keepNext/>
      <w:outlineLvl w:val="4"/>
    </w:pPr>
    <w:rPr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A56092"/>
    <w:pPr>
      <w:keepNext/>
      <w:outlineLvl w:val="5"/>
    </w:pPr>
    <w:rPr>
      <w:i/>
      <w:iCs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3993"/>
    <w:pPr>
      <w:keepNext/>
      <w:spacing w:line="360" w:lineRule="auto"/>
      <w:ind w:firstLine="720"/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3993"/>
    <w:pPr>
      <w:keepNext/>
      <w:ind w:firstLine="72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60">
    <w:name w:val="Заголовок 6 Знак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table" w:styleId="a3">
    <w:name w:val="Table Grid"/>
    <w:basedOn w:val="a1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9"/>
    <w:locked/>
    <w:rsid w:val="004B3993"/>
    <w:rPr>
      <w:rFonts w:cs="Times New Roman"/>
      <w:sz w:val="24"/>
    </w:rPr>
  </w:style>
  <w:style w:type="paragraph" w:styleId="11">
    <w:name w:val="toc 1"/>
    <w:basedOn w:val="a"/>
    <w:next w:val="a"/>
    <w:uiPriority w:val="99"/>
    <w:rsid w:val="004B3993"/>
    <w:pPr>
      <w:tabs>
        <w:tab w:val="right" w:leader="dot" w:pos="8788"/>
      </w:tabs>
    </w:pPr>
    <w:rPr>
      <w:sz w:val="20"/>
      <w:szCs w:val="20"/>
    </w:rPr>
  </w:style>
  <w:style w:type="character" w:customStyle="1" w:styleId="31">
    <w:name w:val="Заголовок 3 Знак"/>
    <w:link w:val="30"/>
    <w:uiPriority w:val="99"/>
    <w:locked/>
    <w:rsid w:val="00A56092"/>
    <w:rPr>
      <w:rFonts w:cs="Times New Roman"/>
      <w:b/>
      <w:bCs/>
      <w:sz w:val="24"/>
    </w:r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</w:pPr>
    <w:rPr>
      <w:szCs w:val="20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  <w:jc w:val="both"/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</w:p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character" w:styleId="a8">
    <w:name w:val="page number"/>
    <w:uiPriority w:val="99"/>
    <w:rsid w:val="00A56092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A56092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56092"/>
    <w:pPr>
      <w:ind w:firstLine="3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  <w:jc w:val="both"/>
    </w:pPr>
    <w:rPr>
      <w:iCs/>
      <w:color w:val="000000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A56092"/>
    <w:rPr>
      <w:rFonts w:cs="Times New Roman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d">
    <w:name w:val="Body Text"/>
    <w:basedOn w:val="a"/>
    <w:link w:val="ae"/>
    <w:uiPriority w:val="99"/>
    <w:rsid w:val="004B3993"/>
    <w:pPr>
      <w:spacing w:after="120"/>
    </w:p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</w:pPr>
  </w:style>
  <w:style w:type="character" w:customStyle="1" w:styleId="ae">
    <w:name w:val="Основной текст Знак"/>
    <w:link w:val="ad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</w:pPr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25">
    <w:name w:val="toc 2"/>
    <w:basedOn w:val="a"/>
    <w:next w:val="a"/>
    <w:uiPriority w:val="99"/>
    <w:rsid w:val="004B3993"/>
    <w:pPr>
      <w:tabs>
        <w:tab w:val="right" w:leader="dot" w:pos="8788"/>
      </w:tabs>
      <w:ind w:left="200"/>
    </w:pPr>
    <w:rPr>
      <w:sz w:val="20"/>
      <w:szCs w:val="20"/>
    </w:rPr>
  </w:style>
  <w:style w:type="paragraph" w:styleId="36">
    <w:name w:val="toc 3"/>
    <w:basedOn w:val="a"/>
    <w:next w:val="a"/>
    <w:uiPriority w:val="99"/>
    <w:rsid w:val="004B3993"/>
    <w:pPr>
      <w:tabs>
        <w:tab w:val="right" w:leader="dot" w:pos="8788"/>
      </w:tabs>
      <w:ind w:left="400"/>
    </w:pPr>
    <w:rPr>
      <w:sz w:val="20"/>
      <w:szCs w:val="20"/>
    </w:rPr>
  </w:style>
  <w:style w:type="paragraph" w:styleId="42">
    <w:name w:val="toc 4"/>
    <w:basedOn w:val="a"/>
    <w:next w:val="a"/>
    <w:uiPriority w:val="99"/>
    <w:rsid w:val="004B3993"/>
    <w:pPr>
      <w:tabs>
        <w:tab w:val="right" w:leader="dot" w:pos="8788"/>
      </w:tabs>
      <w:ind w:left="600"/>
    </w:pPr>
    <w:rPr>
      <w:sz w:val="20"/>
      <w:szCs w:val="20"/>
    </w:rPr>
  </w:style>
  <w:style w:type="paragraph" w:styleId="52">
    <w:name w:val="toc 5"/>
    <w:basedOn w:val="a"/>
    <w:next w:val="a"/>
    <w:uiPriority w:val="99"/>
    <w:rsid w:val="004B3993"/>
    <w:pPr>
      <w:tabs>
        <w:tab w:val="right" w:leader="dot" w:pos="8788"/>
      </w:tabs>
      <w:ind w:left="800"/>
    </w:pPr>
    <w:rPr>
      <w:sz w:val="20"/>
      <w:szCs w:val="20"/>
    </w:rPr>
  </w:style>
  <w:style w:type="paragraph" w:styleId="61">
    <w:name w:val="toc 6"/>
    <w:basedOn w:val="a"/>
    <w:next w:val="a"/>
    <w:uiPriority w:val="9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"/>
    <w:next w:val="a"/>
    <w:uiPriority w:val="9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"/>
    <w:next w:val="a"/>
    <w:uiPriority w:val="9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"/>
    <w:next w:val="a"/>
    <w:uiPriority w:val="9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sz w:val="32"/>
      <w:szCs w:val="20"/>
    </w:rPr>
  </w:style>
  <w:style w:type="paragraph" w:styleId="af">
    <w:name w:val="footnote text"/>
    <w:basedOn w:val="a"/>
    <w:link w:val="af0"/>
    <w:uiPriority w:val="99"/>
    <w:rsid w:val="004B3993"/>
    <w:rPr>
      <w:sz w:val="20"/>
      <w:szCs w:val="20"/>
    </w:rPr>
  </w:style>
  <w:style w:type="paragraph" w:customStyle="1" w:styleId="43">
    <w:name w:val="заголовок 4"/>
    <w:basedOn w:val="a"/>
    <w:next w:val="a"/>
    <w:uiPriority w:val="99"/>
    <w:rsid w:val="004B3993"/>
    <w:pPr>
      <w:keepNext/>
      <w:widowControl w:val="0"/>
      <w:ind w:firstLine="720"/>
      <w:jc w:val="both"/>
    </w:pPr>
    <w:rPr>
      <w:szCs w:val="20"/>
      <w:lang w:val="en-US"/>
    </w:rPr>
  </w:style>
  <w:style w:type="character" w:customStyle="1" w:styleId="af0">
    <w:name w:val="Текст сноски Знак"/>
    <w:link w:val="af"/>
    <w:uiPriority w:val="99"/>
    <w:locked/>
    <w:rsid w:val="004B3993"/>
    <w:rPr>
      <w:rFonts w:cs="Times New Roman"/>
    </w:rPr>
  </w:style>
  <w:style w:type="paragraph" w:customStyle="1" w:styleId="53">
    <w:name w:val="заголовок 5"/>
    <w:basedOn w:val="a"/>
    <w:next w:val="a"/>
    <w:uiPriority w:val="99"/>
    <w:rsid w:val="004B3993"/>
    <w:pPr>
      <w:keepNext/>
      <w:widowControl w:val="0"/>
      <w:jc w:val="right"/>
    </w:pPr>
    <w:rPr>
      <w:szCs w:val="20"/>
    </w:rPr>
  </w:style>
  <w:style w:type="paragraph" w:styleId="af1">
    <w:name w:val="caption"/>
    <w:basedOn w:val="a"/>
    <w:uiPriority w:val="99"/>
    <w:qFormat/>
    <w:rsid w:val="004B3993"/>
    <w:pPr>
      <w:widowControl w:val="0"/>
      <w:jc w:val="center"/>
    </w:pPr>
    <w:rPr>
      <w:b/>
      <w:sz w:val="28"/>
      <w:szCs w:val="20"/>
    </w:rPr>
  </w:style>
  <w:style w:type="paragraph" w:customStyle="1" w:styleId="af2">
    <w:name w:val="Основной текс"/>
    <w:basedOn w:val="a"/>
    <w:uiPriority w:val="99"/>
    <w:rsid w:val="004B3993"/>
    <w:pPr>
      <w:widowControl w:val="0"/>
    </w:pPr>
    <w:rPr>
      <w:b/>
      <w:sz w:val="28"/>
      <w:szCs w:val="20"/>
    </w:rPr>
  </w:style>
  <w:style w:type="paragraph" w:styleId="af3">
    <w:name w:val="Title"/>
    <w:basedOn w:val="a"/>
    <w:link w:val="af4"/>
    <w:uiPriority w:val="99"/>
    <w:qFormat/>
    <w:rsid w:val="004B3993"/>
    <w:pPr>
      <w:jc w:val="center"/>
    </w:pPr>
    <w:rPr>
      <w:b/>
      <w:sz w:val="28"/>
      <w:szCs w:val="20"/>
    </w:rPr>
  </w:style>
  <w:style w:type="character" w:styleId="af5">
    <w:name w:val="footnote reference"/>
    <w:uiPriority w:val="99"/>
    <w:rsid w:val="004B3993"/>
    <w:rPr>
      <w:rFonts w:cs="Times New Roman"/>
      <w:vertAlign w:val="superscript"/>
    </w:rPr>
  </w:style>
  <w:style w:type="character" w:customStyle="1" w:styleId="af4">
    <w:name w:val="Название Знак"/>
    <w:link w:val="af3"/>
    <w:uiPriority w:val="99"/>
    <w:locked/>
    <w:rsid w:val="004B3993"/>
    <w:rPr>
      <w:rFonts w:cs="Times New Roman"/>
      <w:b/>
      <w:sz w:val="28"/>
    </w:rPr>
  </w:style>
  <w:style w:type="paragraph" w:customStyle="1" w:styleId="26">
    <w:name w:val="заголовок 2"/>
    <w:basedOn w:val="a"/>
    <w:next w:val="a"/>
    <w:uiPriority w:val="99"/>
    <w:rsid w:val="004B3993"/>
    <w:pPr>
      <w:keepNext/>
      <w:widowControl w:val="0"/>
      <w:jc w:val="center"/>
    </w:pPr>
    <w:rPr>
      <w:szCs w:val="20"/>
    </w:rPr>
  </w:style>
  <w:style w:type="character" w:styleId="af6">
    <w:name w:val="Hyperlink"/>
    <w:uiPriority w:val="99"/>
    <w:rsid w:val="004B3993"/>
    <w:rPr>
      <w:rFonts w:cs="Times New Roman"/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rPr>
      <w:sz w:val="20"/>
      <w:szCs w:val="20"/>
    </w:rPr>
  </w:style>
  <w:style w:type="character" w:styleId="af9">
    <w:name w:val="endnote reference"/>
    <w:uiPriority w:val="99"/>
    <w:rsid w:val="004B3993"/>
    <w:rPr>
      <w:rFonts w:cs="Times New Roman"/>
      <w:vertAlign w:val="superscript"/>
    </w:rPr>
  </w:style>
  <w:style w:type="character" w:customStyle="1" w:styleId="af8">
    <w:name w:val="Текст концевой сноски Знак"/>
    <w:link w:val="af7"/>
    <w:uiPriority w:val="99"/>
    <w:locked/>
    <w:rsid w:val="004B3993"/>
    <w:rPr>
      <w:rFonts w:cs="Times New Roman"/>
    </w:rPr>
  </w:style>
  <w:style w:type="paragraph" w:customStyle="1" w:styleId="afa">
    <w:name w:val="Решение"/>
    <w:basedOn w:val="a"/>
    <w:next w:val="a"/>
    <w:uiPriority w:val="99"/>
    <w:rsid w:val="004B3993"/>
    <w:pPr>
      <w:spacing w:line="360" w:lineRule="auto"/>
      <w:jc w:val="both"/>
    </w:pPr>
    <w:rPr>
      <w:szCs w:val="20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</w:pPr>
    <w:rPr>
      <w:rFonts w:eastAsia="SimSun" w:cs="TimesET"/>
      <w:spacing w:val="6"/>
      <w:szCs w:val="26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</w:pPr>
    <w:rPr>
      <w:rFonts w:eastAsia="SimSun" w:cs="TimesET"/>
      <w:spacing w:val="6"/>
      <w:szCs w:val="26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</w:pPr>
    <w:rPr>
      <w:rFonts w:eastAsia="SimSun" w:cs="TimesET"/>
      <w:spacing w:val="6"/>
      <w:szCs w:val="26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</w:pPr>
    <w:rPr>
      <w:rFonts w:eastAsia="SimSun" w:cs="TimesET"/>
      <w:spacing w:val="6"/>
      <w:szCs w:val="26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</w:pPr>
    <w:rPr>
      <w:rFonts w:eastAsia="SimSun" w:cs="TimesET"/>
      <w:spacing w:val="6"/>
      <w:szCs w:val="26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</w:pPr>
    <w:rPr>
      <w:rFonts w:eastAsia="SimSun" w:cs="TimesET"/>
      <w:spacing w:val="6"/>
      <w:szCs w:val="26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</w:pPr>
    <w:rPr>
      <w:rFonts w:eastAsia="SimSun" w:cs="TimesET"/>
      <w:spacing w:val="6"/>
      <w:szCs w:val="26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</w:pPr>
    <w:rPr>
      <w:rFonts w:eastAsia="SimSun" w:cs="TimesET"/>
      <w:spacing w:val="6"/>
      <w:szCs w:val="26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</w:pPr>
    <w:rPr>
      <w:rFonts w:eastAsia="SimSun" w:cs="TimesET"/>
      <w:spacing w:val="6"/>
      <w:szCs w:val="26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</w:pPr>
    <w:rPr>
      <w:rFonts w:eastAsia="SimSun" w:cs="TimesET"/>
      <w:spacing w:val="6"/>
      <w:szCs w:val="26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</w:pPr>
    <w:rPr>
      <w:rFonts w:eastAsia="SimSun" w:cs="TimesET"/>
      <w:spacing w:val="6"/>
      <w:szCs w:val="26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</w:pPr>
    <w:rPr>
      <w:rFonts w:eastAsia="SimSun" w:cs="TimesET"/>
      <w:spacing w:val="6"/>
      <w:szCs w:val="26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</w:pPr>
    <w:rPr>
      <w:rFonts w:eastAsia="SimSun" w:cs="TimesET"/>
      <w:spacing w:val="6"/>
      <w:szCs w:val="26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</w:pPr>
    <w:rPr>
      <w:rFonts w:eastAsia="SimSun" w:cs="TimesET"/>
      <w:spacing w:val="6"/>
      <w:szCs w:val="26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</w:pPr>
    <w:rPr>
      <w:rFonts w:eastAsia="SimSun" w:cs="TimesET"/>
      <w:spacing w:val="6"/>
      <w:szCs w:val="26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</w:pPr>
    <w:rPr>
      <w:rFonts w:ascii="Arial" w:eastAsia="SimSun" w:hAnsi="Arial" w:cs="TimesET"/>
      <w:spacing w:val="6"/>
      <w:szCs w:val="26"/>
    </w:rPr>
  </w:style>
  <w:style w:type="paragraph" w:customStyle="1" w:styleId="aff">
    <w:name w:val="Рис."/>
    <w:basedOn w:val="a"/>
    <w:next w:val="ad"/>
    <w:uiPriority w:val="99"/>
    <w:rsid w:val="00950875"/>
    <w:pPr>
      <w:keepNext/>
      <w:autoSpaceDE w:val="0"/>
      <w:autoSpaceDN w:val="0"/>
      <w:spacing w:before="120" w:after="120"/>
    </w:pPr>
    <w:rPr>
      <w:rFonts w:eastAsia="SimSun" w:cs="TimesET"/>
      <w:spacing w:val="6"/>
      <w:sz w:val="22"/>
      <w:szCs w:val="22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"/>
    <w:uiPriority w:val="99"/>
    <w:rsid w:val="00950875"/>
    <w:pPr>
      <w:keepNext/>
      <w:tabs>
        <w:tab w:val="left" w:pos="7938"/>
      </w:tabs>
      <w:spacing w:line="360" w:lineRule="auto"/>
    </w:pPr>
    <w:rPr>
      <w:spacing w:val="6"/>
      <w:szCs w:val="20"/>
    </w:rPr>
  </w:style>
  <w:style w:type="paragraph" w:customStyle="1" w:styleId="14">
    <w:name w:val="Формула1"/>
    <w:basedOn w:val="a"/>
    <w:uiPriority w:val="99"/>
    <w:rsid w:val="00B8785C"/>
    <w:pPr>
      <w:keepNext/>
      <w:tabs>
        <w:tab w:val="left" w:pos="7938"/>
      </w:tabs>
      <w:spacing w:line="360" w:lineRule="auto"/>
    </w:pPr>
    <w:rPr>
      <w:spacing w:val="6"/>
      <w:szCs w:val="20"/>
    </w:rPr>
  </w:style>
  <w:style w:type="character" w:customStyle="1" w:styleId="aff1">
    <w:name w:val="Уравнение"/>
    <w:uiPriority w:val="99"/>
    <w:rsid w:val="00D12C9E"/>
    <w:rPr>
      <w:rFonts w:cs="Times New Roman"/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rFonts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2014-02-24T15:03:00Z</dcterms:created>
  <dcterms:modified xsi:type="dcterms:W3CDTF">2014-02-24T15:03:00Z</dcterms:modified>
</cp:coreProperties>
</file>