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46" w:rsidRPr="009365BD" w:rsidRDefault="00E11346" w:rsidP="005D107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iCs w:val="0"/>
          <w:color w:val="000000"/>
        </w:rPr>
      </w:pPr>
      <w:r w:rsidRPr="009365BD">
        <w:rPr>
          <w:rFonts w:ascii="Times New Roman" w:hAnsi="Times New Roman" w:cs="Times New Roman"/>
          <w:b w:val="0"/>
          <w:i w:val="0"/>
          <w:iCs w:val="0"/>
          <w:color w:val="000000"/>
        </w:rPr>
        <w:t>Министерство образования и науки РФ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9365BD">
        <w:rPr>
          <w:sz w:val="28"/>
          <w:szCs w:val="28"/>
        </w:rPr>
        <w:t>Государственное общеобразовательное учреждение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9365BD">
        <w:rPr>
          <w:sz w:val="28"/>
          <w:szCs w:val="28"/>
        </w:rPr>
        <w:t>Среднего профессионального образования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9365BD">
        <w:rPr>
          <w:sz w:val="28"/>
          <w:szCs w:val="28"/>
        </w:rPr>
        <w:t>Тюменский государственный колледж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9365BD">
        <w:rPr>
          <w:sz w:val="28"/>
          <w:szCs w:val="28"/>
        </w:rPr>
        <w:t>Профессионально-педагогических технологий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9365BD">
        <w:rPr>
          <w:sz w:val="28"/>
          <w:szCs w:val="28"/>
        </w:rPr>
        <w:t>(ГОУ СПО ТГКППТ)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9365BD">
        <w:rPr>
          <w:sz w:val="28"/>
          <w:szCs w:val="28"/>
        </w:rPr>
        <w:t>Экономическое отделение</w:t>
      </w:r>
    </w:p>
    <w:p w:rsidR="00E11346" w:rsidRPr="009365BD" w:rsidRDefault="00E11346" w:rsidP="005D1078">
      <w:pPr>
        <w:spacing w:line="360" w:lineRule="auto"/>
        <w:ind w:firstLine="709"/>
        <w:jc w:val="center"/>
        <w:rPr>
          <w:sz w:val="28"/>
          <w:szCs w:val="28"/>
        </w:rPr>
      </w:pPr>
    </w:p>
    <w:p w:rsidR="00CA15CD" w:rsidRDefault="00CA15CD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CA15CD" w:rsidRDefault="00CA15CD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CA15CD" w:rsidRDefault="00CA15CD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81243F" w:rsidRDefault="0081243F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81243F" w:rsidRDefault="0081243F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CA15CD" w:rsidRPr="00E11346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  <w:r w:rsidRPr="00E11346">
        <w:rPr>
          <w:color w:val="000000"/>
          <w:spacing w:val="-3"/>
          <w:sz w:val="28"/>
          <w:szCs w:val="28"/>
        </w:rPr>
        <w:t>Реферат по дисциплине</w:t>
      </w:r>
    </w:p>
    <w:p w:rsidR="00B451E8" w:rsidRPr="00E11346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  <w:r w:rsidRPr="00E11346">
        <w:rPr>
          <w:color w:val="000000"/>
          <w:spacing w:val="-3"/>
          <w:sz w:val="28"/>
          <w:szCs w:val="28"/>
        </w:rPr>
        <w:t>"Основы банковского дела"</w:t>
      </w:r>
    </w:p>
    <w:p w:rsidR="00B451E8" w:rsidRPr="00E11346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  <w:r w:rsidRPr="00E11346">
        <w:rPr>
          <w:color w:val="000000"/>
          <w:spacing w:val="-3"/>
          <w:sz w:val="28"/>
          <w:szCs w:val="28"/>
        </w:rPr>
        <w:t>на тему "Система безналичных расчётов"</w:t>
      </w:r>
    </w:p>
    <w:p w:rsidR="00B451E8" w:rsidRPr="00E11346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Выполнил:</w:t>
      </w: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студент группы Эг-9-04-1</w:t>
      </w: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Хилиманюк В. В.</w:t>
      </w:r>
    </w:p>
    <w:p w:rsidR="009838C5" w:rsidRDefault="009838C5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</w:p>
    <w:p w:rsidR="009838C5" w:rsidRDefault="009838C5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</w:p>
    <w:p w:rsidR="009838C5" w:rsidRDefault="009838C5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</w:p>
    <w:p w:rsidR="009838C5" w:rsidRDefault="009838C5" w:rsidP="005D1078">
      <w:pPr>
        <w:shd w:val="clear" w:color="auto" w:fill="FFFFFF"/>
        <w:spacing w:line="360" w:lineRule="auto"/>
        <w:ind w:right="187" w:firstLine="709"/>
        <w:jc w:val="right"/>
        <w:rPr>
          <w:color w:val="000000"/>
          <w:spacing w:val="-3"/>
          <w:sz w:val="28"/>
          <w:szCs w:val="28"/>
        </w:rPr>
      </w:pPr>
    </w:p>
    <w:p w:rsidR="00B451E8" w:rsidRDefault="00B451E8" w:rsidP="005D1078">
      <w:pPr>
        <w:shd w:val="clear" w:color="auto" w:fill="FFFFFF"/>
        <w:spacing w:line="360" w:lineRule="auto"/>
        <w:ind w:right="187" w:firstLine="709"/>
        <w:rPr>
          <w:color w:val="000000"/>
          <w:spacing w:val="-3"/>
          <w:sz w:val="28"/>
          <w:szCs w:val="28"/>
        </w:rPr>
      </w:pPr>
    </w:p>
    <w:p w:rsidR="00B451E8" w:rsidRDefault="00B451E8" w:rsidP="005D1078">
      <w:pPr>
        <w:shd w:val="clear" w:color="auto" w:fill="FFFFFF"/>
        <w:spacing w:line="360" w:lineRule="auto"/>
        <w:ind w:right="187"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Тюмень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-3"/>
            <w:sz w:val="28"/>
            <w:szCs w:val="28"/>
          </w:rPr>
          <w:t>2006</w:t>
        </w:r>
        <w:r w:rsidR="0081243F">
          <w:rPr>
            <w:color w:val="000000"/>
            <w:spacing w:val="-3"/>
            <w:sz w:val="28"/>
            <w:szCs w:val="28"/>
          </w:rPr>
          <w:t xml:space="preserve"> г</w:t>
        </w:r>
      </w:smartTag>
      <w:r w:rsidR="0081243F">
        <w:rPr>
          <w:color w:val="000000"/>
          <w:spacing w:val="-3"/>
          <w:sz w:val="28"/>
          <w:szCs w:val="28"/>
        </w:rPr>
        <w:t>.</w:t>
      </w:r>
    </w:p>
    <w:p w:rsidR="00135515" w:rsidRPr="0036584A" w:rsidRDefault="005D1078" w:rsidP="005D10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135515" w:rsidRPr="0036584A">
        <w:rPr>
          <w:sz w:val="28"/>
          <w:szCs w:val="28"/>
        </w:rPr>
        <w:lastRenderedPageBreak/>
        <w:t>Денежные расчеты осуществляются организацией либо наличными деньгами, либо в виде безналичных платежей.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Безналичные расчеты осуществляют посредством безналичных перечислений по расчетным, текущим и валютным счетам клиентов в банках, системы корреспондентских счетов между различными банками, клиринговых зачетов взаимных требований через расчетные палаты, а также с помощью векселей и чеков, заменяющих наличные</w:t>
      </w:r>
      <w:r w:rsidR="0036584A">
        <w:rPr>
          <w:sz w:val="28"/>
          <w:szCs w:val="28"/>
        </w:rPr>
        <w:t xml:space="preserve"> </w:t>
      </w:r>
      <w:r w:rsidRPr="0036584A">
        <w:rPr>
          <w:sz w:val="28"/>
          <w:szCs w:val="28"/>
        </w:rPr>
        <w:t>деньги.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Безналичные расчеты осуществляются в основном через банковские, кредитные и расчетные операции. Их применение позволяет существенно снизить расходы на денежное обращение, сокращает способность в наличных денежных средствах, обеспечивает их более надежную сохранность.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Безналичные расчеты осуществляют по товарным и нетоварным операциям. К товарным операциям относят куплю-продажу сырья, материалов, готовой продукции и т.п. Их учитывают на счетах 60 «Расчеты с поставщиками и подрядчиками», 62 «Расчеты с покупателями и заказчиками», 45 «Товары отгруженные» и др.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 нетоварным операциям относят расчеты с коммунальными учреждениями, научно-исследовательскими организациями, учебными заведениями и т.п. Их учитывают на счете 76 «Расчеты с разными дебиторами и кредиторами».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 зависимости от местонахождения поставщика и покупателя безналичные расчеты разделяют на иногородние и одногородние (местные).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Иногородними называют расчеты между организациями, обслуживаемыми учреждениями банка, которые находятся в разных населенных пунктах, а одногородними — расчеты между организациями, обслуживаемыми одним или двумя учреждениями банка, которые находятся в одном населенном пункте.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Формы безналичных расчетов. Формы безналичных расчетов определены ст. 862 ГК РФ и Положением Центрального банка РФ: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а) расчеты платежными поручениями;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б) расчеты по инкассо;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в) расчеты по аккредитиву;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г) расчеты чеками.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Формы безналичных расчетов избираются организациями самостоятельно и предусматриваются в договорах, заключаемых организациями с банками. В рамках безналичных расчетов в качестве участников расчетов рассматриваются плательщики и получатели средств</w:t>
      </w:r>
      <w:r w:rsidRPr="0036584A">
        <w:rPr>
          <w:sz w:val="28"/>
          <w:szCs w:val="28"/>
        </w:rPr>
        <w:br/>
        <w:t>(взыскатели), а также обслуживающие их банки и банки-корреспонденты.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Все операции по банковским счетам осуществляются только на основании расчетных документов. Расчетный документ — это оформленное на бумажном носителе или в электронном виде распоряжение: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плательщика — о списании денежных средств со своего счета и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перечислении их на счет получателя;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получателя — о списании денежных средств со счета плательщика и перечислении на счет, указанный покупателем.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 Положении Центрального банка РФ изложены требования к оформлению расчетных документов на бумажных носителях информации (расчетные документы (кроме чеков) заполняются только на пишущей машинке или ЭВМ шрифтом черного цвета; заполнение чеков производится ручкой с пастой, чернилами черного или синего цвета или на пишущей машинке шрифтом черного цвета; не допускаются исправления, подчистки, помарки, а также использование корректирующих жидкостей; расчетные документы должны содержать обязательные реквизиты, установленные Положением, и др.).</w:t>
      </w:r>
    </w:p>
    <w:p w:rsid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Расчетные документы должны быть представлены в банк в течение 10 календарных дней, не считая дня выписки расчетного документа. В банк представляется столько экземпляров расчетных документов, сколько необходимо для всех участников расчетов. 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Копии расчетных документов могут быть изготовлены с применением копировальной бумаги, множительной техники или ЭВМ.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Первый экземпляр расчетного документа (кроме чека) подписывают два уполномоченных лица (или одним лицом, если в организации отсутствует лицо с правом второй подписи). Кроме того, на документе ставится оттиск печати.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Порядок оформления, приема, обработки электронных расчетных документов и осуществления расчетов с их использованием регулируется не Положением, а другими нормативными актами Центрального банка РФ, а также договорами банков с клиентами.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платежными поручениями. Платежным поручением является распоряжение владельца счета (плательщика) обслуживающему его банку перевести определенную денежную сумму на счет получателя средств, открытый в этом или другом банке.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pacing w:val="-6"/>
          <w:sz w:val="28"/>
          <w:szCs w:val="28"/>
        </w:rPr>
        <w:t>Расчеты платежными поручениями являются наиболее</w:t>
      </w:r>
      <w:r w:rsidRPr="0036584A">
        <w:rPr>
          <w:sz w:val="28"/>
          <w:szCs w:val="28"/>
        </w:rPr>
        <w:t xml:space="preserve"> распространенной формой расчетов.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Платежными поручениями могут производиться перечисления денежных средств: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а) за поставленные товары, выполненные работы, оказанные услуги;</w:t>
      </w:r>
    </w:p>
    <w:p w:rsidR="00135515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б) в бюджеты всех уровней и во внебюджетные фонды;</w:t>
      </w:r>
    </w:p>
    <w:p w:rsidR="00304E26" w:rsidRPr="0036584A" w:rsidRDefault="00135515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в) в целях возврата / размещения кредитов и займов, депозитов и уплаты процента по ним;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г) по распоряжению физических лиц или в пользу физических лиц;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д) в других целях, предусмотренных законодательством или договором.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В соответствии с условиями основного договора платежные поручения могут использоваться для предварительной оплаты товаров, работ, услуг или для осуществления периодических платежей. Платежные поручения принимаются </w:t>
      </w:r>
      <w:r w:rsidR="0036584A">
        <w:rPr>
          <w:sz w:val="28"/>
          <w:szCs w:val="28"/>
        </w:rPr>
        <w:t>банком независимо от наличия де</w:t>
      </w:r>
      <w:r w:rsidRPr="0036584A">
        <w:rPr>
          <w:sz w:val="28"/>
          <w:szCs w:val="28"/>
        </w:rPr>
        <w:t>нежных средств на счет плательщика. При отсутствии или недостаточности денежных средств на счете плательщика платежные поручения оплачиваются по мере поступления средств в очередности, установленной законодательством.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Положением установлена новая форма бланка платежного поручения, которая должна применяться с 1 ноября </w:t>
      </w:r>
      <w:smartTag w:uri="urn:schemas-microsoft-com:office:smarttags" w:element="metricconverter">
        <w:smartTagPr>
          <w:attr w:name="ProductID" w:val="2000 г"/>
        </w:smartTagPr>
        <w:r w:rsidRPr="0036584A">
          <w:rPr>
            <w:sz w:val="28"/>
            <w:szCs w:val="28"/>
          </w:rPr>
          <w:t>2000 г</w:t>
        </w:r>
      </w:smartTag>
      <w:r w:rsidRPr="0036584A">
        <w:rPr>
          <w:sz w:val="28"/>
          <w:szCs w:val="28"/>
        </w:rPr>
        <w:t>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по инкассо. Расчеты по инкассо — это банковская операция, посредством которой банк по поручению и за счет клиента на основании расчетных документов осуществляет действия по получению от плательщика платежа.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по инкассо производятся на основании платежных требований и инкассовых поручений.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Платежные требования применяются при расчетах за товары (работы, услуги), а также в иных случаях, предусмотренных договором плательщика с его контрагентом.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Платежное требование является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посредством платежных требований могут осуществляться с предварительным акцептом и без акцепта плательщика. Срок для акцепта платежных требований определяется сторонами по основному договору (но не менее пяти рабочих дней). При отсутствии в договоре такого срока сроком для акцепта считаются пять рабочих дней.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Плательщик вправе отказаться полностью или частично от акцепта платежного требования по основаниям, предусмотренным в договоре.</w:t>
      </w:r>
    </w:p>
    <w:p w:rsid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Плательщик имеет право отказаться от акцепта счета в полной сумме в </w:t>
      </w:r>
      <w:r w:rsidRPr="0036584A">
        <w:rPr>
          <w:spacing w:val="-10"/>
          <w:sz w:val="28"/>
          <w:szCs w:val="28"/>
        </w:rPr>
        <w:t>случае отгрузки поставщиком продукции незаказанной,</w:t>
      </w:r>
      <w:r w:rsidRPr="0036584A">
        <w:rPr>
          <w:sz w:val="28"/>
          <w:szCs w:val="28"/>
        </w:rPr>
        <w:t xml:space="preserve"> недоброкачественной, нестандартной, некомплектной, досрочной поставки товаров или досрочного оказания услуг, предъявления поставщиком бестоварного требования, отсутствия утвержденных или согласованных в установленном порядке цен на товары и услуги и др. 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Частичный отказ от акцепта может быть при нарушении поставщиком цен, скидок, допущении арифметических ошибок в требовании или товарно-</w:t>
      </w:r>
      <w:r w:rsidRPr="0036584A">
        <w:rPr>
          <w:spacing w:val="-14"/>
          <w:sz w:val="28"/>
          <w:szCs w:val="28"/>
        </w:rPr>
        <w:t>транспортном документе, поступлении части незаказанной,</w:t>
      </w:r>
      <w:r w:rsidRPr="0036584A">
        <w:rPr>
          <w:sz w:val="28"/>
          <w:szCs w:val="28"/>
        </w:rPr>
        <w:t xml:space="preserve"> недоброкачественной, нестандартной продукции и др.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Отказ плательщика от оплаты платежного требования оформляет</w:t>
      </w:r>
      <w:r w:rsidR="00CD5A10" w:rsidRPr="0036584A">
        <w:rPr>
          <w:sz w:val="28"/>
          <w:szCs w:val="28"/>
        </w:rPr>
        <w:t xml:space="preserve"> от</w:t>
      </w:r>
      <w:r w:rsidRPr="0036584A">
        <w:rPr>
          <w:sz w:val="28"/>
          <w:szCs w:val="28"/>
        </w:rPr>
        <w:t xml:space="preserve"> </w:t>
      </w:r>
      <w:r w:rsidRPr="0036584A">
        <w:rPr>
          <w:spacing w:val="-26"/>
          <w:sz w:val="28"/>
          <w:szCs w:val="28"/>
        </w:rPr>
        <w:t>заявлением об отказе от акцепта установленной формы, которое</w:t>
      </w:r>
      <w:r w:rsidR="0036584A">
        <w:rPr>
          <w:spacing w:val="-26"/>
          <w:sz w:val="28"/>
          <w:szCs w:val="28"/>
        </w:rPr>
        <w:t xml:space="preserve"> </w:t>
      </w:r>
      <w:r w:rsidR="00CD5A10" w:rsidRPr="0036584A">
        <w:rPr>
          <w:sz w:val="28"/>
          <w:szCs w:val="28"/>
        </w:rPr>
        <w:t>сос</w:t>
      </w:r>
      <w:r w:rsidRPr="0036584A">
        <w:rPr>
          <w:sz w:val="28"/>
          <w:szCs w:val="28"/>
        </w:rPr>
        <w:t xml:space="preserve">тавляется в трех экземплярах. </w:t>
      </w:r>
      <w:r w:rsidR="00CD5A10" w:rsidRPr="0036584A">
        <w:rPr>
          <w:sz w:val="28"/>
          <w:szCs w:val="28"/>
        </w:rPr>
        <w:t>Первый и второй экземпляры заяв</w:t>
      </w:r>
      <w:r w:rsidRPr="0036584A">
        <w:rPr>
          <w:sz w:val="28"/>
          <w:szCs w:val="28"/>
        </w:rPr>
        <w:t xml:space="preserve">ления оформляются </w:t>
      </w:r>
      <w:r w:rsidRPr="0036584A">
        <w:rPr>
          <w:spacing w:val="-10"/>
          <w:sz w:val="28"/>
          <w:szCs w:val="28"/>
        </w:rPr>
        <w:t>подписями соответствующих должностных лиц</w:t>
      </w:r>
      <w:r w:rsidR="0036584A" w:rsidRPr="0036584A">
        <w:rPr>
          <w:spacing w:val="-10"/>
          <w:sz w:val="28"/>
          <w:szCs w:val="28"/>
        </w:rPr>
        <w:t xml:space="preserve"> </w:t>
      </w:r>
      <w:r w:rsidR="00CD5A10" w:rsidRPr="0036584A">
        <w:rPr>
          <w:spacing w:val="-10"/>
          <w:sz w:val="28"/>
          <w:szCs w:val="28"/>
        </w:rPr>
        <w:t>и оттиском печати</w:t>
      </w:r>
      <w:r w:rsidR="00CD5A10" w:rsidRPr="0036584A">
        <w:rPr>
          <w:sz w:val="28"/>
          <w:szCs w:val="28"/>
        </w:rPr>
        <w:t xml:space="preserve"> плательщ</w:t>
      </w:r>
      <w:r w:rsidRPr="0036584A">
        <w:rPr>
          <w:sz w:val="28"/>
          <w:szCs w:val="28"/>
        </w:rPr>
        <w:t>ика.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полном отказе от акцепта платежное требование в тот же день возвращается банку-эмитенту вмес</w:t>
      </w:r>
      <w:r w:rsidR="00CD5A10" w:rsidRPr="0036584A">
        <w:rPr>
          <w:sz w:val="28"/>
          <w:szCs w:val="28"/>
        </w:rPr>
        <w:t>те со вторым экземпляром заявле</w:t>
      </w:r>
      <w:r w:rsidRPr="0036584A">
        <w:rPr>
          <w:sz w:val="28"/>
          <w:szCs w:val="28"/>
        </w:rPr>
        <w:t>ния об отказе от акцепта для возврата получателю средств.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Первый экземпляр заявления вместе с копией платежного требо</w:t>
      </w:r>
      <w:r w:rsidR="00CD5A10" w:rsidRPr="0036584A">
        <w:rPr>
          <w:sz w:val="28"/>
          <w:szCs w:val="28"/>
        </w:rPr>
        <w:t>вания остается в банке плательщ</w:t>
      </w:r>
      <w:r w:rsidRPr="0036584A">
        <w:rPr>
          <w:sz w:val="28"/>
          <w:szCs w:val="28"/>
        </w:rPr>
        <w:t>ика, а третий экземпляр заявления возвращается плательщику.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частичном отказе от акцепта платежное требование оплачивается</w:t>
      </w:r>
      <w:r w:rsidR="00CD5A10" w:rsidRPr="0036584A">
        <w:rPr>
          <w:sz w:val="28"/>
          <w:szCs w:val="28"/>
        </w:rPr>
        <w:t xml:space="preserve"> в сумме, акцептованной плательщ</w:t>
      </w:r>
      <w:r w:rsidRPr="0036584A">
        <w:rPr>
          <w:sz w:val="28"/>
          <w:szCs w:val="28"/>
        </w:rPr>
        <w:t>иком. Первый экземпляр заявления об отказе от акцепта вместе с первым экземпляром платежного треб</w:t>
      </w:r>
      <w:r w:rsidR="00CD5A10" w:rsidRPr="0036584A">
        <w:rPr>
          <w:sz w:val="28"/>
          <w:szCs w:val="28"/>
        </w:rPr>
        <w:t>ования остаются в банке плательщ</w:t>
      </w:r>
      <w:r w:rsidRPr="0036584A">
        <w:rPr>
          <w:sz w:val="28"/>
          <w:szCs w:val="28"/>
        </w:rPr>
        <w:t xml:space="preserve">ика, второй экземпляр заявления направляется в банк эмитента, а третий экземпляр возвращается </w:t>
      </w:r>
      <w:r w:rsidR="00CD5A10" w:rsidRPr="0036584A">
        <w:rPr>
          <w:sz w:val="28"/>
          <w:szCs w:val="28"/>
        </w:rPr>
        <w:t>плательщ</w:t>
      </w:r>
      <w:r w:rsidRPr="0036584A">
        <w:rPr>
          <w:sz w:val="28"/>
          <w:szCs w:val="28"/>
        </w:rPr>
        <w:t>ику.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Ответственность за необоснованный отказ от оплаты платежных требований несет плательщик.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оплаты оплачиваются со счетов плательщика, а при недостаточности или отсутствии денежных средств на</w:t>
      </w:r>
      <w:r w:rsidR="00CD5A10" w:rsidRPr="0036584A">
        <w:rPr>
          <w:sz w:val="28"/>
          <w:szCs w:val="28"/>
        </w:rPr>
        <w:t xml:space="preserve"> счете оплачиваются по мере поступления денежных средств в оче</w:t>
      </w:r>
      <w:r w:rsidRPr="0036584A">
        <w:rPr>
          <w:sz w:val="28"/>
          <w:szCs w:val="28"/>
        </w:rPr>
        <w:t>редности, установленной законодательством.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Схема документооборота при расчете платежными требованиями с использованием предварительного акцепта приведена на рис. 10.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Достоинством акцептной формы расчетов платежными требованиями являет</w:t>
      </w:r>
      <w:r w:rsidR="00CD5A10" w:rsidRPr="0036584A">
        <w:rPr>
          <w:sz w:val="28"/>
          <w:szCs w:val="28"/>
        </w:rPr>
        <w:t>ся то, что она позволяет плательщ</w:t>
      </w:r>
      <w:r w:rsidRPr="0036584A">
        <w:rPr>
          <w:sz w:val="28"/>
          <w:szCs w:val="28"/>
        </w:rPr>
        <w:t>ику контролировать соблюдение поставщиком условий, предусмотренных договорами. Ее недостаток заключается в сравнительно медленном поступлении средств на счет поставщика (5 дней на акцепт и двойной срок почтового пробега).</w:t>
      </w:r>
    </w:p>
    <w:p w:rsidR="00304E26" w:rsidRPr="0036584A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платежными требованиями, оплачиваемыми в безакцептном порядке, производятся, как правило, на основании соответствующих законов. В этом случае получатель должен указать в платежном требовании номер, дату принятия и название соответствующего закона. Как правило, со счетов плател</w:t>
      </w:r>
      <w:r w:rsidR="00CD5A10" w:rsidRPr="0036584A">
        <w:rPr>
          <w:sz w:val="28"/>
          <w:szCs w:val="28"/>
        </w:rPr>
        <w:t>ьщ</w:t>
      </w:r>
      <w:r w:rsidRPr="0036584A">
        <w:rPr>
          <w:sz w:val="28"/>
          <w:szCs w:val="28"/>
        </w:rPr>
        <w:t>ика без акцепта оплачивают требования за газ, воду, электрическую и тепловую энергию, канализацию, пользование телефоном, почтово-телеграфные и некоторые другие</w:t>
      </w:r>
      <w:r w:rsidR="00CD5A10" w:rsidRPr="0036584A">
        <w:rPr>
          <w:sz w:val="28"/>
          <w:szCs w:val="28"/>
        </w:rPr>
        <w:t xml:space="preserve"> </w:t>
      </w:r>
      <w:r w:rsidRPr="0036584A">
        <w:rPr>
          <w:sz w:val="28"/>
          <w:szCs w:val="28"/>
        </w:rPr>
        <w:t>услуги.</w:t>
      </w:r>
    </w:p>
    <w:p w:rsidR="00304E26" w:rsidRDefault="00304E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инкассовыми поручениями. Инкассовое поручение является расчетным документом, на основании которого производит</w:t>
      </w:r>
      <w:r w:rsidR="00CD5A10" w:rsidRPr="0036584A">
        <w:rPr>
          <w:sz w:val="28"/>
          <w:szCs w:val="28"/>
        </w:rPr>
        <w:t>ся списание денежных средств со счетов плательщика в бесспорном порядке.</w:t>
      </w:r>
    </w:p>
    <w:p w:rsidR="005D1078" w:rsidRPr="0036584A" w:rsidRDefault="005D1078" w:rsidP="005D1078">
      <w:pPr>
        <w:spacing w:line="360" w:lineRule="auto"/>
        <w:ind w:firstLine="709"/>
        <w:jc w:val="both"/>
        <w:rPr>
          <w:sz w:val="28"/>
          <w:szCs w:val="28"/>
        </w:rPr>
      </w:pPr>
    </w:p>
    <w:p w:rsidR="006B1E64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7.65pt;width:135pt;height:45pt;z-index:251642880">
            <v:textbox style="mso-next-textbox:#_x0000_s1026">
              <w:txbxContent>
                <w:p w:rsidR="0057344E" w:rsidRPr="0036584A" w:rsidRDefault="0057344E" w:rsidP="0057344E">
                  <w:pPr>
                    <w:jc w:val="center"/>
                  </w:pPr>
                  <w:r w:rsidRPr="0036584A">
                    <w:t>Покупатель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9pt;margin-top:7.65pt;width:117pt;height:45pt;z-index:251641856">
            <v:textbox style="mso-next-textbox:#_x0000_s1027">
              <w:txbxContent>
                <w:p w:rsidR="0057344E" w:rsidRPr="0036584A" w:rsidRDefault="0057344E" w:rsidP="0057344E">
                  <w:pPr>
                    <w:jc w:val="center"/>
                  </w:pPr>
                  <w:r w:rsidRPr="0036584A">
                    <w:t>Поставщик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-9pt;margin-top:7.65pt;width:117pt;height:45pt;z-index:251640832"/>
        </w:pict>
      </w:r>
      <w:r w:rsidR="0057344E" w:rsidRPr="0036584A">
        <w:rPr>
          <w:sz w:val="18"/>
          <w:szCs w:val="18"/>
        </w:rPr>
        <w:t xml:space="preserve">                                                   </w:t>
      </w:r>
      <w:r w:rsidR="006B1E64" w:rsidRPr="0036584A">
        <w:rPr>
          <w:sz w:val="18"/>
          <w:szCs w:val="18"/>
        </w:rPr>
        <w:t xml:space="preserve">      </w:t>
      </w:r>
    </w:p>
    <w:p w:rsidR="006B1E64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29" style="position:absolute;left:0;text-align:left;flip:x;z-index:251645952" from="108pt,1.5pt" to="207pt,1.5pt"/>
        </w:pict>
      </w:r>
      <w:r>
        <w:rPr>
          <w:noProof/>
        </w:rPr>
        <w:pict>
          <v:line id="_x0000_s1030" style="position:absolute;left:0;text-align:left;z-index:251646976" from="234pt,1.5pt" to="324pt,1.5pt">
            <v:stroke endarrow="block"/>
          </v:line>
        </w:pict>
      </w:r>
      <w:r w:rsidR="006B1E64" w:rsidRPr="0036584A">
        <w:rPr>
          <w:sz w:val="18"/>
          <w:szCs w:val="18"/>
        </w:rPr>
        <w:t xml:space="preserve">                                                           1</w:t>
      </w:r>
    </w:p>
    <w:p w:rsidR="00304E26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31" style="position:absolute;left:0;text-align:left;flip:y;z-index:251655168" from="6in,4.35pt" to="6in,49.3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2096" from="351pt,4.35pt" to="351pt,40.35pt"/>
        </w:pict>
      </w:r>
      <w:r>
        <w:rPr>
          <w:noProof/>
        </w:rPr>
        <w:pict>
          <v:line id="_x0000_s1033" style="position:absolute;left:0;text-align:left;z-index:251648000" from="9pt,4.35pt" to="9pt,40.35pt"/>
        </w:pict>
      </w:r>
      <w:r>
        <w:rPr>
          <w:noProof/>
        </w:rPr>
        <w:pict>
          <v:line id="_x0000_s1034" style="position:absolute;left:0;text-align:left;flip:y;z-index:251651072" from="90pt,4.35pt" to="90pt,49.35pt">
            <v:stroke endarrow="block"/>
          </v:line>
        </w:pict>
      </w:r>
      <w:r w:rsidR="0057344E" w:rsidRPr="0036584A">
        <w:rPr>
          <w:sz w:val="18"/>
          <w:szCs w:val="18"/>
        </w:rPr>
        <w:t xml:space="preserve">                                                        </w:t>
      </w:r>
      <w:r w:rsidR="006B1E64" w:rsidRPr="0036584A">
        <w:rPr>
          <w:sz w:val="18"/>
          <w:szCs w:val="18"/>
        </w:rPr>
        <w:t xml:space="preserve">                                                    </w:t>
      </w:r>
      <w:r w:rsidR="00981A22" w:rsidRPr="0036584A">
        <w:rPr>
          <w:sz w:val="18"/>
          <w:szCs w:val="18"/>
        </w:rPr>
        <w:t xml:space="preserve">           </w:t>
      </w:r>
    </w:p>
    <w:p w:rsidR="006B1E64" w:rsidRPr="0036584A" w:rsidRDefault="006B1E64" w:rsidP="005D1078">
      <w:pPr>
        <w:spacing w:line="360" w:lineRule="auto"/>
        <w:ind w:firstLine="709"/>
        <w:jc w:val="both"/>
        <w:rPr>
          <w:sz w:val="18"/>
          <w:szCs w:val="18"/>
        </w:rPr>
      </w:pPr>
    </w:p>
    <w:p w:rsidR="006B1E64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35" style="position:absolute;left:0;text-align:left;z-index:251654144" from="351pt,19.1pt" to="351pt,64.1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50048" from="90pt,10.1pt" to="90pt,64.1pt"/>
        </w:pict>
      </w:r>
      <w:r>
        <w:rPr>
          <w:noProof/>
        </w:rPr>
        <w:pict>
          <v:line id="_x0000_s1037" style="position:absolute;left:0;text-align:left;z-index:251649024" from="9pt,19.1pt" to="9pt,64.1pt">
            <v:stroke endarrow="block"/>
          </v:line>
        </w:pict>
      </w:r>
      <w:r w:rsidR="006B1E64" w:rsidRPr="0036584A">
        <w:rPr>
          <w:sz w:val="18"/>
          <w:szCs w:val="18"/>
        </w:rPr>
        <w:t xml:space="preserve">  2                      7                                                                       </w:t>
      </w:r>
      <w:r w:rsidR="00981A22" w:rsidRPr="0036584A">
        <w:rPr>
          <w:sz w:val="18"/>
          <w:szCs w:val="18"/>
        </w:rPr>
        <w:t>4</w:t>
      </w:r>
      <w:r w:rsidR="006B1E64" w:rsidRPr="0036584A">
        <w:rPr>
          <w:sz w:val="18"/>
          <w:szCs w:val="18"/>
        </w:rPr>
        <w:t xml:space="preserve">                      </w:t>
      </w:r>
      <w:r w:rsidR="00981A22" w:rsidRPr="0036584A">
        <w:rPr>
          <w:sz w:val="18"/>
          <w:szCs w:val="18"/>
        </w:rPr>
        <w:t>5</w:t>
      </w:r>
      <w:r w:rsidR="006B1E64" w:rsidRPr="0036584A">
        <w:rPr>
          <w:sz w:val="18"/>
          <w:szCs w:val="18"/>
        </w:rPr>
        <w:t xml:space="preserve">               </w:t>
      </w:r>
    </w:p>
    <w:p w:rsidR="006B1E64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38" style="position:absolute;left:0;text-align:left;z-index:251653120" from="6in,3.95pt" to="6in,39.95pt"/>
        </w:pict>
      </w:r>
    </w:p>
    <w:p w:rsidR="0057344E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shape id="_x0000_s1039" type="#_x0000_t202" style="position:absolute;left:0;text-align:left;margin-left:324pt;margin-top:16.2pt;width:2in;height:1in;z-index:251644928">
            <v:textbox style="mso-next-textbox:#_x0000_s1039">
              <w:txbxContent>
                <w:p w:rsidR="00C10DF3" w:rsidRPr="0036584A" w:rsidRDefault="00C10DF3" w:rsidP="00C10DF3">
                  <w:r w:rsidRPr="0036584A">
                    <w:t>Отделение банка, обслуживающее поставщика</w:t>
                  </w:r>
                </w:p>
                <w:p w:rsidR="006B1E64" w:rsidRDefault="006B1E64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-18pt;margin-top:16.2pt;width:2in;height:63pt;z-index:251643904">
            <v:textbox style="mso-next-textbox:#_x0000_s1040">
              <w:txbxContent>
                <w:p w:rsidR="0057344E" w:rsidRPr="0036584A" w:rsidRDefault="0057344E">
                  <w:r w:rsidRPr="0036584A">
                    <w:t>Отделение банка, обслуживающее поставщика</w:t>
                  </w:r>
                </w:p>
              </w:txbxContent>
            </v:textbox>
          </v:shape>
        </w:pict>
      </w:r>
      <w:r w:rsidR="006B1E64" w:rsidRPr="0036584A">
        <w:rPr>
          <w:sz w:val="18"/>
          <w:szCs w:val="18"/>
        </w:rPr>
        <w:t xml:space="preserve">                                                                                             </w:t>
      </w:r>
      <w:r w:rsidR="00981A22" w:rsidRPr="0036584A">
        <w:rPr>
          <w:sz w:val="18"/>
          <w:szCs w:val="18"/>
        </w:rPr>
        <w:t xml:space="preserve">        </w:t>
      </w:r>
    </w:p>
    <w:p w:rsidR="0057344E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41" style="position:absolute;left:0;text-align:left;flip:x;z-index:251657216" from="126pt,9.65pt" to="207pt,9.65pt"/>
        </w:pict>
      </w:r>
      <w:r>
        <w:rPr>
          <w:noProof/>
        </w:rPr>
        <w:pict>
          <v:line id="_x0000_s1042" style="position:absolute;left:0;text-align:left;z-index:251656192" from="234pt,9.65pt" to="324pt,9.65pt">
            <v:stroke endarrow="block"/>
          </v:line>
        </w:pict>
      </w:r>
      <w:r w:rsidR="00981A22" w:rsidRPr="0036584A">
        <w:rPr>
          <w:sz w:val="18"/>
          <w:szCs w:val="18"/>
        </w:rPr>
        <w:t xml:space="preserve">                                                               3                            </w:t>
      </w:r>
    </w:p>
    <w:p w:rsidR="0057344E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43" style="position:absolute;left:0;text-align:left;flip:x;z-index:251659264" from="126pt,12.5pt" to="207pt,12.5pt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58240" from="225pt,12.5pt" to="324pt,12.5pt"/>
        </w:pict>
      </w:r>
      <w:r w:rsidR="00981A22" w:rsidRPr="0036584A">
        <w:rPr>
          <w:sz w:val="18"/>
          <w:szCs w:val="18"/>
        </w:rPr>
        <w:t xml:space="preserve">                                                             6                                 </w:t>
      </w:r>
    </w:p>
    <w:p w:rsidR="0057344E" w:rsidRPr="0036584A" w:rsidRDefault="00981A22" w:rsidP="005D1078">
      <w:pPr>
        <w:spacing w:line="360" w:lineRule="auto"/>
        <w:ind w:firstLine="709"/>
        <w:jc w:val="both"/>
        <w:rPr>
          <w:sz w:val="18"/>
          <w:szCs w:val="18"/>
        </w:rPr>
      </w:pPr>
      <w:r w:rsidRPr="0036584A">
        <w:rPr>
          <w:sz w:val="18"/>
          <w:szCs w:val="18"/>
        </w:rPr>
        <w:t xml:space="preserve">  </w:t>
      </w:r>
    </w:p>
    <w:p w:rsidR="00981A22" w:rsidRPr="0036584A" w:rsidRDefault="00981A22" w:rsidP="005D1078">
      <w:pPr>
        <w:spacing w:line="360" w:lineRule="auto"/>
        <w:ind w:firstLine="709"/>
        <w:jc w:val="center"/>
        <w:rPr>
          <w:sz w:val="28"/>
          <w:szCs w:val="28"/>
        </w:rPr>
      </w:pPr>
      <w:r w:rsidRPr="0036584A">
        <w:rPr>
          <w:sz w:val="28"/>
          <w:szCs w:val="28"/>
        </w:rPr>
        <w:t>Рис. 1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Рис. 1. Документооборот при расчете платежными требованиями:</w:t>
      </w:r>
      <w:r w:rsidRPr="0036584A">
        <w:rPr>
          <w:sz w:val="28"/>
          <w:szCs w:val="28"/>
        </w:rPr>
        <w:br/>
        <w:t>\ — отправка документов, подтверждающих отгрузку товара; 2 — сдача</w:t>
      </w:r>
      <w:r w:rsidRPr="0036584A">
        <w:rPr>
          <w:sz w:val="28"/>
          <w:szCs w:val="28"/>
        </w:rPr>
        <w:br/>
        <w:t>платежного требования в четырех или трех экземплярах на инкассо; 3 —</w:t>
      </w:r>
      <w:r w:rsidRPr="0036584A">
        <w:rPr>
          <w:sz w:val="28"/>
          <w:szCs w:val="28"/>
        </w:rPr>
        <w:br/>
        <w:t>отправка платежного требования в двух экземплярах учреждению банка</w:t>
      </w:r>
      <w:r w:rsidRPr="0036584A">
        <w:rPr>
          <w:sz w:val="28"/>
          <w:szCs w:val="28"/>
        </w:rPr>
        <w:br/>
      </w:r>
      <w:r w:rsidR="00981A22" w:rsidRPr="0036584A">
        <w:rPr>
          <w:sz w:val="28"/>
          <w:szCs w:val="28"/>
        </w:rPr>
        <w:t>плательщ</w:t>
      </w:r>
      <w:r w:rsidRPr="0036584A">
        <w:rPr>
          <w:sz w:val="28"/>
          <w:szCs w:val="28"/>
        </w:rPr>
        <w:t>ика; 4 — извещение покупате</w:t>
      </w:r>
      <w:r w:rsidR="00981A22" w:rsidRPr="0036584A">
        <w:rPr>
          <w:sz w:val="28"/>
          <w:szCs w:val="28"/>
        </w:rPr>
        <w:t>ля о поступлении платежного тре</w:t>
      </w:r>
      <w:r w:rsidRPr="0036584A">
        <w:rPr>
          <w:sz w:val="28"/>
          <w:szCs w:val="28"/>
        </w:rPr>
        <w:t>бования-поручения; 5 — отправка покупателю оплаченного платежного</w:t>
      </w:r>
      <w:r w:rsidRPr="0036584A">
        <w:rPr>
          <w:sz w:val="28"/>
          <w:szCs w:val="28"/>
        </w:rPr>
        <w:br/>
        <w:t>требования-поручения; 6 — извещение об оплате покупателем счета;</w:t>
      </w:r>
      <w:r w:rsidRPr="0036584A">
        <w:rPr>
          <w:sz w:val="28"/>
          <w:szCs w:val="28"/>
        </w:rPr>
        <w:br/>
        <w:t>7 — перечисление платежа за счет по</w:t>
      </w:r>
      <w:r w:rsidR="00981A22" w:rsidRPr="0036584A">
        <w:rPr>
          <w:sz w:val="28"/>
          <w:szCs w:val="28"/>
        </w:rPr>
        <w:t>ставщика и извещение об этом по</w:t>
      </w:r>
      <w:r w:rsidRPr="0036584A">
        <w:rPr>
          <w:sz w:val="28"/>
          <w:szCs w:val="28"/>
        </w:rPr>
        <w:t>ставщика.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Инкассовые поручения применяются: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а) если бесспорный порядок взыскания установлен соответотвующими законами;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б) для взыскания по исполнительным документам;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в) в случаях, предусмотренных сторонами по основному договору.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Инкассовое поручение составляется по установленной Положе</w:t>
      </w:r>
      <w:r w:rsidR="00981A22" w:rsidRPr="0036584A">
        <w:rPr>
          <w:sz w:val="28"/>
          <w:szCs w:val="28"/>
        </w:rPr>
        <w:t>нием</w:t>
      </w:r>
      <w:r w:rsidRPr="0036584A">
        <w:rPr>
          <w:sz w:val="28"/>
          <w:szCs w:val="28"/>
        </w:rPr>
        <w:t xml:space="preserve"> форме. В поручении должна быть сделана ссылка на соответствующий закон, исполнительный доку</w:t>
      </w:r>
      <w:r w:rsidR="00981A22" w:rsidRPr="0036584A">
        <w:rPr>
          <w:sz w:val="28"/>
          <w:szCs w:val="28"/>
        </w:rPr>
        <w:t>мент или договор. К поруче</w:t>
      </w:r>
      <w:r w:rsidRPr="0036584A">
        <w:rPr>
          <w:sz w:val="28"/>
          <w:szCs w:val="28"/>
        </w:rPr>
        <w:t>нию должен быть приложен подлинник исполнительного документа или его дубликат.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отсутствии и недостаточност</w:t>
      </w:r>
      <w:r w:rsidR="00981A22" w:rsidRPr="0036584A">
        <w:rPr>
          <w:sz w:val="28"/>
          <w:szCs w:val="28"/>
        </w:rPr>
        <w:t>и денежных средств на счетё пла</w:t>
      </w:r>
      <w:r w:rsidRPr="0036584A">
        <w:rPr>
          <w:sz w:val="28"/>
          <w:szCs w:val="28"/>
        </w:rPr>
        <w:t>тельщика инкассовое поручение исполняется по мере поступления де-нежных средств в очередности, установленной законодательством.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Банки приостанавливают списание денежных средств в бесспорном порядке в следующих случаях: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а) по решению органа, осуществляющего контрольные функции в соответствии с законодательством, о приостановлении взыскивания;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б) при наличии судебного акта о приостановлении взыскания;</w:t>
      </w:r>
    </w:p>
    <w:p w:rsidR="0057344E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в) по иным основаниям, предусмотренным законодательством.</w:t>
      </w:r>
    </w:p>
    <w:p w:rsidR="00981A22" w:rsidRPr="0036584A" w:rsidRDefault="0057344E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расчетах платежными поручениями и расчетах по инкассо расчеты у поставщиков отражают как продажу продукции, т.е. с применением счетов 45 «Товары отгр</w:t>
      </w:r>
      <w:r w:rsidR="00981A22" w:rsidRPr="0036584A">
        <w:rPr>
          <w:sz w:val="28"/>
          <w:szCs w:val="28"/>
        </w:rPr>
        <w:t>уженные», 90 «Продажи», 62 «Рас</w:t>
      </w:r>
      <w:r w:rsidRPr="0036584A">
        <w:rPr>
          <w:sz w:val="28"/>
          <w:szCs w:val="28"/>
        </w:rPr>
        <w:t>четы с покупателями и заказчиками» и др. Покупатель использует</w:t>
      </w:r>
      <w:r w:rsidR="00981A22" w:rsidRPr="0036584A">
        <w:rPr>
          <w:sz w:val="28"/>
          <w:szCs w:val="28"/>
        </w:rPr>
        <w:t xml:space="preserve"> счета 60 «Расчеты с поставщиками и подрядчиками», 51 «Расчетные</w:t>
      </w:r>
      <w:r w:rsidR="0081243F" w:rsidRPr="0036584A">
        <w:rPr>
          <w:sz w:val="28"/>
          <w:szCs w:val="28"/>
        </w:rPr>
        <w:t xml:space="preserve"> </w:t>
      </w:r>
      <w:r w:rsidR="00981A22" w:rsidRPr="0036584A">
        <w:rPr>
          <w:sz w:val="28"/>
          <w:szCs w:val="28"/>
        </w:rPr>
        <w:t>счета» и др.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Аккредитивная форма расчетов применяется в двух случаях: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производственно-технического назначения и товаров народного потребления.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Особенность аккредитивной формы расчетов состоит в том, что оплату платежных документов производят по месту нахождения поставщика сразу после отгрузки им продукции.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Аккредитив — это условное денежное обязательство, </w:t>
      </w:r>
      <w:r w:rsidR="0036584A" w:rsidRPr="0036584A">
        <w:rPr>
          <w:sz w:val="28"/>
          <w:szCs w:val="28"/>
        </w:rPr>
        <w:t>принимаемое</w:t>
      </w:r>
      <w:r w:rsidRPr="0036584A">
        <w:rPr>
          <w:sz w:val="28"/>
          <w:szCs w:val="28"/>
        </w:rPr>
        <w:t xml:space="preserve"> банком-эмитентом по поручению плательщика, произвести платежи в пользу </w:t>
      </w:r>
      <w:r w:rsidRPr="0036584A">
        <w:rPr>
          <w:spacing w:val="-10"/>
          <w:sz w:val="28"/>
          <w:szCs w:val="28"/>
        </w:rPr>
        <w:t>получателя средств по предъявлёнии последним документов,</w:t>
      </w:r>
      <w:r w:rsidRPr="0036584A">
        <w:rPr>
          <w:sz w:val="28"/>
          <w:szCs w:val="28"/>
        </w:rPr>
        <w:t xml:space="preserve"> соответствующих условиям аккредитива, или предоставить полномочия другому банку произвести такие платежи.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Банками могут открываться следующие виды аккредитивов: покрытые </w:t>
      </w:r>
      <w:r w:rsidRPr="0036584A">
        <w:rPr>
          <w:spacing w:val="-10"/>
          <w:sz w:val="28"/>
          <w:szCs w:val="28"/>
        </w:rPr>
        <w:t>(депонированные) и непокрытые (гарантированные); отзывные и</w:t>
      </w:r>
      <w:r w:rsidRPr="0036584A">
        <w:rPr>
          <w:sz w:val="28"/>
          <w:szCs w:val="28"/>
        </w:rPr>
        <w:t xml:space="preserve"> безотзывные (могут быть подтвержденными).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открытии покрытого аккредитива банк-эмитент п</w:t>
      </w:r>
      <w:r w:rsidR="0036584A">
        <w:rPr>
          <w:sz w:val="28"/>
          <w:szCs w:val="28"/>
        </w:rPr>
        <w:t>еречисляет</w:t>
      </w:r>
      <w:r w:rsidRPr="0036584A">
        <w:rPr>
          <w:sz w:val="28"/>
          <w:szCs w:val="28"/>
        </w:rPr>
        <w:t xml:space="preserve"> за счет средств плательщика или предоставленного ему кредита сумму аккредитива в распоряжение исполняющего банка на весь срок действия аккредитива.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открытии непокрытого аккредитива банк-эмитент предоставляет исполняющему банку право списывать средства с ведущегося у него корреспондентского счета в пределах суммы аккредитива в порядке, определенном соглашением между банками.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Отзывным является аккредитив, который может быть изменен или отменен банком-эмитентом на основании письменного распоряжения плательщика без предварительного согласования с получателем средств. Безотзывный аккредитив может быть отменен только с согласия получателя средств.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Порядок расчетов по аккредитиву устанавливается в основном договоре, в котором отражаются основные условия (наименование банков, получатель средств, сумма аккредитива, его вид, сроки действия, способ извещения получателя средств об открытии аккредитива,</w:t>
      </w:r>
      <w:r w:rsidR="004C2526" w:rsidRPr="0036584A">
        <w:rPr>
          <w:sz w:val="28"/>
          <w:szCs w:val="28"/>
        </w:rPr>
        <w:t xml:space="preserve"> полный перечень и точная характ</w:t>
      </w:r>
      <w:r w:rsidRPr="0036584A">
        <w:rPr>
          <w:sz w:val="28"/>
          <w:szCs w:val="28"/>
        </w:rPr>
        <w:t>еристика документов, представляемых получателем средств и др.).</w:t>
      </w:r>
    </w:p>
    <w:p w:rsidR="00981A22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Аккредитив предназначен для расчетов с одним получателем средств. Условиями аккредитива может быть предусмотрен акцепт уполномоченного плательщиком лица. Форма аккредитива установ</w:t>
      </w:r>
      <w:r w:rsidR="004C2526" w:rsidRPr="0036584A">
        <w:rPr>
          <w:sz w:val="28"/>
          <w:szCs w:val="28"/>
        </w:rPr>
        <w:t>лена Положением</w:t>
      </w:r>
      <w:r w:rsidRPr="0036584A">
        <w:rPr>
          <w:sz w:val="28"/>
          <w:szCs w:val="28"/>
        </w:rPr>
        <w:t>.</w:t>
      </w:r>
    </w:p>
    <w:p w:rsidR="004C2526" w:rsidRPr="0036584A" w:rsidRDefault="00981A2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Выплаты по аккредитиву производят в течение срока его действия в банке поставщика в полной сумме аккредитива или по частям про</w:t>
      </w:r>
      <w:r w:rsidR="004C2526" w:rsidRPr="0036584A">
        <w:rPr>
          <w:sz w:val="28"/>
          <w:szCs w:val="28"/>
        </w:rPr>
        <w:t>тив предоставленных поставщиком реестров счетов и транспортных или приемо-сдаточных документов, удостоверяющих отгрузку товара. Реестры счетов должны сдаваться поставщиком в обслуживающее его учреждение банка, как правило, на следующий день после отгрузки (отпуска) товара.</w:t>
      </w:r>
    </w:p>
    <w:p w:rsidR="004C2526" w:rsidRPr="0036584A" w:rsidRDefault="004C2526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 Схема документооборота при покрытом аккредитиве представлена на рис. 2.</w:t>
      </w:r>
    </w:p>
    <w:p w:rsidR="004C2526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shape id="_x0000_s1045" type="#_x0000_t202" style="position:absolute;left:0;text-align:left;margin-left:279pt;margin-top:8.55pt;width:123pt;height:42pt;z-index:251661312">
            <v:textbox style="mso-next-textbox:#_x0000_s1045">
              <w:txbxContent>
                <w:p w:rsidR="00C10DF3" w:rsidRPr="0036584A" w:rsidRDefault="00C10DF3" w:rsidP="00C10DF3">
                  <w:pPr>
                    <w:jc w:val="center"/>
                  </w:pPr>
                  <w:r w:rsidRPr="0036584A">
                    <w:t>Покупатель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9pt;margin-top:8.55pt;width:99pt;height:45pt;z-index:251660288">
            <v:textbox style="mso-next-textbox:#_x0000_s1046">
              <w:txbxContent>
                <w:p w:rsidR="00C10DF3" w:rsidRPr="0036584A" w:rsidRDefault="00C10DF3" w:rsidP="00C10DF3">
                  <w:pPr>
                    <w:jc w:val="center"/>
                  </w:pPr>
                  <w:r w:rsidRPr="0036584A">
                    <w:t>Поставщик</w:t>
                  </w:r>
                </w:p>
              </w:txbxContent>
            </v:textbox>
          </v:shape>
        </w:pict>
      </w:r>
    </w:p>
    <w:p w:rsidR="00981A22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47" style="position:absolute;left:0;text-align:left;flip:y;z-index:251674624" from="342pt,20.4pt" to="342pt,65.4pt"/>
        </w:pict>
      </w:r>
      <w:r>
        <w:rPr>
          <w:noProof/>
        </w:rPr>
        <w:pict>
          <v:line id="_x0000_s1048" style="position:absolute;left:0;text-align:left;z-index:251665408" from="207pt,11.4pt" to="279pt,11.4pt">
            <v:stroke endarrow="block"/>
          </v:line>
        </w:pict>
      </w:r>
      <w:r>
        <w:rPr>
          <w:noProof/>
        </w:rPr>
        <w:pict>
          <v:line id="_x0000_s1049" style="position:absolute;left:0;text-align:left;z-index:251664384" from="108pt,11.4pt" to="180pt,11.4pt"/>
        </w:pict>
      </w:r>
      <w:r w:rsidR="00C10DF3" w:rsidRPr="0036584A">
        <w:rPr>
          <w:sz w:val="18"/>
          <w:szCs w:val="18"/>
        </w:rPr>
        <w:t xml:space="preserve">                                                 4</w:t>
      </w:r>
    </w:p>
    <w:p w:rsidR="00C744E2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50" style="position:absolute;left:0;text-align:left;z-index:251673600" from="342pt,5.25pt" to="342pt,5.25pt"/>
        </w:pict>
      </w:r>
      <w:r>
        <w:rPr>
          <w:noProof/>
        </w:rPr>
        <w:pict>
          <v:line id="_x0000_s1051" style="position:absolute;left:0;text-align:left;z-index:251666432" from="27pt,5.25pt" to="27pt,41.25pt"/>
        </w:pict>
      </w:r>
      <w:r>
        <w:rPr>
          <w:noProof/>
        </w:rPr>
        <w:pict>
          <v:line id="_x0000_s1052" style="position:absolute;left:0;text-align:left;flip:y;z-index:251668480" from="81pt,5.25pt" to="81pt,41.25pt">
            <v:stroke endarrow="block"/>
          </v:line>
        </w:pict>
      </w:r>
      <w:r>
        <w:rPr>
          <w:noProof/>
        </w:rPr>
        <w:pict>
          <v:shape id="_x0000_s1053" type="#_x0000_t202" style="position:absolute;left:0;text-align:left;margin-left:0;margin-top:86.25pt;width:126pt;height:1in;z-index:251662336">
            <v:textbox style="mso-next-textbox:#_x0000_s1053">
              <w:txbxContent>
                <w:p w:rsidR="00C10DF3" w:rsidRPr="0036584A" w:rsidRDefault="00C10DF3" w:rsidP="00C10DF3">
                  <w:r w:rsidRPr="0036584A">
                    <w:t>Отделение банка, обслуживающее поставщика</w:t>
                  </w:r>
                </w:p>
                <w:p w:rsidR="00C10DF3" w:rsidRPr="00C10DF3" w:rsidRDefault="00C10DF3" w:rsidP="00C10DF3"/>
              </w:txbxContent>
            </v:textbox>
          </v:shape>
        </w:pict>
      </w:r>
      <w:r w:rsidR="00C10DF3" w:rsidRPr="0036584A">
        <w:rPr>
          <w:sz w:val="18"/>
          <w:szCs w:val="18"/>
        </w:rPr>
        <w:t xml:space="preserve">       </w:t>
      </w:r>
      <w:r w:rsidR="00C744E2" w:rsidRPr="0036584A">
        <w:rPr>
          <w:sz w:val="18"/>
          <w:szCs w:val="18"/>
        </w:rPr>
        <w:t xml:space="preserve">                                                                                              </w:t>
      </w:r>
    </w:p>
    <w:p w:rsidR="00C10DF3" w:rsidRPr="0036584A" w:rsidRDefault="00C10DF3" w:rsidP="005D1078">
      <w:pPr>
        <w:spacing w:line="360" w:lineRule="auto"/>
        <w:ind w:firstLine="709"/>
        <w:jc w:val="both"/>
        <w:rPr>
          <w:sz w:val="18"/>
          <w:szCs w:val="18"/>
        </w:rPr>
      </w:pPr>
      <w:r w:rsidRPr="0036584A">
        <w:rPr>
          <w:sz w:val="18"/>
          <w:szCs w:val="18"/>
        </w:rPr>
        <w:t xml:space="preserve">        </w:t>
      </w:r>
      <w:r w:rsidR="00C744E2" w:rsidRPr="0036584A">
        <w:rPr>
          <w:sz w:val="18"/>
          <w:szCs w:val="18"/>
        </w:rPr>
        <w:t xml:space="preserve">                                                                                        </w:t>
      </w:r>
    </w:p>
    <w:p w:rsidR="00C10DF3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54" style="position:absolute;left:0;text-align:left;z-index:251672576" from="342pt,19.95pt" to="342pt,46.95pt">
            <v:stroke endarrow="block"/>
          </v:line>
        </w:pict>
      </w:r>
      <w:r>
        <w:rPr>
          <w:noProof/>
        </w:rPr>
        <w:pict>
          <v:line id="_x0000_s1055" style="position:absolute;left:0;text-align:left;z-index:251669504" from="27pt,19.95pt" to="27pt,37.95pt">
            <v:stroke endarrow="block"/>
          </v:line>
        </w:pict>
      </w:r>
      <w:r>
        <w:rPr>
          <w:noProof/>
        </w:rPr>
        <w:pict>
          <v:line id="_x0000_s1056" style="position:absolute;left:0;text-align:left;flip:y;z-index:251667456" from="81pt,19.95pt" to="81pt,37.95pt"/>
        </w:pict>
      </w:r>
      <w:r w:rsidR="00C10DF3" w:rsidRPr="0036584A">
        <w:rPr>
          <w:sz w:val="18"/>
          <w:szCs w:val="18"/>
        </w:rPr>
        <w:t xml:space="preserve">3                                         </w:t>
      </w:r>
      <w:r w:rsidR="00C744E2" w:rsidRPr="0036584A">
        <w:rPr>
          <w:sz w:val="18"/>
          <w:szCs w:val="18"/>
        </w:rPr>
        <w:t xml:space="preserve">                                1</w:t>
      </w:r>
    </w:p>
    <w:p w:rsidR="00C10DF3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shape id="_x0000_s1057" type="#_x0000_t202" style="position:absolute;left:0;text-align:left;margin-left:4in;margin-top:22.8pt;width:126pt;height:1in;z-index:251663360">
            <v:textbox style="mso-next-textbox:#_x0000_s1057">
              <w:txbxContent>
                <w:p w:rsidR="00C10DF3" w:rsidRPr="0036584A" w:rsidRDefault="00C10DF3" w:rsidP="00C10DF3">
                  <w:r w:rsidRPr="0036584A">
                    <w:t>Отделение банка, обслуживающее поставщика</w:t>
                  </w:r>
                </w:p>
                <w:p w:rsidR="00C10DF3" w:rsidRPr="0036584A" w:rsidRDefault="00C10DF3" w:rsidP="00C10DF3"/>
              </w:txbxContent>
            </v:textbox>
          </v:shape>
        </w:pict>
      </w:r>
    </w:p>
    <w:p w:rsidR="00C10DF3" w:rsidRPr="0036584A" w:rsidRDefault="00C10DF3" w:rsidP="005D1078">
      <w:pPr>
        <w:spacing w:line="360" w:lineRule="auto"/>
        <w:ind w:firstLine="709"/>
        <w:jc w:val="both"/>
        <w:rPr>
          <w:sz w:val="18"/>
          <w:szCs w:val="18"/>
        </w:rPr>
      </w:pPr>
    </w:p>
    <w:p w:rsidR="00C10DF3" w:rsidRPr="0036584A" w:rsidRDefault="00105F65" w:rsidP="005D1078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</w:rPr>
        <w:pict>
          <v:line id="_x0000_s1058" style="position:absolute;left:0;text-align:left;z-index:251670528" from="225pt,10.5pt" to="4in,10.5pt">
            <v:stroke endarrow="block"/>
          </v:line>
        </w:pict>
      </w:r>
      <w:r>
        <w:rPr>
          <w:noProof/>
        </w:rPr>
        <w:pict>
          <v:line id="_x0000_s1059" style="position:absolute;left:0;text-align:left;z-index:251671552" from="126pt,10.5pt" to="198pt,10.5pt"/>
        </w:pict>
      </w:r>
      <w:r w:rsidR="00C10DF3" w:rsidRPr="0036584A">
        <w:rPr>
          <w:sz w:val="18"/>
          <w:szCs w:val="18"/>
        </w:rPr>
        <w:t xml:space="preserve">                                                     2</w:t>
      </w:r>
      <w:r w:rsidR="00C744E2" w:rsidRPr="0036584A">
        <w:rPr>
          <w:sz w:val="18"/>
          <w:szCs w:val="18"/>
        </w:rPr>
        <w:t xml:space="preserve">                                                          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18"/>
          <w:szCs w:val="18"/>
        </w:rPr>
      </w:pP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</w:p>
    <w:p w:rsidR="0036584A" w:rsidRDefault="0036584A" w:rsidP="005D1078">
      <w:pPr>
        <w:spacing w:line="360" w:lineRule="auto"/>
        <w:ind w:firstLine="709"/>
        <w:jc w:val="center"/>
        <w:rPr>
          <w:sz w:val="28"/>
          <w:szCs w:val="28"/>
        </w:rPr>
      </w:pPr>
    </w:p>
    <w:p w:rsidR="0036584A" w:rsidRDefault="0036584A" w:rsidP="005D107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36584A" w:rsidRDefault="0036584A" w:rsidP="005D1078">
      <w:pPr>
        <w:spacing w:line="360" w:lineRule="auto"/>
        <w:ind w:firstLine="709"/>
        <w:jc w:val="both"/>
        <w:rPr>
          <w:sz w:val="28"/>
          <w:szCs w:val="28"/>
        </w:rPr>
      </w:pP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Документооборот при аккредитивной форме расчетов: 1 — аккредитивное заявление; 2 — поручение об открытии аккредитива; 3 — извещение об открытии аккредитива; 4 — отгрузка продукции и отправка соответствующих документов; 5 — предъявление реестра счетов для немедленной оплаты.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Аккредитив учитывают на счете 55 «Специальные счета в банках», субсчет 1 «Аккредитивы».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Аккредитив может быть выставлен за счет собственных средств и за счет банковского кредита. В первом случае выставление аккредитива оформляют следующей бухгалтерской записью: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Дебет счета 55 «Специальные счета в банках», субсчет 1 «Аккредитивы»;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Кредит счета 52 «Расчетные счета».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Когда аккредитив выставляют за счет банковского кредита, составляют следующую запись: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Дебет счета 55 «Специальные счета в банках», субсчет 1 «Аккредитивы»;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Кредит счета 66 «Расчеты по краткосрочным кредитам и займам».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Оплату счетов поставщиков с аккредитивного счета оформляют следующей записью: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Дебет счета 60 «Расчеты с поставщиками и подрядчиками»;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Кредит счета 55 «Специальные счета в банках», субсчет 1 «Аккредитивы».</w:t>
      </w:r>
    </w:p>
    <w:p w:rsidR="00C744E2" w:rsidRPr="0036584A" w:rsidRDefault="00C744E2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 xml:space="preserve">Остаток неиспользованного аккредитива возвращают организации-покупателю и зачисляют на расчетный счет, если аккредитив выставлен </w:t>
      </w:r>
      <w:r w:rsidR="008B265A" w:rsidRPr="0036584A">
        <w:rPr>
          <w:sz w:val="28"/>
          <w:szCs w:val="28"/>
        </w:rPr>
        <w:t xml:space="preserve">за счет </w:t>
      </w:r>
      <w:r w:rsidRPr="0036584A">
        <w:rPr>
          <w:sz w:val="28"/>
          <w:szCs w:val="28"/>
        </w:rPr>
        <w:t>собственных средств, или пер</w:t>
      </w:r>
      <w:r w:rsidR="008B265A" w:rsidRPr="0036584A">
        <w:rPr>
          <w:sz w:val="28"/>
          <w:szCs w:val="28"/>
        </w:rPr>
        <w:t>ечисляют в погашение задолженно</w:t>
      </w:r>
      <w:r w:rsidRPr="0036584A">
        <w:rPr>
          <w:sz w:val="28"/>
          <w:szCs w:val="28"/>
        </w:rPr>
        <w:t>сти по ссуде, если аккредитив выставлен за счет банковского кредита.</w:t>
      </w:r>
    </w:p>
    <w:p w:rsidR="008B265A" w:rsidRPr="0036584A" w:rsidRDefault="008B265A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К недостаткам аккредитивной формы расчетов следует отнести замораживание средств покупателей на период действия аккредитива до его фактического использования, а также возможность задержки отгрузки продукции поставщиком до поступления аккредитива. Вместе с тем она гарантирует немедленную оплату счетов поставщиков и способствует соблюдению расчетно-платежной дисциплины.</w:t>
      </w:r>
    </w:p>
    <w:p w:rsidR="008B265A" w:rsidRPr="0036584A" w:rsidRDefault="008B265A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Расчеты чеками. Расчетный чек содержит письменное поручение владельца счета (чекодателя) обслуживающему его банку на перечисление указанной в чеке суммы денег с его счета на счет получателя средств (чекодержателя). Данная форма расчетов в последние годы все шире используется при одногородних расчетах (особенно для расчетов с транспортными организациями).</w:t>
      </w:r>
    </w:p>
    <w:p w:rsidR="008B265A" w:rsidRPr="0036584A" w:rsidRDefault="008B265A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Порядок и условия использования чеков в платежном обороте регулируются Гражданским кодексом РФ, а в части, им не урегулированной, другими законами и устанавливаемыми в соответствии с ними банковскими правилами.</w:t>
      </w:r>
    </w:p>
    <w:p w:rsidR="008B265A" w:rsidRPr="0036584A" w:rsidRDefault="008B265A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Бланки чеков являются бланками строгой отчетности. Их хранение осуществляется в порядке, установленном нормативными актами Банка России.</w:t>
      </w:r>
    </w:p>
    <w:p w:rsidR="008B265A" w:rsidRPr="0036584A" w:rsidRDefault="0081243F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В соответствии с Положением (2</w:t>
      </w:r>
      <w:r w:rsidR="008B265A" w:rsidRPr="0036584A">
        <w:rPr>
          <w:sz w:val="28"/>
          <w:szCs w:val="28"/>
        </w:rPr>
        <w:t>) для осуществления безналичных расчетов могут применяться чеки, выпускаемые кредитными организациями. Эти чеки могут использоваться клиентами данной кредитной организации, а также в межбанковских расчетах при наличии корреспондентских отношений. Вместе с тем они не могут применяться для расчетов через подразделения расчетной сети Банка России.</w:t>
      </w:r>
    </w:p>
    <w:p w:rsidR="008B265A" w:rsidRPr="0036584A" w:rsidRDefault="008B265A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При поступлении товаров (оказании услуг) плательщик выписывает чек из книжки и передает представителю поставщика или под-рядчика, который становится чекодержателем, Чекодержатель представляет выписанный чек в свое учреждение банка, как правило, на следующий день со дня выписки для зачисления денег на его расчетный счет.</w:t>
      </w:r>
    </w:p>
    <w:p w:rsidR="0036584A" w:rsidRDefault="008B265A" w:rsidP="005D1078">
      <w:pPr>
        <w:spacing w:line="360" w:lineRule="auto"/>
        <w:ind w:firstLine="709"/>
        <w:jc w:val="both"/>
        <w:rPr>
          <w:sz w:val="28"/>
          <w:szCs w:val="28"/>
        </w:rPr>
      </w:pPr>
      <w:r w:rsidRPr="0036584A">
        <w:rPr>
          <w:sz w:val="28"/>
          <w:szCs w:val="28"/>
        </w:rPr>
        <w:t>Депонирование средств при выдаче чековых книжек у плательщика учитывается на счете 55 «Специальные счета в банках», субсчет 2 «Чековые книжки», с кредита счетов 51 «Расчетные счета», 66 «Расчеты по краткосрочным кредитам и займам» и других подобных счетов. По мере оплаты задолженности чеками их списывают с кредита счета 55 в дебет счета 76 «Расчеты с разными дебиторами и кредиторами» и других подобных счетов.</w:t>
      </w:r>
    </w:p>
    <w:p w:rsidR="00B451E8" w:rsidRDefault="0036584A" w:rsidP="005D10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51E8" w:rsidRPr="0036584A">
        <w:rPr>
          <w:sz w:val="28"/>
          <w:szCs w:val="28"/>
        </w:rPr>
        <w:t>Список литературы.</w:t>
      </w:r>
    </w:p>
    <w:p w:rsidR="0036584A" w:rsidRPr="0036584A" w:rsidRDefault="0036584A" w:rsidP="005D1078">
      <w:pPr>
        <w:spacing w:line="360" w:lineRule="auto"/>
        <w:ind w:firstLine="709"/>
        <w:jc w:val="both"/>
        <w:rPr>
          <w:sz w:val="28"/>
          <w:szCs w:val="28"/>
        </w:rPr>
      </w:pPr>
    </w:p>
    <w:p w:rsidR="00B451E8" w:rsidRPr="0036584A" w:rsidRDefault="00B451E8" w:rsidP="005D1078">
      <w:pPr>
        <w:spacing w:line="360" w:lineRule="auto"/>
        <w:ind w:firstLine="709"/>
        <w:rPr>
          <w:sz w:val="28"/>
          <w:szCs w:val="28"/>
        </w:rPr>
      </w:pPr>
      <w:r w:rsidRPr="0036584A">
        <w:rPr>
          <w:sz w:val="28"/>
          <w:szCs w:val="28"/>
        </w:rPr>
        <w:t>1.</w:t>
      </w:r>
      <w:r w:rsidR="00531870" w:rsidRPr="0036584A">
        <w:rPr>
          <w:sz w:val="28"/>
          <w:szCs w:val="28"/>
        </w:rPr>
        <w:t xml:space="preserve"> Бухгалтерский учёт, учебное пособие. Издание 4-е, переработанное и дополненное. Н. П. Кондраков, М.: Инфра-М </w:t>
      </w:r>
      <w:smartTag w:uri="urn:schemas-microsoft-com:office:smarttags" w:element="metricconverter">
        <w:smartTagPr>
          <w:attr w:name="ProductID" w:val="2003 г"/>
        </w:smartTagPr>
        <w:r w:rsidR="00531870" w:rsidRPr="0036584A">
          <w:rPr>
            <w:sz w:val="28"/>
            <w:szCs w:val="28"/>
          </w:rPr>
          <w:t>2003 г</w:t>
        </w:r>
      </w:smartTag>
      <w:r w:rsidR="00531870" w:rsidRPr="0036584A">
        <w:rPr>
          <w:sz w:val="28"/>
          <w:szCs w:val="28"/>
        </w:rPr>
        <w:t>.</w:t>
      </w:r>
    </w:p>
    <w:p w:rsidR="00716589" w:rsidRPr="0036584A" w:rsidRDefault="00716589" w:rsidP="005D1078">
      <w:pPr>
        <w:spacing w:line="360" w:lineRule="auto"/>
        <w:ind w:firstLine="709"/>
        <w:rPr>
          <w:sz w:val="28"/>
          <w:szCs w:val="28"/>
        </w:rPr>
      </w:pPr>
      <w:r w:rsidRPr="0036584A">
        <w:rPr>
          <w:sz w:val="28"/>
          <w:szCs w:val="28"/>
        </w:rPr>
        <w:t xml:space="preserve">2. Положение по бухгалтерскому учёту "Учёт договоров (контрактов) на капитальное строительство". ПБУ 2/94. Утверждено приказом Минфина РФ от 20.12.1994 г. </w:t>
      </w:r>
      <w:r w:rsidR="0081243F" w:rsidRPr="0036584A">
        <w:rPr>
          <w:sz w:val="28"/>
          <w:szCs w:val="28"/>
        </w:rPr>
        <w:t>№ 167.</w:t>
      </w:r>
      <w:bookmarkStart w:id="0" w:name="_GoBack"/>
      <w:bookmarkEnd w:id="0"/>
    </w:p>
    <w:sectPr w:rsidR="00716589" w:rsidRPr="0036584A" w:rsidSect="005D107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33" w:rsidRDefault="00294533">
      <w:r>
        <w:separator/>
      </w:r>
    </w:p>
  </w:endnote>
  <w:endnote w:type="continuationSeparator" w:id="0">
    <w:p w:rsidR="00294533" w:rsidRDefault="0029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C5" w:rsidRDefault="009838C5" w:rsidP="006E474D">
    <w:pPr>
      <w:pStyle w:val="a3"/>
      <w:framePr w:wrap="around" w:vAnchor="text" w:hAnchor="margin" w:xAlign="right" w:y="1"/>
      <w:rPr>
        <w:rStyle w:val="a5"/>
      </w:rPr>
    </w:pPr>
  </w:p>
  <w:p w:rsidR="009838C5" w:rsidRDefault="009838C5" w:rsidP="009838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C5" w:rsidRDefault="008A5FF4" w:rsidP="006E474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838C5" w:rsidRDefault="009838C5" w:rsidP="009838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33" w:rsidRDefault="00294533">
      <w:r>
        <w:separator/>
      </w:r>
    </w:p>
  </w:footnote>
  <w:footnote w:type="continuationSeparator" w:id="0">
    <w:p w:rsidR="00294533" w:rsidRDefault="0029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666C9"/>
    <w:multiLevelType w:val="hybridMultilevel"/>
    <w:tmpl w:val="7D220B98"/>
    <w:lvl w:ilvl="0" w:tplc="093A5990">
      <w:start w:val="5"/>
      <w:numFmt w:val="decimal"/>
      <w:lvlText w:val="%1"/>
      <w:lvlJc w:val="left"/>
      <w:pPr>
        <w:tabs>
          <w:tab w:val="num" w:pos="1560"/>
        </w:tabs>
        <w:ind w:left="156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15"/>
    <w:rsid w:val="000846B7"/>
    <w:rsid w:val="00105F65"/>
    <w:rsid w:val="00135515"/>
    <w:rsid w:val="00175C3C"/>
    <w:rsid w:val="001877C8"/>
    <w:rsid w:val="00272021"/>
    <w:rsid w:val="00294533"/>
    <w:rsid w:val="002A4BB9"/>
    <w:rsid w:val="00304E26"/>
    <w:rsid w:val="0036584A"/>
    <w:rsid w:val="004C2526"/>
    <w:rsid w:val="00531870"/>
    <w:rsid w:val="0057344E"/>
    <w:rsid w:val="005A6604"/>
    <w:rsid w:val="005D1078"/>
    <w:rsid w:val="006521AD"/>
    <w:rsid w:val="006B1E64"/>
    <w:rsid w:val="006E474D"/>
    <w:rsid w:val="00716589"/>
    <w:rsid w:val="00780235"/>
    <w:rsid w:val="0081243F"/>
    <w:rsid w:val="008A5FF4"/>
    <w:rsid w:val="008B265A"/>
    <w:rsid w:val="009365BD"/>
    <w:rsid w:val="00981A22"/>
    <w:rsid w:val="009838C5"/>
    <w:rsid w:val="00A7167B"/>
    <w:rsid w:val="00B451E8"/>
    <w:rsid w:val="00BC0B4C"/>
    <w:rsid w:val="00C10DF3"/>
    <w:rsid w:val="00C744E2"/>
    <w:rsid w:val="00CA15CD"/>
    <w:rsid w:val="00CD5A10"/>
    <w:rsid w:val="00DE15DA"/>
    <w:rsid w:val="00E11346"/>
    <w:rsid w:val="00E834E4"/>
    <w:rsid w:val="00F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9F52160F-7CE0-4E5E-8B48-A703B1F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5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E1134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9838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9838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Chris Malder</dc:creator>
  <cp:keywords/>
  <dc:description/>
  <cp:lastModifiedBy>admin</cp:lastModifiedBy>
  <cp:revision>2</cp:revision>
  <cp:lastPrinted>2006-12-09T10:07:00Z</cp:lastPrinted>
  <dcterms:created xsi:type="dcterms:W3CDTF">2014-03-01T15:01:00Z</dcterms:created>
  <dcterms:modified xsi:type="dcterms:W3CDTF">2014-03-01T15:01:00Z</dcterms:modified>
</cp:coreProperties>
</file>