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15E6" w:rsidRPr="00DA15E6" w:rsidRDefault="00951D5D" w:rsidP="00DA15E6">
      <w:pPr>
        <w:pStyle w:val="2"/>
      </w:pPr>
      <w:bookmarkStart w:id="0" w:name="_Toc445646147"/>
      <w:bookmarkStart w:id="1" w:name="_Toc448075666"/>
      <w:r w:rsidRPr="00DA15E6">
        <w:t>Система обязательного медицинского страхования</w:t>
      </w:r>
      <w:bookmarkEnd w:id="0"/>
      <w:bookmarkEnd w:id="1"/>
      <w:r w:rsidR="003A4298" w:rsidRPr="00DA15E6">
        <w:t xml:space="preserve"> в России</w:t>
      </w:r>
    </w:p>
    <w:p w:rsidR="00DA15E6" w:rsidRDefault="00DA15E6" w:rsidP="00DA15E6">
      <w:pPr>
        <w:widowControl w:val="0"/>
        <w:autoSpaceDE w:val="0"/>
        <w:autoSpaceDN w:val="0"/>
        <w:adjustRightInd w:val="0"/>
        <w:ind w:firstLine="709"/>
      </w:pP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В 2001 году был принят Закон "О медицинском страховании граждан в Российской Федерации", который вступил в силу с 2003 г</w:t>
      </w:r>
      <w:r w:rsidR="00DA15E6" w:rsidRPr="00DA15E6">
        <w:t xml:space="preserve">. </w:t>
      </w:r>
      <w:r w:rsidRPr="00DA15E6">
        <w:t>Основная задача по реализации закона была возложена на Федеральный фонд обязательного медицинского страхования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Целью введения обязательного медицинского страхования (ОМС</w:t>
      </w:r>
      <w:r w:rsidR="00DA15E6" w:rsidRPr="00DA15E6">
        <w:t xml:space="preserve">) </w:t>
      </w:r>
      <w:r w:rsidRPr="00DA15E6">
        <w:t>как формы социальной защиты населения в охране здоровья является обеспечение конституционных прав граждан на получение гарантированного объема бесплатной медицинской помощи за счет формирования стабильного целевого источника финансирования здравоохранения</w:t>
      </w:r>
      <w:r w:rsidR="00DA15E6" w:rsidRPr="00DA15E6">
        <w:t xml:space="preserve">. </w:t>
      </w:r>
      <w:r w:rsidRPr="00DA15E6">
        <w:t>Переход к ОМС ознаменовал изменение концептуальных подходов к формированию государственной политики в области здравоохранения и ориентацию на создание современной, эффективной, адекватной реальной экономической ситуации системы здравоохранения на новой основе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Для освоения специфики и навыков молодой системы Федеральным фондом было организовано обучение сотрудников как в стране, так и за рубежом по основным направлениям, связанным с развитием экономических отношений в сфере здравоохранения, лекарственного обеспечения и внедрению юридических основ защиты прав пациентов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Принятый закон о медицинском страховании содержал 28 достаточно общих статей, не вполне четко описывающих систему ОМС и отношения между ее участниками</w:t>
      </w:r>
      <w:r w:rsidR="00DA15E6" w:rsidRPr="00DA15E6">
        <w:t xml:space="preserve">. </w:t>
      </w:r>
      <w:r w:rsidRPr="00DA15E6">
        <w:t>В процессе кропотливой работы с Правительством РФ, Государственной Думой, администрациями субъектов Федерации, руководителями территориальных фондов ОМС и органов управлениями здравоохранением в сжатые сроки были сформулированы принципы нормативно-правовой базы, для создания которой было подготовлено принятие более 100 важнейших государственных документов и нормативных актов, в том числе совместных с Минздравом, Минфином, Центробанком РФ, Госналогслужбой, Росстрахнадзором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Созданная нормативная база позволила выстроить взаимоотношения предприятий, фондов ОМС, страховых медицинских организаций, лечебных учреждений на юридической и экономической основе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Важным этапом работы стало создание стройной системы сбора страховых взносов специальным персоналом территориальных фондов ОМС</w:t>
      </w:r>
      <w:r w:rsidR="00DA15E6" w:rsidRPr="00DA15E6">
        <w:t xml:space="preserve">. </w:t>
      </w:r>
      <w:r w:rsidRPr="00DA15E6">
        <w:t>Высокий уровень сбора страховых взносов (более 90% в 2007 г</w:t>
      </w:r>
      <w:r w:rsidR="00DA15E6" w:rsidRPr="00DA15E6">
        <w:t xml:space="preserve">) </w:t>
      </w:r>
      <w:r w:rsidRPr="00DA15E6">
        <w:t>позволяет обеспечивать работу лечебных учреждений, входящих в систему ОМС, и финансировать медицинскую помощь, оказываемую более чем 80% населения страны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За пять лет средства обязательного медицинского страхования составили 70 трлн</w:t>
      </w:r>
      <w:r w:rsidR="00DA15E6" w:rsidRPr="00DA15E6">
        <w:t xml:space="preserve">. </w:t>
      </w:r>
      <w:r w:rsidRPr="00DA15E6">
        <w:t>неденоминированных рублей</w:t>
      </w:r>
      <w:r w:rsidR="00DA15E6" w:rsidRPr="00DA15E6">
        <w:t xml:space="preserve">. </w:t>
      </w:r>
      <w:r w:rsidRPr="00DA15E6">
        <w:t>Однако, в связи с общим кризисом в стране растет задолженность плательщиков по страховым взносам и платежам в систему ОМС</w:t>
      </w:r>
      <w:r w:rsidR="00DA15E6" w:rsidRPr="00DA15E6">
        <w:t xml:space="preserve">. </w:t>
      </w:r>
      <w:r w:rsidRPr="00DA15E6">
        <w:t>Поэтому Федеральный фонд ОМС инициировал подготовку проекта Указа президента РФ №136 от 6 февраля 2006 г</w:t>
      </w:r>
      <w:r w:rsidR="00DA15E6" w:rsidRPr="00DA15E6">
        <w:t xml:space="preserve">. </w:t>
      </w:r>
      <w:r w:rsidRPr="00DA15E6">
        <w:t>"О мерах по стабилизации финансовой системы обязательного медицинского страхования", позволяющего во многом решить проблему неплатежей страховых взносов и увеличить поступление средств на оплату медицинской помощи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Важнейшим направлением деятельности Федерального фонда является обеспечение финансовой устойчивости системы ОМС путем выравнивания возможностей субъектов Российской Федерации по финансированию территориальных программ обязательного медицинского страхования через механизм субвенций Федерального фонда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Финансовая помощь была оказана практически всем субъектам РФ на сумму 1,9 трлн</w:t>
      </w:r>
      <w:r w:rsidR="00DA15E6" w:rsidRPr="00DA15E6">
        <w:t xml:space="preserve">. </w:t>
      </w:r>
      <w:r w:rsidRPr="00DA15E6">
        <w:t>рублей</w:t>
      </w:r>
      <w:r w:rsidR="00DA15E6" w:rsidRPr="00DA15E6">
        <w:t xml:space="preserve">. </w:t>
      </w:r>
      <w:r w:rsidRPr="00DA15E6">
        <w:t>Эти средства были направлены на выплату заработной платы медицинским работникам, материально-техническое и лекарственное обеспечение медицинских учреждений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Кроме того, Федеральный фонд ОМС принимал участие в финансировании ряда целевых программ, в частности по охране материнства и детства, вакцинопрофилактике, медицинскому и лекарственному обеспечению участников Великой Отечественной войны и пострадавшим в результате катастрофы на Чернобыльской АЭС, на общую сумму 545,4 млрд</w:t>
      </w:r>
      <w:r w:rsidR="00DA15E6" w:rsidRPr="00DA15E6">
        <w:t xml:space="preserve">. </w:t>
      </w:r>
      <w:r w:rsidRPr="00DA15E6">
        <w:t>руб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Средства ОМС как источник финансирования лечебно-профилактических учреждений позволили обеспечить гарантированную оплату труда медицинским работникам, при этом уровень финансирования лечебно-профилактического учреждения ставится в прямую зависимость от объемов, качества и достигнутых результатов по лечению застрахованных граждан</w:t>
      </w:r>
      <w:r w:rsidR="00DA15E6" w:rsidRPr="00DA15E6">
        <w:t xml:space="preserve">. </w:t>
      </w:r>
      <w:r w:rsidRPr="00DA15E6">
        <w:t>Новые условия финансирования ЛПУ за оказанную медицинскую помощь в системе обязательного медицинского страхования потребовали решения проблемы учета застрахованных и определения индивидуального объема потребляемой медицинской помощи</w:t>
      </w:r>
      <w:r w:rsidR="00DA15E6" w:rsidRPr="00DA15E6">
        <w:t xml:space="preserve">. </w:t>
      </w:r>
      <w:r w:rsidRPr="00DA15E6">
        <w:t>Решению этой задачи способствовали введение единого полиса ОМС в виде пластиковой карты с микросхемой и организация индивидуального учета граждан для целей обязательного медицинского страхования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Проблему формирования кадрового потенциала Федеральный фонд рассматривает как основную стратегическую задачу</w:t>
      </w:r>
      <w:r w:rsidR="00DA15E6" w:rsidRPr="00DA15E6">
        <w:t xml:space="preserve">. </w:t>
      </w:r>
      <w:r w:rsidRPr="00DA15E6">
        <w:t>Для решения этой задачи была создана комплексная система повышения квалификации, подготовки и переподготовки специалистов, предусматривающая общее повышение квалификации по организационным, экономическим, юридическим и финансовым проблемам внедрения ОМС</w:t>
      </w:r>
      <w:r w:rsidR="00DA15E6" w:rsidRPr="00DA15E6">
        <w:t xml:space="preserve">. </w:t>
      </w:r>
      <w:r w:rsidRPr="00DA15E6">
        <w:t>Центральным моментом для дальнейшего развития системы ОМС является формирование единой статистической и информационно-аналитической системы на основе разработанной Федеральным комитетом комплексной программы информатизации отрасли с использованием современных компьютерных технологий, средств связи и программного обеспечения, соответствующего новейшим достижениям в этой области</w:t>
      </w:r>
      <w:r w:rsidR="00DA15E6" w:rsidRPr="00DA15E6"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 xml:space="preserve">Практика реализации Закона о медицинском страховании выявила комплекс нерешенных проблем, в частности, острейший дефицит финансовых средств по бюджетным и внебюджетным источникам, отсутствие должного исполнения закона рядом субъектов Федерации, медленное осуществление структурной перестройки и </w:t>
      </w:r>
      <w:r w:rsidR="00DA15E6" w:rsidRPr="00DA15E6">
        <w:t xml:space="preserve">т.д.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В течение 5 лет перед Федеральным и территориальными фондами ОМС одной из приоритетных оставалась задача по обеспечению полной регистрации юридических и физических лиц, предпринимателей без образования юридического лица и других категорий плательщиков страховых взносов на обязательное медицинское страхование</w:t>
      </w:r>
      <w:r w:rsidR="00DA15E6" w:rsidRPr="00DA15E6">
        <w:t xml:space="preserve">. </w:t>
      </w:r>
      <w:r w:rsidRPr="00DA15E6">
        <w:t>В результате количество зарегистрированных плательщиков по данным на 1 января 2007 г</w:t>
      </w:r>
      <w:r w:rsidR="00DA15E6" w:rsidRPr="00DA15E6">
        <w:t xml:space="preserve">. </w:t>
      </w:r>
      <w:r w:rsidRPr="00DA15E6">
        <w:t>возросло в 2,5 раза по отношению к 1 января 2006 г</w:t>
      </w:r>
      <w:r w:rsidR="00DA15E6" w:rsidRPr="00DA15E6">
        <w:t xml:space="preserve">. </w:t>
      </w:r>
      <w:r w:rsidRPr="00DA15E6">
        <w:t>и составило 3740127 единиц</w:t>
      </w:r>
      <w:r w:rsidR="00DA15E6" w:rsidRPr="00DA15E6">
        <w:t xml:space="preserve">. </w:t>
      </w:r>
      <w:r w:rsidRPr="00DA15E6">
        <w:t>Таким образом, оно стало соизмеримым базе плательщиков органов Госналогслужбы РФ и Пенсионного фонда РФ, что позволило получить платежей на общую сумму более 40 трлн</w:t>
      </w:r>
      <w:r w:rsidR="00DA15E6" w:rsidRPr="00DA15E6">
        <w:t xml:space="preserve">. </w:t>
      </w:r>
      <w:r w:rsidRPr="00DA15E6">
        <w:t>руб</w:t>
      </w:r>
      <w:r w:rsidR="00DA15E6" w:rsidRPr="00DA15E6">
        <w:t xml:space="preserve">. </w:t>
      </w:r>
      <w:r w:rsidRPr="00DA15E6">
        <w:t>(табл</w:t>
      </w:r>
      <w:r w:rsidR="00DA15E6">
        <w:t>.1</w:t>
      </w:r>
      <w:r w:rsidR="00DA15E6" w:rsidRPr="00DA15E6">
        <w:t xml:space="preserve">). </w:t>
      </w:r>
    </w:p>
    <w:p w:rsidR="00DA15E6" w:rsidRDefault="00DA15E6" w:rsidP="00DA15E6">
      <w:pPr>
        <w:widowControl w:val="0"/>
        <w:autoSpaceDE w:val="0"/>
        <w:autoSpaceDN w:val="0"/>
        <w:adjustRightInd w:val="0"/>
        <w:ind w:firstLine="709"/>
      </w:pP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</w:pPr>
      <w:r w:rsidRPr="00DA15E6">
        <w:t>Таблица 1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left="708" w:firstLine="1"/>
      </w:pPr>
      <w:r w:rsidRPr="00DA15E6">
        <w:t>Динамика сбора страховых взносов по территориальным фондам ОМС в млрд</w:t>
      </w:r>
      <w:r w:rsidR="00DA15E6" w:rsidRPr="00DA15E6">
        <w:t xml:space="preserve">. </w:t>
      </w:r>
      <w:r w:rsidRPr="00DA15E6">
        <w:t>руб</w:t>
      </w:r>
      <w:r w:rsidR="00DA15E6" w:rsidRPr="00DA15E6">
        <w:t xml:space="preserve">. </w:t>
      </w:r>
    </w:p>
    <w:tbl>
      <w:tblPr>
        <w:tblW w:w="4682" w:type="pct"/>
        <w:tblInd w:w="1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2791"/>
        <w:gridCol w:w="1083"/>
        <w:gridCol w:w="1083"/>
        <w:gridCol w:w="1082"/>
        <w:gridCol w:w="1082"/>
        <w:gridCol w:w="1839"/>
      </w:tblGrid>
      <w:tr w:rsidR="00951D5D" w:rsidRPr="00DA15E6" w:rsidTr="00DA15E6">
        <w:trPr>
          <w:cantSplit/>
        </w:trPr>
        <w:tc>
          <w:tcPr>
            <w:tcW w:w="1557" w:type="pct"/>
          </w:tcPr>
          <w:p w:rsidR="00951D5D" w:rsidRPr="00DA15E6" w:rsidRDefault="00951D5D" w:rsidP="00DA15E6">
            <w:pPr>
              <w:pStyle w:val="aff2"/>
            </w:pPr>
          </w:p>
        </w:tc>
        <w:tc>
          <w:tcPr>
            <w:tcW w:w="604" w:type="pct"/>
          </w:tcPr>
          <w:p w:rsidR="00951D5D" w:rsidRPr="00DA15E6" w:rsidRDefault="00951D5D" w:rsidP="00DA15E6">
            <w:pPr>
              <w:pStyle w:val="aff2"/>
            </w:pPr>
            <w:r w:rsidRPr="00DA15E6">
              <w:t>2004 г</w:t>
            </w:r>
            <w:r w:rsidR="00DA15E6" w:rsidRPr="00DA15E6">
              <w:t xml:space="preserve">. </w:t>
            </w:r>
          </w:p>
        </w:tc>
        <w:tc>
          <w:tcPr>
            <w:tcW w:w="604" w:type="pct"/>
          </w:tcPr>
          <w:p w:rsidR="00951D5D" w:rsidRPr="00DA15E6" w:rsidRDefault="00951D5D" w:rsidP="00DA15E6">
            <w:pPr>
              <w:pStyle w:val="aff2"/>
            </w:pPr>
            <w:r w:rsidRPr="00DA15E6">
              <w:t>2005 г</w:t>
            </w:r>
            <w:r w:rsidR="00DA15E6" w:rsidRPr="00DA15E6">
              <w:t xml:space="preserve">. </w:t>
            </w:r>
          </w:p>
        </w:tc>
        <w:tc>
          <w:tcPr>
            <w:tcW w:w="604" w:type="pct"/>
          </w:tcPr>
          <w:p w:rsidR="00951D5D" w:rsidRPr="00DA15E6" w:rsidRDefault="00951D5D" w:rsidP="00DA15E6">
            <w:pPr>
              <w:pStyle w:val="aff2"/>
            </w:pPr>
            <w:r w:rsidRPr="00DA15E6">
              <w:t>2006 г</w:t>
            </w:r>
            <w:r w:rsidR="00DA15E6" w:rsidRPr="00DA15E6">
              <w:t xml:space="preserve">. </w:t>
            </w:r>
          </w:p>
        </w:tc>
        <w:tc>
          <w:tcPr>
            <w:tcW w:w="604" w:type="pct"/>
          </w:tcPr>
          <w:p w:rsidR="00951D5D" w:rsidRPr="00DA15E6" w:rsidRDefault="00951D5D" w:rsidP="00DA15E6">
            <w:pPr>
              <w:pStyle w:val="aff2"/>
            </w:pPr>
            <w:r w:rsidRPr="00DA15E6">
              <w:t>2007 г</w:t>
            </w:r>
            <w:r w:rsidR="00DA15E6" w:rsidRPr="00DA15E6">
              <w:t xml:space="preserve">. </w:t>
            </w:r>
          </w:p>
        </w:tc>
        <w:tc>
          <w:tcPr>
            <w:tcW w:w="1026" w:type="pct"/>
          </w:tcPr>
          <w:p w:rsidR="00951D5D" w:rsidRPr="00DA15E6" w:rsidRDefault="00951D5D" w:rsidP="00DA15E6">
            <w:pPr>
              <w:pStyle w:val="aff2"/>
            </w:pPr>
            <w:r w:rsidRPr="00DA15E6">
              <w:t>Всего 2004-2007</w:t>
            </w:r>
          </w:p>
        </w:tc>
      </w:tr>
      <w:tr w:rsidR="00951D5D" w:rsidRPr="00DA15E6" w:rsidTr="00DA15E6">
        <w:trPr>
          <w:cantSplit/>
        </w:trPr>
        <w:tc>
          <w:tcPr>
            <w:tcW w:w="1557" w:type="pct"/>
          </w:tcPr>
          <w:p w:rsidR="00951D5D" w:rsidRPr="00DA15E6" w:rsidRDefault="00951D5D" w:rsidP="00DA15E6">
            <w:pPr>
              <w:pStyle w:val="aff2"/>
            </w:pPr>
            <w:r w:rsidRPr="00DA15E6">
              <w:t>Сумма перечисленных страховых взносов</w:t>
            </w:r>
          </w:p>
        </w:tc>
        <w:tc>
          <w:tcPr>
            <w:tcW w:w="604" w:type="pct"/>
          </w:tcPr>
          <w:p w:rsidR="00951D5D" w:rsidRPr="00DA15E6" w:rsidRDefault="00951D5D" w:rsidP="00DA15E6">
            <w:pPr>
              <w:pStyle w:val="aff2"/>
            </w:pPr>
            <w:r w:rsidRPr="00DA15E6">
              <w:t>3 507</w:t>
            </w:r>
          </w:p>
        </w:tc>
        <w:tc>
          <w:tcPr>
            <w:tcW w:w="604" w:type="pct"/>
          </w:tcPr>
          <w:p w:rsidR="00951D5D" w:rsidRPr="00DA15E6" w:rsidRDefault="00951D5D" w:rsidP="00DA15E6">
            <w:pPr>
              <w:pStyle w:val="aff2"/>
            </w:pPr>
            <w:r w:rsidRPr="00DA15E6">
              <w:t>8 447</w:t>
            </w:r>
          </w:p>
        </w:tc>
        <w:tc>
          <w:tcPr>
            <w:tcW w:w="604" w:type="pct"/>
          </w:tcPr>
          <w:p w:rsidR="00951D5D" w:rsidRPr="00DA15E6" w:rsidRDefault="00951D5D" w:rsidP="00DA15E6">
            <w:pPr>
              <w:pStyle w:val="aff2"/>
            </w:pPr>
            <w:r w:rsidRPr="00DA15E6">
              <w:t>12 497</w:t>
            </w:r>
          </w:p>
        </w:tc>
        <w:tc>
          <w:tcPr>
            <w:tcW w:w="604" w:type="pct"/>
          </w:tcPr>
          <w:p w:rsidR="00951D5D" w:rsidRPr="00DA15E6" w:rsidRDefault="00951D5D" w:rsidP="00DA15E6">
            <w:pPr>
              <w:pStyle w:val="aff2"/>
            </w:pPr>
            <w:r w:rsidRPr="00DA15E6">
              <w:t>19 319</w:t>
            </w:r>
          </w:p>
        </w:tc>
        <w:tc>
          <w:tcPr>
            <w:tcW w:w="1026" w:type="pct"/>
          </w:tcPr>
          <w:p w:rsidR="00951D5D" w:rsidRPr="00DA15E6" w:rsidRDefault="00951D5D" w:rsidP="00DA15E6">
            <w:pPr>
              <w:pStyle w:val="aff2"/>
            </w:pPr>
            <w:r w:rsidRPr="00DA15E6">
              <w:t>43 770</w:t>
            </w:r>
          </w:p>
        </w:tc>
      </w:tr>
    </w:tbl>
    <w:p w:rsidR="00DA15E6" w:rsidRDefault="00DA15E6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В результате контрольной деятельности фондов за 2007 г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начислено штрафных санкций на сумму 27572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Несмотря на увеличение суммы начислений, сумма полученных штрафных санкций имеет тенденцию к снижению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Основная причина в том, что при наличии кризиса неплатежей взимание штрафных санкций плательщиков в размере 1% в день от суммы недоимки становится практически невыполнимым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Другая серьезная проблема – это сбор платежей на обязательное медицинское страхование неработающего населения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Задолженность органов исполнительной власти по платежам на обязательное медицинское страхование неработающего населения в целом по России возросла к 1 января 2008 г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до 6 900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Всего в территориальные фонды за 2003-2007 годы поступило 70,9 трлн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 w:rsidRPr="00DA15E6">
        <w:rPr>
          <w:color w:val="000000"/>
        </w:rPr>
        <w:t>.,</w:t>
      </w:r>
      <w:r w:rsidRPr="00DA15E6">
        <w:rPr>
          <w:color w:val="000000"/>
        </w:rPr>
        <w:t xml:space="preserve"> из них за счет страховых взносов предприятий – 43,8 трлн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 и платежей из бюджета на обязательное медицинское страхование неработающего населения – 17,5 трлн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Кроме основных источников, за указанный период дополнительно привлечено в здравоохранение 1,3 трлн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рублей, полученных от размещения временно свободных средств в банковских депозитах и приобретения государственных ценных бумаг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За счет осуществления фондами ОМС функций по учету страховых взносов (платежей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на ОМС и контролю за своевременностью и полнотой их перечисления за 2003-2007 годы взыскано с плательщиков дополнительно средств (штрафы, пени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в сумме 3,3 трлн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Расходы территориальных фондов за истекший период составили 69,3 трлн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рублей, из них на осуществление основной функции системы обязательного медицинского страхования в соответствии с действующим законодательством финансирование территориальных программ ОМС – 55,8 трлн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 (табл</w:t>
      </w:r>
      <w:r w:rsidR="00DA15E6">
        <w:rPr>
          <w:color w:val="000000"/>
        </w:rPr>
        <w:t>.2</w:t>
      </w:r>
      <w:r w:rsidRPr="00DA15E6">
        <w:rPr>
          <w:color w:val="000000"/>
        </w:rPr>
        <w:t xml:space="preserve">, </w:t>
      </w:r>
      <w:r w:rsidR="00DA15E6">
        <w:rPr>
          <w:color w:val="000000"/>
        </w:rPr>
        <w:t>рис.2</w:t>
      </w:r>
      <w:r w:rsidR="00DA15E6" w:rsidRPr="00DA15E6">
        <w:rPr>
          <w:color w:val="000000"/>
        </w:rPr>
        <w:t xml:space="preserve">). </w:t>
      </w:r>
    </w:p>
    <w:p w:rsidR="00DA15E6" w:rsidRDefault="00DA15E6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Таблица 2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left="708" w:firstLine="1"/>
        <w:rPr>
          <w:color w:val="000000"/>
        </w:rPr>
      </w:pPr>
      <w:r w:rsidRPr="00DA15E6">
        <w:rPr>
          <w:color w:val="000000"/>
        </w:rPr>
        <w:t>Динамика расходов территориальных фондов обязательного медицинского страхования (млрд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>
        <w:rPr>
          <w:color w:val="000000"/>
        </w:rPr>
        <w:t>.</w:t>
      </w:r>
      <w:r w:rsidR="00DA15E6" w:rsidRPr="00DA15E6">
        <w:rPr>
          <w:color w:val="000000"/>
        </w:rPr>
        <w:t xml:space="preserve">) </w:t>
      </w:r>
    </w:p>
    <w:tbl>
      <w:tblPr>
        <w:tblW w:w="4682" w:type="pct"/>
        <w:tblInd w:w="2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2332"/>
        <w:gridCol w:w="1142"/>
        <w:gridCol w:w="1140"/>
        <w:gridCol w:w="1140"/>
        <w:gridCol w:w="1140"/>
        <w:gridCol w:w="1140"/>
        <w:gridCol w:w="926"/>
      </w:tblGrid>
      <w:tr w:rsidR="00951D5D" w:rsidRPr="00DA15E6" w:rsidTr="00DA15E6">
        <w:trPr>
          <w:cantSplit/>
        </w:trPr>
        <w:tc>
          <w:tcPr>
            <w:tcW w:w="1302" w:type="pct"/>
          </w:tcPr>
          <w:p w:rsidR="00951D5D" w:rsidRPr="00DA15E6" w:rsidRDefault="00951D5D" w:rsidP="00DA15E6">
            <w:pPr>
              <w:pStyle w:val="aff2"/>
            </w:pPr>
          </w:p>
        </w:tc>
        <w:tc>
          <w:tcPr>
            <w:tcW w:w="637" w:type="pct"/>
          </w:tcPr>
          <w:p w:rsidR="00951D5D" w:rsidRPr="00DA15E6" w:rsidRDefault="00951D5D" w:rsidP="00DA15E6">
            <w:pPr>
              <w:pStyle w:val="aff2"/>
            </w:pPr>
            <w:r w:rsidRPr="00DA15E6">
              <w:t>2003 г</w:t>
            </w:r>
            <w:r w:rsidR="00DA15E6" w:rsidRPr="00DA15E6">
              <w:t xml:space="preserve">. 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2004 г</w:t>
            </w:r>
            <w:r w:rsidR="00DA15E6" w:rsidRPr="00DA15E6">
              <w:t xml:space="preserve">. 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2005 г</w:t>
            </w:r>
            <w:r w:rsidR="00DA15E6" w:rsidRPr="00DA15E6">
              <w:t xml:space="preserve">. 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2006 г</w:t>
            </w:r>
            <w:r w:rsidR="00DA15E6" w:rsidRPr="00DA15E6">
              <w:t xml:space="preserve">. 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2007 г</w:t>
            </w:r>
            <w:r w:rsidR="00DA15E6" w:rsidRPr="00DA15E6">
              <w:t xml:space="preserve">. </w:t>
            </w:r>
          </w:p>
        </w:tc>
        <w:tc>
          <w:tcPr>
            <w:tcW w:w="517" w:type="pct"/>
          </w:tcPr>
          <w:p w:rsidR="00951D5D" w:rsidRPr="00DA15E6" w:rsidRDefault="00951D5D" w:rsidP="00DA15E6">
            <w:pPr>
              <w:pStyle w:val="aff2"/>
            </w:pPr>
            <w:r w:rsidRPr="00DA15E6">
              <w:t>Итого</w:t>
            </w:r>
          </w:p>
        </w:tc>
      </w:tr>
      <w:tr w:rsidR="00951D5D" w:rsidRPr="00DA15E6" w:rsidTr="00DA15E6">
        <w:trPr>
          <w:cantSplit/>
        </w:trPr>
        <w:tc>
          <w:tcPr>
            <w:tcW w:w="1302" w:type="pct"/>
          </w:tcPr>
          <w:p w:rsidR="00951D5D" w:rsidRPr="00DA15E6" w:rsidRDefault="00951D5D" w:rsidP="00DA15E6">
            <w:pPr>
              <w:pStyle w:val="aff2"/>
            </w:pPr>
            <w:r w:rsidRPr="00DA15E6">
              <w:t xml:space="preserve">Израсходовано всего </w:t>
            </w:r>
          </w:p>
        </w:tc>
        <w:tc>
          <w:tcPr>
            <w:tcW w:w="637" w:type="pct"/>
          </w:tcPr>
          <w:p w:rsidR="00951D5D" w:rsidRPr="00DA15E6" w:rsidRDefault="00951D5D" w:rsidP="00DA15E6">
            <w:pPr>
              <w:pStyle w:val="aff2"/>
            </w:pPr>
            <w:r w:rsidRPr="00DA15E6">
              <w:t>404,4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5471,8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14239,1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21339,5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27834,5</w:t>
            </w:r>
          </w:p>
        </w:tc>
        <w:tc>
          <w:tcPr>
            <w:tcW w:w="517" w:type="pct"/>
          </w:tcPr>
          <w:p w:rsidR="00951D5D" w:rsidRPr="00DA15E6" w:rsidRDefault="00951D5D" w:rsidP="00DA15E6">
            <w:pPr>
              <w:pStyle w:val="aff2"/>
            </w:pPr>
            <w:r w:rsidRPr="00DA15E6">
              <w:t>69289,3</w:t>
            </w:r>
          </w:p>
        </w:tc>
      </w:tr>
      <w:tr w:rsidR="00951D5D" w:rsidRPr="00DA15E6" w:rsidTr="00DA15E6">
        <w:trPr>
          <w:cantSplit/>
        </w:trPr>
        <w:tc>
          <w:tcPr>
            <w:tcW w:w="5000" w:type="pct"/>
            <w:gridSpan w:val="7"/>
          </w:tcPr>
          <w:p w:rsidR="00951D5D" w:rsidRPr="00DA15E6" w:rsidRDefault="00951D5D" w:rsidP="00DA15E6">
            <w:pPr>
              <w:pStyle w:val="aff2"/>
            </w:pPr>
            <w:r w:rsidRPr="00DA15E6">
              <w:t>В том числе</w:t>
            </w:r>
            <w:r w:rsidR="00DA15E6" w:rsidRPr="00DA15E6">
              <w:t xml:space="preserve">: </w:t>
            </w:r>
          </w:p>
        </w:tc>
      </w:tr>
      <w:tr w:rsidR="00951D5D" w:rsidRPr="00DA15E6" w:rsidTr="00DA15E6">
        <w:trPr>
          <w:cantSplit/>
        </w:trPr>
        <w:tc>
          <w:tcPr>
            <w:tcW w:w="1302" w:type="pct"/>
          </w:tcPr>
          <w:p w:rsidR="00951D5D" w:rsidRPr="00DA15E6" w:rsidRDefault="00951D5D" w:rsidP="00DA15E6">
            <w:pPr>
              <w:pStyle w:val="aff2"/>
            </w:pPr>
            <w:r w:rsidRPr="00DA15E6">
              <w:t>Финансирование территориальной программы (вкл</w:t>
            </w:r>
            <w:r w:rsidR="00DA15E6" w:rsidRPr="00DA15E6">
              <w:t xml:space="preserve">. </w:t>
            </w:r>
            <w:r w:rsidRPr="00DA15E6">
              <w:t>СМО</w:t>
            </w:r>
            <w:r w:rsidR="00DA15E6" w:rsidRPr="00DA15E6">
              <w:t xml:space="preserve">) </w:t>
            </w:r>
          </w:p>
        </w:tc>
        <w:tc>
          <w:tcPr>
            <w:tcW w:w="637" w:type="pct"/>
          </w:tcPr>
          <w:p w:rsidR="00951D5D" w:rsidRPr="00DA15E6" w:rsidRDefault="00951D5D" w:rsidP="00DA15E6">
            <w:pPr>
              <w:pStyle w:val="aff2"/>
            </w:pPr>
            <w:r w:rsidRPr="00DA15E6">
              <w:t>149,4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3750,6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11178,5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17517,2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23275,5</w:t>
            </w:r>
          </w:p>
        </w:tc>
        <w:tc>
          <w:tcPr>
            <w:tcW w:w="517" w:type="pct"/>
          </w:tcPr>
          <w:p w:rsidR="00951D5D" w:rsidRPr="00DA15E6" w:rsidRDefault="00951D5D" w:rsidP="00DA15E6">
            <w:pPr>
              <w:pStyle w:val="aff2"/>
            </w:pPr>
            <w:r w:rsidRPr="00DA15E6">
              <w:t>55871,2</w:t>
            </w:r>
          </w:p>
        </w:tc>
      </w:tr>
      <w:tr w:rsidR="00951D5D" w:rsidRPr="00DA15E6" w:rsidTr="00DA15E6">
        <w:trPr>
          <w:cantSplit/>
        </w:trPr>
        <w:tc>
          <w:tcPr>
            <w:tcW w:w="1302" w:type="pct"/>
          </w:tcPr>
          <w:p w:rsidR="00951D5D" w:rsidRPr="00DA15E6" w:rsidRDefault="00951D5D" w:rsidP="00DA15E6">
            <w:pPr>
              <w:pStyle w:val="aff2"/>
            </w:pPr>
            <w:r w:rsidRPr="00DA15E6">
              <w:t>Финансирование отдельных мероприятий по здравоохранению</w:t>
            </w:r>
          </w:p>
        </w:tc>
        <w:tc>
          <w:tcPr>
            <w:tcW w:w="637" w:type="pct"/>
          </w:tcPr>
          <w:p w:rsidR="00951D5D" w:rsidRPr="00DA15E6" w:rsidRDefault="00951D5D" w:rsidP="00DA15E6">
            <w:pPr>
              <w:pStyle w:val="aff2"/>
            </w:pPr>
            <w:r w:rsidRPr="00DA15E6">
              <w:t>124,1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1213,0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2163,5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2696,6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3448,4</w:t>
            </w:r>
          </w:p>
        </w:tc>
        <w:tc>
          <w:tcPr>
            <w:tcW w:w="517" w:type="pct"/>
          </w:tcPr>
          <w:p w:rsidR="00951D5D" w:rsidRPr="00DA15E6" w:rsidRDefault="00951D5D" w:rsidP="00DA15E6">
            <w:pPr>
              <w:pStyle w:val="aff2"/>
            </w:pPr>
            <w:r w:rsidRPr="00DA15E6">
              <w:t>9645,6</w:t>
            </w:r>
          </w:p>
        </w:tc>
      </w:tr>
      <w:tr w:rsidR="00951D5D" w:rsidRPr="00DA15E6" w:rsidTr="00DA15E6">
        <w:trPr>
          <w:cantSplit/>
        </w:trPr>
        <w:tc>
          <w:tcPr>
            <w:tcW w:w="1302" w:type="pct"/>
          </w:tcPr>
          <w:p w:rsidR="00951D5D" w:rsidRPr="00DA15E6" w:rsidRDefault="00951D5D" w:rsidP="00DA15E6">
            <w:pPr>
              <w:pStyle w:val="aff2"/>
            </w:pPr>
            <w:r w:rsidRPr="00DA15E6">
              <w:t>Содержание территориальных фондов и филиалов</w:t>
            </w:r>
          </w:p>
        </w:tc>
        <w:tc>
          <w:tcPr>
            <w:tcW w:w="637" w:type="pct"/>
          </w:tcPr>
          <w:p w:rsidR="00951D5D" w:rsidRPr="00DA15E6" w:rsidRDefault="00951D5D" w:rsidP="00DA15E6">
            <w:pPr>
              <w:pStyle w:val="aff2"/>
            </w:pPr>
            <w:r w:rsidRPr="00DA15E6">
              <w:t>24,0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184,3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422,8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630,1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811,7</w:t>
            </w:r>
          </w:p>
        </w:tc>
        <w:tc>
          <w:tcPr>
            <w:tcW w:w="517" w:type="pct"/>
          </w:tcPr>
          <w:p w:rsidR="00951D5D" w:rsidRPr="00DA15E6" w:rsidRDefault="00951D5D" w:rsidP="00DA15E6">
            <w:pPr>
              <w:pStyle w:val="aff2"/>
            </w:pPr>
            <w:r w:rsidRPr="00DA15E6">
              <w:t>2072,9</w:t>
            </w:r>
          </w:p>
        </w:tc>
      </w:tr>
      <w:tr w:rsidR="00951D5D" w:rsidRPr="00DA15E6" w:rsidTr="00DA15E6">
        <w:trPr>
          <w:cantSplit/>
        </w:trPr>
        <w:tc>
          <w:tcPr>
            <w:tcW w:w="1302" w:type="pct"/>
          </w:tcPr>
          <w:p w:rsidR="00951D5D" w:rsidRPr="00DA15E6" w:rsidRDefault="00951D5D" w:rsidP="00DA15E6">
            <w:pPr>
              <w:pStyle w:val="aff2"/>
            </w:pPr>
            <w:r w:rsidRPr="00DA15E6">
              <w:t>Прочие расходы</w:t>
            </w:r>
          </w:p>
        </w:tc>
        <w:tc>
          <w:tcPr>
            <w:tcW w:w="637" w:type="pct"/>
          </w:tcPr>
          <w:p w:rsidR="00951D5D" w:rsidRPr="00DA15E6" w:rsidRDefault="00951D5D" w:rsidP="00DA15E6">
            <w:pPr>
              <w:pStyle w:val="aff2"/>
            </w:pPr>
            <w:r w:rsidRPr="00DA15E6">
              <w:t>106,9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323,9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474,3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495,6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298,9</w:t>
            </w:r>
          </w:p>
        </w:tc>
        <w:tc>
          <w:tcPr>
            <w:tcW w:w="517" w:type="pct"/>
          </w:tcPr>
          <w:p w:rsidR="00951D5D" w:rsidRPr="00DA15E6" w:rsidRDefault="00951D5D" w:rsidP="00DA15E6">
            <w:pPr>
              <w:pStyle w:val="aff2"/>
            </w:pPr>
            <w:r w:rsidRPr="00DA15E6">
              <w:t>1699,6</w:t>
            </w:r>
          </w:p>
        </w:tc>
      </w:tr>
      <w:tr w:rsidR="00951D5D" w:rsidRPr="00DA15E6" w:rsidTr="00DA15E6">
        <w:trPr>
          <w:cantSplit/>
        </w:trPr>
        <w:tc>
          <w:tcPr>
            <w:tcW w:w="1302" w:type="pct"/>
          </w:tcPr>
          <w:p w:rsidR="00951D5D" w:rsidRPr="00DA15E6" w:rsidRDefault="00951D5D" w:rsidP="00DA15E6">
            <w:pPr>
              <w:pStyle w:val="aff2"/>
            </w:pPr>
            <w:r w:rsidRPr="00DA15E6">
              <w:t>Остаток на конец отчетного периода</w:t>
            </w:r>
          </w:p>
        </w:tc>
        <w:tc>
          <w:tcPr>
            <w:tcW w:w="637" w:type="pct"/>
          </w:tcPr>
          <w:p w:rsidR="00951D5D" w:rsidRPr="00DA15E6" w:rsidRDefault="00951D5D" w:rsidP="00DA15E6">
            <w:pPr>
              <w:pStyle w:val="aff2"/>
            </w:pPr>
            <w:r w:rsidRPr="00DA15E6">
              <w:t>598,3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1183,9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1050,0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1009,1</w:t>
            </w:r>
          </w:p>
        </w:tc>
        <w:tc>
          <w:tcPr>
            <w:tcW w:w="636" w:type="pct"/>
          </w:tcPr>
          <w:p w:rsidR="00951D5D" w:rsidRPr="00DA15E6" w:rsidRDefault="00951D5D" w:rsidP="00DA15E6">
            <w:pPr>
              <w:pStyle w:val="aff2"/>
            </w:pPr>
            <w:r w:rsidRPr="00DA15E6">
              <w:t>1650,1</w:t>
            </w:r>
          </w:p>
        </w:tc>
        <w:tc>
          <w:tcPr>
            <w:tcW w:w="517" w:type="pct"/>
          </w:tcPr>
          <w:p w:rsidR="00951D5D" w:rsidRPr="00DA15E6" w:rsidRDefault="00951D5D" w:rsidP="00DA15E6">
            <w:pPr>
              <w:pStyle w:val="aff2"/>
            </w:pPr>
          </w:p>
        </w:tc>
      </w:tr>
    </w:tbl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DA15E6" w:rsidRDefault="008964E4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2pt;height:216.75pt">
            <v:imagedata r:id="rId7" o:title=""/>
          </v:shape>
        </w:pict>
      </w:r>
    </w:p>
    <w:p w:rsidR="00951D5D" w:rsidRPr="00DA15E6" w:rsidRDefault="00DA15E6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>Рис.2</w:t>
      </w:r>
      <w:r w:rsidRPr="00DA15E6">
        <w:rPr>
          <w:color w:val="000000"/>
        </w:rPr>
        <w:t xml:space="preserve">. </w:t>
      </w:r>
      <w:r w:rsidR="00951D5D" w:rsidRPr="00DA15E6">
        <w:rPr>
          <w:color w:val="000000"/>
        </w:rPr>
        <w:t>Структура расходов территориальных фондов ОМС</w:t>
      </w:r>
    </w:p>
    <w:p w:rsidR="00DA15E6" w:rsidRDefault="00DA15E6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За 2003-2007 годы финансовая помощь ФФОМС составила 2 513,2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рублей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Из этих средств направлено</w:t>
      </w:r>
      <w:r w:rsidR="00DA15E6" w:rsidRPr="00DA15E6">
        <w:rPr>
          <w:color w:val="000000"/>
        </w:rPr>
        <w:t xml:space="preserve">: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Территориальным фондам ОМС – на оплату медицинской помощи по программам обязательного медицинского страхования, включая погашение задолженности по заработной плате медицинским работникам, – 1626,6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Территориальным фондам ОМС и медицинским учреждениям федерального и регионального уровней – на финансирование целевых мероприятий по охране материнства и детства в Российской Федерации – 371,1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На медицинское и лекарственное обеспечение участников Великой Отечественной войны – 59,7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На финансирование мероприятий в связи с чрезвычайными ситуациями – 83,5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На медицинское и лекарственное обеспечение пострадавших в результате Чернобыльской катастрофы – 36,3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На сохранение и реконструкцию Ожогового центра института хирургии им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А</w:t>
      </w:r>
      <w:r w:rsidR="00DA15E6">
        <w:rPr>
          <w:color w:val="000000"/>
        </w:rPr>
        <w:t xml:space="preserve">.В. </w:t>
      </w:r>
      <w:r w:rsidRPr="00DA15E6">
        <w:rPr>
          <w:color w:val="000000"/>
        </w:rPr>
        <w:t>Вишневского – 62,0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Финансирование Федерального центра нейрохирургии боли Минздрава РФ – 7,9 млрд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руб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Основными каналами поступлений средств ОМС в лечебно-профилактические учреждения (ЛПУ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являются либо страховые медицинские организации, либо территориальные фонды ОМС и их филиалы, либо имеет место смешанная форма поступлений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Часть средств может поступать через органы управления здравоохранением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Так, например, оплата за медицинскую помощь в объеме территориальной программы ОМС поступает из СМО или филиалов фондов, а финансовая помощь на выполнение целевых программ или отдельных мероприятий поступает напрямую из ТФОМС или через местные органы управления здравоохранением (модель движения финансов в системе ОМС России представлена в Приложении 1</w:t>
      </w:r>
      <w:r w:rsidR="00DA15E6" w:rsidRPr="00DA15E6">
        <w:rPr>
          <w:color w:val="000000"/>
        </w:rPr>
        <w:t xml:space="preserve">).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 xml:space="preserve">Кроме того, практически все лечебные учреждения независимо от степени их интеграции в систему ОМС, финансируются из бюджетов здравоохранения всех уровней по определенным статьям сметы (коммунальные, хозяйственные расходы, капитальное строительство и </w:t>
      </w:r>
      <w:r w:rsidR="00DA15E6">
        <w:rPr>
          <w:color w:val="000000"/>
        </w:rPr>
        <w:t>др.)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Все это многообразие сложившегося положения связано, прежде всего, с трудностями макроэкономического характера и несовершенством законодательной и нормативно-правовой базы по финансированию отрасли в переходный к рыночной экономике период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Определенный оптимизм по этому поводу вселяют одобренная 7 августа 2007 г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Правительством Российской Федерации “Концепция развития здравоохранения и медицинской науки”, а также подготовленный к утверждению пакет документов по экономическому обоснованию Федеральной программы государственных гарантий по обеспечению населения Российской Федерации бесплатной медицинской помощью, которые предусматривают некоторое упорядочение финансирования здравоохранения регионов, особенно порядок направления и использования трансфертов из федерального бюджета для выравнивания уровня платежей на неработающих граждан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Учитывая вышеизложенные обстоятельства и основную целевую направленность использования средств ОМС для обеспечения населения Российской Федерации гарантированным объемом бесплатной медицинской помощи в рамках Базовой программы ОМС, целесообразно произвести идентификацию региональных финансовых моделей развития ОМС по основному (главенствующему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критерию, а именно</w:t>
      </w:r>
      <w:r w:rsidR="00DA15E6" w:rsidRPr="00DA15E6">
        <w:rPr>
          <w:color w:val="000000"/>
        </w:rPr>
        <w:t xml:space="preserve">: </w:t>
      </w:r>
      <w:r w:rsidRPr="00DA15E6">
        <w:rPr>
          <w:color w:val="000000"/>
        </w:rPr>
        <w:t>порядку финансирования и расходования средств ОМС в лечебно-профилактических учреждениях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Сравнительный анализ финансовых моделей ОМС (Приложение 1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позволяет отметить следующие особенности</w:t>
      </w:r>
      <w:r w:rsidR="00DA15E6" w:rsidRPr="00DA15E6">
        <w:rPr>
          <w:color w:val="000000"/>
        </w:rPr>
        <w:t xml:space="preserve">: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1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В подавляющем большинстве субъектов РФ действуют 2 и 3 финансовые модели ОМС</w:t>
      </w:r>
      <w:r w:rsidR="00DA15E6" w:rsidRPr="00DA15E6">
        <w:rPr>
          <w:color w:val="000000"/>
        </w:rPr>
        <w:t xml:space="preserve">: </w:t>
      </w:r>
      <w:r w:rsidRPr="00DA15E6">
        <w:rPr>
          <w:color w:val="000000"/>
        </w:rPr>
        <w:t>соответственно 32 и 37 территории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Первая финансовая модель ОМС действует в 14 территориях (примерно каждая седьмая территория</w:t>
      </w:r>
      <w:r w:rsidR="00DA15E6" w:rsidRPr="00DA15E6">
        <w:rPr>
          <w:color w:val="000000"/>
        </w:rPr>
        <w:t xml:space="preserve">).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2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Действие 3 финансовой модели ОМС распространяется на большую часть населения Российской Федерации – 40,7%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По численности населения субъекты, применяющие 1-ую и 2-ую финансовую модель, незначительно отличаются друг от друга (25,7 и 30,1% соответственно к численности населения России</w:t>
      </w:r>
      <w:r w:rsidR="00DA15E6" w:rsidRPr="00DA15E6">
        <w:rPr>
          <w:color w:val="000000"/>
        </w:rPr>
        <w:t xml:space="preserve">). </w:t>
      </w:r>
      <w:r w:rsidRPr="00DA15E6">
        <w:rPr>
          <w:color w:val="000000"/>
        </w:rPr>
        <w:t>Что же касается территориальной протяженности этих субъектов, то здесь различия значительны и составляют 11,6% по 1-ой модели и, соответственно, 36,4% по 2-ой модели к общей площади Российской Федерации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В территориальном аспекте также несравненно выше охват страхового поля 3 моделью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Он составляет почти 1/2 (49,6%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территории Российской Федерации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3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В плане организации работы по страхованию населения по части заключения договоров и выдачи страховых полисов несомненные преимущества имеет первая модель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Значительно хуже эти показатели по второй (фондовской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модели, это свидетельствует об имеющихся трудностях в совмещении функций ТФОМС по сбору, аккумулированию финансовых средств, финансированию медицинской помощи и страхованию населения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Хотя по статистическим показателям, характеризующим организацию страхования населения по данной модели, заключением договоров и выдачей полисов в значительной доле (40,4%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занимаются также СМО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4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Показатель расходования средств на здравоохранение несколько ниже по третьей модели (94,3%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и практически равны по 1 и 2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Рассматривая изолировано данный показатель, можно было бы пренебречь разницей числовых значений показателя по моделям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Однако, в рамках второй модели отмечаются более высокие показатели уровня расходования средств на финансирование территориальной программы (88,4%</w:t>
      </w:r>
      <w:r w:rsidR="00DA15E6" w:rsidRPr="00DA15E6">
        <w:rPr>
          <w:color w:val="000000"/>
        </w:rPr>
        <w:t>),</w:t>
      </w:r>
      <w:r w:rsidRPr="00DA15E6">
        <w:rPr>
          <w:color w:val="000000"/>
        </w:rPr>
        <w:t xml:space="preserve"> по другим двум моделям – они ниже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Таким образом, по показателям расходования средств на финансирование здравоохранения и территориальной программы ОМС практически все три модели равны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5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В части доведения финансовых средств до ЛПУ и предположительно расходуемых на оказание помощи пациентам более предпочтительно выглядит 2 модель</w:t>
      </w:r>
      <w:r w:rsidR="00DA15E6" w:rsidRPr="00DA15E6">
        <w:rPr>
          <w:color w:val="000000"/>
        </w:rPr>
        <w:t xml:space="preserve">: </w:t>
      </w:r>
      <w:r w:rsidRPr="00DA15E6">
        <w:rPr>
          <w:color w:val="000000"/>
        </w:rPr>
        <w:t>99,2% страховых взносов и платежей на неработающее население, поступивших в ТФ ОМС, доводится до ЛПУ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Наименее предпочтительно в этом аспекте выглядит 1 модель, соответствующий показатель которой составляет 95,6%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6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Учитывая критерии, по которым проведена идентификация финансовых моделей, статистические показатели доли финансовых средств, поступивших из разных источников финансирования (табл</w:t>
      </w:r>
      <w:r w:rsidR="00DA15E6">
        <w:rPr>
          <w:color w:val="000000"/>
        </w:rPr>
        <w:t>.3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в ЛПУ, выглядят вполне логичными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Однако, обращает на себя внимание чуть более высокий показатель доли финансовых средств, поступивших из фондов по второй модели, что косвенным образом указывает на более высокую степень ее тяготения к “идеальному” варианту по данной позиции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Что касается третьей модели, то отмечается некоторое преобладание поступлений из СМО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7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Анализ целей перечисления финансовых средств в ЛПУ в разрезе оплаты услуг и оказания финансовой помощи показывает, что наименьший уровень поступления средств на оплату медицинских услуг отмечается по третьей модели и составляет 88,6%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По первой и второй моделям эти показатели практически равны (соответственно, 96,7% и 95,8%</w:t>
      </w:r>
      <w:r w:rsidR="00DA15E6" w:rsidRPr="00DA15E6">
        <w:rPr>
          <w:color w:val="000000"/>
        </w:rPr>
        <w:t xml:space="preserve">). </w:t>
      </w:r>
      <w:r w:rsidRPr="00DA15E6">
        <w:rPr>
          <w:color w:val="000000"/>
        </w:rPr>
        <w:t>Таким образом, принцип следования финансовых средств “за пациентом” в большей мере реализуется в субъектах Российской Федерации, в которых действует 1 и 2 финансовые модели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8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Анализ финансовых потоков по источникам их поступления в ЛПУ в разрезе целей поступления показывает, что в группе территорий, действующих в соответствии с 3 моделью, большая часть средств, поступающих из ТФ, предназначена на финансовую помощь (10,1%</w:t>
      </w:r>
      <w:r w:rsidR="00DA15E6" w:rsidRPr="00DA15E6">
        <w:rPr>
          <w:color w:val="000000"/>
        </w:rPr>
        <w:t xml:space="preserve">). </w:t>
      </w:r>
      <w:r w:rsidRPr="00DA15E6">
        <w:rPr>
          <w:color w:val="000000"/>
        </w:rPr>
        <w:t>На территориях 1 группы этот показатель значительно ниже, что свидетельствует об активной роли СМО в распоряжении финансовыми ресурсами системы ОМС и направлении их использования на оплату медицинских услуг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Ранжирование основных показателей, отражающих базовые финансовые характеристики моделей, таких как</w:t>
      </w:r>
      <w:r w:rsidR="00DA15E6" w:rsidRPr="00DA15E6">
        <w:rPr>
          <w:color w:val="000000"/>
        </w:rPr>
        <w:t xml:space="preserve">: </w:t>
      </w:r>
      <w:r w:rsidRPr="00DA15E6">
        <w:rPr>
          <w:color w:val="000000"/>
        </w:rPr>
        <w:t>процент расходов на финансирование здравоохранения</w:t>
      </w:r>
      <w:r w:rsidR="00DA15E6" w:rsidRPr="00DA15E6">
        <w:rPr>
          <w:color w:val="000000"/>
        </w:rPr>
        <w:t xml:space="preserve">; </w:t>
      </w:r>
      <w:r w:rsidRPr="00DA15E6">
        <w:rPr>
          <w:color w:val="000000"/>
        </w:rPr>
        <w:t>уровень поступления средств в лечебно-профилактические учреждения</w:t>
      </w:r>
      <w:r w:rsidR="00DA15E6" w:rsidRPr="00DA15E6">
        <w:rPr>
          <w:color w:val="000000"/>
        </w:rPr>
        <w:t xml:space="preserve">; </w:t>
      </w:r>
      <w:r w:rsidRPr="00DA15E6">
        <w:rPr>
          <w:color w:val="000000"/>
        </w:rPr>
        <w:t>процент перечисления средств на различные цели (оплату медуслуг, финансовая помощь, штрафы, пени</w:t>
      </w:r>
      <w:r w:rsidR="00DA15E6" w:rsidRPr="00DA15E6">
        <w:rPr>
          <w:color w:val="000000"/>
        </w:rPr>
        <w:t xml:space="preserve">); </w:t>
      </w:r>
      <w:r w:rsidRPr="00DA15E6">
        <w:rPr>
          <w:color w:val="000000"/>
        </w:rPr>
        <w:t>остаток средств на начало года и процент на ведение дела (к доходу ТФОМС</w:t>
      </w:r>
      <w:r w:rsidR="00DA15E6" w:rsidRPr="00DA15E6">
        <w:rPr>
          <w:color w:val="000000"/>
        </w:rPr>
        <w:t xml:space="preserve">) </w:t>
      </w:r>
      <w:r w:rsidRPr="00DA15E6">
        <w:rPr>
          <w:color w:val="000000"/>
        </w:rPr>
        <w:t>показывает некоторое преимущество второй и третьей моделей</w:t>
      </w:r>
      <w:r w:rsidR="00DA15E6" w:rsidRPr="00DA15E6">
        <w:rPr>
          <w:color w:val="000000"/>
        </w:rPr>
        <w:t xml:space="preserve">. </w:t>
      </w:r>
    </w:p>
    <w:p w:rsidR="00951D5D" w:rsidRPr="00DA15E6" w:rsidRDefault="00951D5D" w:rsidP="00DA15E6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DA15E6">
        <w:rPr>
          <w:color w:val="000000"/>
        </w:rPr>
        <w:t>Однако, если учесть общую сумму баллов с учетом уровня охвата населения медицинским страхованием, 1-ая модель выходит на первое место</w:t>
      </w:r>
      <w:r w:rsidR="00DA15E6" w:rsidRPr="00DA15E6">
        <w:rPr>
          <w:color w:val="000000"/>
        </w:rPr>
        <w:t xml:space="preserve">. </w:t>
      </w:r>
      <w:r w:rsidRPr="00DA15E6">
        <w:rPr>
          <w:color w:val="000000"/>
        </w:rPr>
        <w:t>Это свидетельствует о том, что необходимо проведение дальнейшего углубленного анализа с учетом степени удовлетворенности пациентов и характером медицинского обслуживания (региональные системы ОМС представлены в Приложении 2</w:t>
      </w:r>
      <w:r w:rsidR="00DA15E6" w:rsidRPr="00DA15E6">
        <w:rPr>
          <w:color w:val="000000"/>
        </w:rPr>
        <w:t xml:space="preserve">). </w:t>
      </w:r>
    </w:p>
    <w:p w:rsidR="00DA15E6" w:rsidRPr="00DA15E6" w:rsidRDefault="00951D5D" w:rsidP="00DA15E6">
      <w:pPr>
        <w:pStyle w:val="2"/>
      </w:pPr>
      <w:r w:rsidRPr="00DA15E6">
        <w:br w:type="page"/>
        <w:t>Литература</w:t>
      </w:r>
    </w:p>
    <w:p w:rsidR="00DA15E6" w:rsidRDefault="00DA15E6" w:rsidP="00DA15E6">
      <w:pPr>
        <w:widowControl w:val="0"/>
        <w:autoSpaceDE w:val="0"/>
        <w:autoSpaceDN w:val="0"/>
        <w:adjustRightInd w:val="0"/>
        <w:ind w:firstLine="709"/>
      </w:pPr>
    </w:p>
    <w:p w:rsidR="00951D5D" w:rsidRPr="00DA15E6" w:rsidRDefault="00951D5D" w:rsidP="00DA15E6">
      <w:pPr>
        <w:pStyle w:val="a1"/>
      </w:pPr>
      <w:r w:rsidRPr="00DA15E6">
        <w:t>Государственное регулирование социального страхования Кричевский Н</w:t>
      </w:r>
      <w:r w:rsidR="00DA15E6">
        <w:t xml:space="preserve">.А., </w:t>
      </w:r>
      <w:r w:rsidRPr="00DA15E6">
        <w:t>Куксин А</w:t>
      </w:r>
      <w:r w:rsidR="00DA15E6">
        <w:t xml:space="preserve">.Г. </w:t>
      </w:r>
      <w:r w:rsidRPr="00DA15E6">
        <w:t>Издательство</w:t>
      </w:r>
      <w:r w:rsidR="00DA15E6" w:rsidRPr="00DA15E6">
        <w:t xml:space="preserve">: </w:t>
      </w:r>
      <w:r w:rsidRPr="00DA15E6">
        <w:t>"Издательский дом Дашков и К",</w:t>
      </w:r>
      <w:r w:rsidR="00DA15E6" w:rsidRPr="00DA15E6">
        <w:t xml:space="preserve"> - </w:t>
      </w:r>
      <w:r w:rsidRPr="00DA15E6">
        <w:t>2006, 137 с</w:t>
      </w:r>
      <w:r w:rsidR="00DA15E6" w:rsidRPr="00DA15E6">
        <w:t xml:space="preserve">. </w:t>
      </w:r>
      <w:bookmarkStart w:id="2" w:name="_GoBack"/>
      <w:bookmarkEnd w:id="2"/>
    </w:p>
    <w:sectPr w:rsidR="00951D5D" w:rsidRPr="00DA15E6" w:rsidSect="00DA15E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93A" w:rsidRDefault="00ED393A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ED393A" w:rsidRDefault="00ED393A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15E6" w:rsidRDefault="00DA15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15E6" w:rsidRDefault="00DA15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93A" w:rsidRDefault="00ED393A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ED393A" w:rsidRDefault="00ED393A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15E6" w:rsidRDefault="00786E56" w:rsidP="009A2E80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DA15E6" w:rsidRDefault="00DA15E6" w:rsidP="00DA15E6">
    <w:pPr>
      <w:pStyle w:val="ab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15E6" w:rsidRDefault="00DA15E6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5241EE0"/>
    <w:lvl w:ilvl="0">
      <w:numFmt w:val="bullet"/>
      <w:lvlText w:val="*"/>
      <w:lvlJc w:val="left"/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3388387A"/>
    <w:multiLevelType w:val="hybridMultilevel"/>
    <w:tmpl w:val="5FFE1E66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D34BEA"/>
    <w:multiLevelType w:val="singleLevel"/>
    <w:tmpl w:val="B6B82FC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0"/>
    <w:lvlOverride w:ilvl="0">
      <w:lvl w:ilvl="0">
        <w:start w:val="1"/>
        <w:numFmt w:val="bullet"/>
        <w:lvlText w:val=""/>
        <w:legacy w:legacy="1" w:legacySpace="0" w:legacyIndent="360"/>
        <w:lvlJc w:val="left"/>
        <w:pPr>
          <w:ind w:left="1069" w:hanging="360"/>
        </w:pPr>
        <w:rPr>
          <w:rFonts w:ascii="Symbol" w:hAnsi="Symbol" w:cs="Symbol" w:hint="default"/>
        </w:rPr>
      </w:lvl>
    </w:lvlOverride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1D5D"/>
    <w:rsid w:val="00045404"/>
    <w:rsid w:val="001C4871"/>
    <w:rsid w:val="003A4298"/>
    <w:rsid w:val="00457C07"/>
    <w:rsid w:val="004E748F"/>
    <w:rsid w:val="00584945"/>
    <w:rsid w:val="00607940"/>
    <w:rsid w:val="00633045"/>
    <w:rsid w:val="00786E56"/>
    <w:rsid w:val="008964E4"/>
    <w:rsid w:val="00951D5D"/>
    <w:rsid w:val="009A2E80"/>
    <w:rsid w:val="009E09B5"/>
    <w:rsid w:val="00A46744"/>
    <w:rsid w:val="00C060FD"/>
    <w:rsid w:val="00CF08AE"/>
    <w:rsid w:val="00DA15E6"/>
    <w:rsid w:val="00E5542B"/>
    <w:rsid w:val="00ED393A"/>
    <w:rsid w:val="00FB36F6"/>
    <w:rsid w:val="00FE4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50D5A96F-4961-489F-AA1F-2E0AB565A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DA15E6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A15E6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DA15E6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DA15E6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A15E6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A15E6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A15E6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A15E6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A15E6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paragraph" w:styleId="9">
    <w:name w:val="heading 9"/>
    <w:basedOn w:val="a2"/>
    <w:next w:val="a2"/>
    <w:link w:val="90"/>
    <w:uiPriority w:val="99"/>
    <w:qFormat/>
    <w:rsid w:val="00A46744"/>
    <w:pPr>
      <w:keepNext/>
      <w:widowControl w:val="0"/>
      <w:autoSpaceDE w:val="0"/>
      <w:autoSpaceDN w:val="0"/>
      <w:adjustRightInd w:val="0"/>
      <w:ind w:firstLine="709"/>
      <w:jc w:val="center"/>
      <w:outlineLvl w:val="8"/>
    </w:pPr>
    <w:rPr>
      <w:b/>
      <w:bCs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character" w:styleId="a6">
    <w:name w:val="Hyperlink"/>
    <w:uiPriority w:val="99"/>
    <w:rsid w:val="00DA15E6"/>
    <w:rPr>
      <w:color w:val="0000FF"/>
      <w:u w:val="single"/>
    </w:rPr>
  </w:style>
  <w:style w:type="character" w:styleId="a7">
    <w:name w:val="footnote reference"/>
    <w:uiPriority w:val="99"/>
    <w:semiHidden/>
    <w:rsid w:val="00DA15E6"/>
    <w:rPr>
      <w:sz w:val="28"/>
      <w:szCs w:val="28"/>
      <w:vertAlign w:val="superscript"/>
    </w:rPr>
  </w:style>
  <w:style w:type="paragraph" w:styleId="a8">
    <w:name w:val="footer"/>
    <w:basedOn w:val="a2"/>
    <w:link w:val="a9"/>
    <w:uiPriority w:val="99"/>
    <w:semiHidden/>
    <w:rsid w:val="00DA15E6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a">
    <w:name w:val="Верхний колонтитул Знак"/>
    <w:link w:val="ab"/>
    <w:uiPriority w:val="99"/>
    <w:semiHidden/>
    <w:locked/>
    <w:rsid w:val="00DA15E6"/>
    <w:rPr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DA15E6"/>
  </w:style>
  <w:style w:type="paragraph" w:styleId="11">
    <w:name w:val="toc 1"/>
    <w:basedOn w:val="a2"/>
    <w:next w:val="a2"/>
    <w:autoRedefine/>
    <w:uiPriority w:val="99"/>
    <w:semiHidden/>
    <w:rsid w:val="00DA15E6"/>
    <w:pPr>
      <w:widowControl w:val="0"/>
      <w:tabs>
        <w:tab w:val="left" w:pos="1400"/>
      </w:tabs>
      <w:autoSpaceDE w:val="0"/>
      <w:autoSpaceDN w:val="0"/>
      <w:adjustRightInd w:val="0"/>
      <w:ind w:firstLine="0"/>
    </w:pPr>
  </w:style>
  <w:style w:type="paragraph" w:styleId="21">
    <w:name w:val="toc 2"/>
    <w:basedOn w:val="a2"/>
    <w:next w:val="a2"/>
    <w:autoRedefine/>
    <w:uiPriority w:val="99"/>
    <w:semiHidden/>
    <w:rsid w:val="00DA15E6"/>
    <w:pPr>
      <w:widowControl w:val="0"/>
      <w:autoSpaceDE w:val="0"/>
      <w:autoSpaceDN w:val="0"/>
      <w:adjustRightInd w:val="0"/>
      <w:ind w:firstLine="0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DA15E6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DA15E6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DA15E6"/>
    <w:pPr>
      <w:widowControl w:val="0"/>
      <w:autoSpaceDE w:val="0"/>
      <w:autoSpaceDN w:val="0"/>
      <w:adjustRightInd w:val="0"/>
      <w:ind w:left="958" w:firstLine="709"/>
    </w:pPr>
  </w:style>
  <w:style w:type="paragraph" w:styleId="61">
    <w:name w:val="toc 6"/>
    <w:basedOn w:val="a2"/>
    <w:next w:val="a2"/>
    <w:autoRedefine/>
    <w:uiPriority w:val="99"/>
    <w:semiHidden/>
    <w:rsid w:val="00A46744"/>
    <w:pPr>
      <w:widowControl w:val="0"/>
      <w:autoSpaceDE w:val="0"/>
      <w:autoSpaceDN w:val="0"/>
      <w:adjustRightInd w:val="0"/>
      <w:ind w:left="1400" w:firstLine="709"/>
      <w:jc w:val="left"/>
    </w:pPr>
  </w:style>
  <w:style w:type="paragraph" w:styleId="71">
    <w:name w:val="toc 7"/>
    <w:basedOn w:val="a2"/>
    <w:next w:val="a2"/>
    <w:autoRedefine/>
    <w:uiPriority w:val="99"/>
    <w:semiHidden/>
    <w:rsid w:val="00A46744"/>
    <w:pPr>
      <w:widowControl w:val="0"/>
      <w:autoSpaceDE w:val="0"/>
      <w:autoSpaceDN w:val="0"/>
      <w:adjustRightInd w:val="0"/>
      <w:ind w:left="1680" w:firstLine="709"/>
      <w:jc w:val="left"/>
    </w:pPr>
  </w:style>
  <w:style w:type="paragraph" w:styleId="81">
    <w:name w:val="toc 8"/>
    <w:basedOn w:val="a2"/>
    <w:next w:val="a2"/>
    <w:autoRedefine/>
    <w:uiPriority w:val="99"/>
    <w:semiHidden/>
    <w:rsid w:val="00A46744"/>
    <w:pPr>
      <w:widowControl w:val="0"/>
      <w:autoSpaceDE w:val="0"/>
      <w:autoSpaceDN w:val="0"/>
      <w:adjustRightInd w:val="0"/>
      <w:ind w:left="1960" w:firstLine="709"/>
      <w:jc w:val="left"/>
    </w:pPr>
  </w:style>
  <w:style w:type="paragraph" w:styleId="91">
    <w:name w:val="toc 9"/>
    <w:basedOn w:val="a2"/>
    <w:next w:val="a2"/>
    <w:autoRedefine/>
    <w:uiPriority w:val="99"/>
    <w:semiHidden/>
    <w:rsid w:val="00A46744"/>
    <w:pPr>
      <w:widowControl w:val="0"/>
      <w:autoSpaceDE w:val="0"/>
      <w:autoSpaceDN w:val="0"/>
      <w:adjustRightInd w:val="0"/>
      <w:ind w:left="2240" w:firstLine="709"/>
      <w:jc w:val="left"/>
    </w:pPr>
  </w:style>
  <w:style w:type="paragraph" w:styleId="ad">
    <w:name w:val="footnote text"/>
    <w:basedOn w:val="a2"/>
    <w:link w:val="ae"/>
    <w:autoRedefine/>
    <w:uiPriority w:val="99"/>
    <w:semiHidden/>
    <w:rsid w:val="00DA15E6"/>
    <w:pPr>
      <w:autoSpaceDE w:val="0"/>
      <w:autoSpaceDN w:val="0"/>
      <w:ind w:firstLine="709"/>
    </w:pPr>
    <w:rPr>
      <w:sz w:val="20"/>
      <w:szCs w:val="20"/>
    </w:rPr>
  </w:style>
  <w:style w:type="character" w:customStyle="1" w:styleId="ae">
    <w:name w:val="Текст сноски Знак"/>
    <w:link w:val="ad"/>
    <w:uiPriority w:val="99"/>
    <w:semiHidden/>
    <w:rPr>
      <w:sz w:val="20"/>
      <w:szCs w:val="20"/>
    </w:rPr>
  </w:style>
  <w:style w:type="paragraph" w:styleId="af">
    <w:name w:val="Body Text"/>
    <w:basedOn w:val="a2"/>
    <w:link w:val="af0"/>
    <w:uiPriority w:val="99"/>
    <w:rsid w:val="00DA15E6"/>
    <w:pPr>
      <w:widowControl w:val="0"/>
      <w:autoSpaceDE w:val="0"/>
      <w:autoSpaceDN w:val="0"/>
      <w:adjustRightInd w:val="0"/>
      <w:ind w:firstLine="0"/>
    </w:pPr>
  </w:style>
  <w:style w:type="character" w:customStyle="1" w:styleId="af0">
    <w:name w:val="Основной текст Знак"/>
    <w:link w:val="af"/>
    <w:uiPriority w:val="99"/>
    <w:semiHidden/>
    <w:rPr>
      <w:sz w:val="28"/>
      <w:szCs w:val="28"/>
    </w:rPr>
  </w:style>
  <w:style w:type="paragraph" w:customStyle="1" w:styleId="af1">
    <w:name w:val="Название рисунка"/>
    <w:basedOn w:val="af"/>
    <w:next w:val="af"/>
    <w:uiPriority w:val="99"/>
    <w:rsid w:val="00607940"/>
    <w:pPr>
      <w:keepLines/>
      <w:suppressAutoHyphens/>
      <w:spacing w:after="240"/>
      <w:jc w:val="center"/>
    </w:pPr>
  </w:style>
  <w:style w:type="paragraph" w:customStyle="1" w:styleId="af2">
    <w:name w:val="Название таблицы"/>
    <w:basedOn w:val="a2"/>
    <w:uiPriority w:val="99"/>
    <w:rsid w:val="00607940"/>
    <w:pPr>
      <w:keepNext/>
      <w:keepLines/>
      <w:widowControl w:val="0"/>
      <w:suppressAutoHyphens/>
      <w:autoSpaceDE w:val="0"/>
      <w:autoSpaceDN w:val="0"/>
      <w:adjustRightInd w:val="0"/>
      <w:spacing w:before="120" w:after="120"/>
      <w:ind w:firstLine="0"/>
      <w:jc w:val="center"/>
    </w:pPr>
    <w:rPr>
      <w:b/>
      <w:bCs/>
    </w:rPr>
  </w:style>
  <w:style w:type="paragraph" w:customStyle="1" w:styleId="af3">
    <w:name w:val="Номер таблицы"/>
    <w:basedOn w:val="a2"/>
    <w:uiPriority w:val="99"/>
    <w:rsid w:val="00607940"/>
    <w:pPr>
      <w:keepNext/>
      <w:keepLines/>
      <w:widowControl w:val="0"/>
      <w:suppressAutoHyphens/>
      <w:autoSpaceDE w:val="0"/>
      <w:autoSpaceDN w:val="0"/>
      <w:adjustRightInd w:val="0"/>
      <w:spacing w:before="240" w:after="120"/>
      <w:ind w:firstLine="0"/>
      <w:jc w:val="right"/>
    </w:pPr>
    <w:rPr>
      <w:i/>
      <w:iCs/>
    </w:rPr>
  </w:style>
  <w:style w:type="paragraph" w:customStyle="1" w:styleId="af4">
    <w:name w:val="Номер формулы"/>
    <w:basedOn w:val="af"/>
    <w:next w:val="af"/>
    <w:uiPriority w:val="99"/>
    <w:rsid w:val="00607940"/>
    <w:pPr>
      <w:keepLines/>
      <w:suppressAutoHyphens/>
      <w:jc w:val="right"/>
    </w:pPr>
  </w:style>
  <w:style w:type="paragraph" w:customStyle="1" w:styleId="af5">
    <w:name w:val="Параграф рисунка"/>
    <w:basedOn w:val="a2"/>
    <w:uiPriority w:val="99"/>
    <w:rsid w:val="00607940"/>
    <w:pPr>
      <w:keepLines/>
      <w:shd w:val="clear" w:color="auto" w:fill="FFFFFF"/>
      <w:suppressAutoHyphens/>
      <w:autoSpaceDE w:val="0"/>
      <w:autoSpaceDN w:val="0"/>
      <w:adjustRightInd w:val="0"/>
      <w:spacing w:before="480" w:after="480"/>
      <w:ind w:firstLine="709"/>
      <w:jc w:val="center"/>
    </w:pPr>
  </w:style>
  <w:style w:type="paragraph" w:customStyle="1" w:styleId="af6">
    <w:name w:val="Примечание таблицы"/>
    <w:basedOn w:val="a2"/>
    <w:next w:val="af"/>
    <w:uiPriority w:val="99"/>
    <w:rsid w:val="00607940"/>
    <w:pPr>
      <w:widowControl w:val="0"/>
      <w:shd w:val="clear" w:color="auto" w:fill="FFFFFF"/>
      <w:suppressAutoHyphens/>
      <w:autoSpaceDE w:val="0"/>
      <w:autoSpaceDN w:val="0"/>
      <w:adjustRightInd w:val="0"/>
      <w:spacing w:before="80" w:after="320"/>
      <w:ind w:firstLine="283"/>
    </w:pPr>
    <w:rPr>
      <w:position w:val="-8"/>
    </w:rPr>
  </w:style>
  <w:style w:type="table" w:customStyle="1" w:styleId="32">
    <w:name w:val="3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7">
    <w:name w:val="57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28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Формула"/>
    <w:basedOn w:val="af"/>
    <w:next w:val="af"/>
    <w:uiPriority w:val="99"/>
    <w:rsid w:val="00607940"/>
    <w:pPr>
      <w:keepLines/>
      <w:shd w:val="clear" w:color="auto" w:fill="FFFFFF"/>
      <w:tabs>
        <w:tab w:val="center" w:pos="4678"/>
        <w:tab w:val="right" w:pos="9923"/>
      </w:tabs>
      <w:suppressAutoHyphens/>
      <w:spacing w:before="240" w:after="240"/>
      <w:jc w:val="center"/>
    </w:pPr>
  </w:style>
  <w:style w:type="paragraph" w:customStyle="1" w:styleId="af8">
    <w:name w:val="Шапка таблицы"/>
    <w:basedOn w:val="a2"/>
    <w:uiPriority w:val="99"/>
    <w:rsid w:val="00607940"/>
    <w:pPr>
      <w:keepNext/>
      <w:keepLines/>
      <w:widowControl w:val="0"/>
      <w:autoSpaceDE w:val="0"/>
      <w:autoSpaceDN w:val="0"/>
      <w:adjustRightInd w:val="0"/>
      <w:ind w:firstLine="709"/>
      <w:jc w:val="center"/>
    </w:pPr>
  </w:style>
  <w:style w:type="paragraph" w:styleId="ab">
    <w:name w:val="header"/>
    <w:basedOn w:val="a2"/>
    <w:next w:val="af"/>
    <w:link w:val="aa"/>
    <w:uiPriority w:val="99"/>
    <w:rsid w:val="00DA15E6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f9">
    <w:name w:val="endnote reference"/>
    <w:uiPriority w:val="99"/>
    <w:semiHidden/>
    <w:rsid w:val="00DA15E6"/>
    <w:rPr>
      <w:vertAlign w:val="superscript"/>
    </w:rPr>
  </w:style>
  <w:style w:type="paragraph" w:customStyle="1" w:styleId="afa">
    <w:name w:val="выделение"/>
    <w:uiPriority w:val="99"/>
    <w:rsid w:val="00DA15E6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2">
    <w:name w:val="Заголовок 2 дипл"/>
    <w:basedOn w:val="a2"/>
    <w:next w:val="afb"/>
    <w:uiPriority w:val="99"/>
    <w:rsid w:val="00DA15E6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b">
    <w:name w:val="Body Text Indent"/>
    <w:basedOn w:val="a2"/>
    <w:link w:val="afc"/>
    <w:uiPriority w:val="99"/>
    <w:rsid w:val="00DA15E6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c">
    <w:name w:val="Основной текст с отступом Знак"/>
    <w:link w:val="afb"/>
    <w:uiPriority w:val="99"/>
    <w:semiHidden/>
    <w:rPr>
      <w:sz w:val="28"/>
      <w:szCs w:val="28"/>
    </w:rPr>
  </w:style>
  <w:style w:type="character" w:customStyle="1" w:styleId="12">
    <w:name w:val="Текст Знак1"/>
    <w:link w:val="afd"/>
    <w:uiPriority w:val="99"/>
    <w:locked/>
    <w:rsid w:val="00DA15E6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d">
    <w:name w:val="Plain Text"/>
    <w:basedOn w:val="a2"/>
    <w:link w:val="12"/>
    <w:uiPriority w:val="99"/>
    <w:rsid w:val="00DA15E6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e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9">
    <w:name w:val="Нижний колонтитул Знак"/>
    <w:link w:val="a8"/>
    <w:uiPriority w:val="99"/>
    <w:semiHidden/>
    <w:locked/>
    <w:rsid w:val="00DA15E6"/>
    <w:rPr>
      <w:sz w:val="28"/>
      <w:szCs w:val="28"/>
      <w:lang w:val="ru-RU" w:eastAsia="ru-RU"/>
    </w:rPr>
  </w:style>
  <w:style w:type="paragraph" w:customStyle="1" w:styleId="a0">
    <w:name w:val="лит"/>
    <w:autoRedefine/>
    <w:uiPriority w:val="99"/>
    <w:rsid w:val="00DA15E6"/>
    <w:pPr>
      <w:numPr>
        <w:numId w:val="2"/>
      </w:numPr>
      <w:spacing w:line="360" w:lineRule="auto"/>
      <w:ind w:firstLine="720"/>
      <w:jc w:val="both"/>
    </w:pPr>
    <w:rPr>
      <w:sz w:val="28"/>
      <w:szCs w:val="28"/>
    </w:rPr>
  </w:style>
  <w:style w:type="character" w:customStyle="1" w:styleId="aff">
    <w:name w:val="номер страницы"/>
    <w:uiPriority w:val="99"/>
    <w:rsid w:val="00DA15E6"/>
    <w:rPr>
      <w:sz w:val="28"/>
      <w:szCs w:val="28"/>
    </w:rPr>
  </w:style>
  <w:style w:type="paragraph" w:styleId="aff0">
    <w:name w:val="Normal (Web)"/>
    <w:basedOn w:val="a2"/>
    <w:uiPriority w:val="99"/>
    <w:rsid w:val="00DA15E6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23">
    <w:name w:val="Body Text Indent 2"/>
    <w:basedOn w:val="a2"/>
    <w:link w:val="24"/>
    <w:uiPriority w:val="99"/>
    <w:rsid w:val="00DA15E6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3">
    <w:name w:val="Body Text Indent 3"/>
    <w:basedOn w:val="a2"/>
    <w:link w:val="34"/>
    <w:uiPriority w:val="99"/>
    <w:rsid w:val="00DA15E6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4">
    <w:name w:val="Основной текст с отступом 3 Знак"/>
    <w:link w:val="33"/>
    <w:uiPriority w:val="99"/>
    <w:semiHidden/>
    <w:rPr>
      <w:sz w:val="16"/>
      <w:szCs w:val="16"/>
    </w:rPr>
  </w:style>
  <w:style w:type="table" w:styleId="aff1">
    <w:name w:val="Table Grid"/>
    <w:basedOn w:val="a4"/>
    <w:uiPriority w:val="99"/>
    <w:rsid w:val="00DA15E6"/>
    <w:pPr>
      <w:spacing w:line="36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список ненумерованный"/>
    <w:autoRedefine/>
    <w:uiPriority w:val="99"/>
    <w:rsid w:val="00DA15E6"/>
    <w:pPr>
      <w:numPr>
        <w:numId w:val="3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A15E6"/>
    <w:pPr>
      <w:numPr>
        <w:numId w:val="4"/>
      </w:numPr>
      <w:tabs>
        <w:tab w:val="left" w:pos="560"/>
      </w:tabs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DA15E6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DA15E6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DA15E6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A15E6"/>
    <w:rPr>
      <w:i/>
      <w:iCs/>
    </w:rPr>
  </w:style>
  <w:style w:type="paragraph" w:customStyle="1" w:styleId="aff2">
    <w:name w:val="ТАБЛИЦА"/>
    <w:next w:val="a2"/>
    <w:autoRedefine/>
    <w:uiPriority w:val="99"/>
    <w:rsid w:val="00DA15E6"/>
    <w:pPr>
      <w:spacing w:line="360" w:lineRule="auto"/>
    </w:pPr>
    <w:rPr>
      <w:color w:val="000000"/>
    </w:rPr>
  </w:style>
  <w:style w:type="paragraph" w:customStyle="1" w:styleId="13">
    <w:name w:val="Стиль1"/>
    <w:basedOn w:val="aff2"/>
    <w:autoRedefine/>
    <w:uiPriority w:val="99"/>
    <w:rsid w:val="00DA15E6"/>
    <w:pPr>
      <w:spacing w:line="240" w:lineRule="auto"/>
    </w:pPr>
  </w:style>
  <w:style w:type="paragraph" w:customStyle="1" w:styleId="aff3">
    <w:name w:val="схема"/>
    <w:basedOn w:val="a2"/>
    <w:autoRedefine/>
    <w:uiPriority w:val="99"/>
    <w:rsid w:val="00DA15E6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f4">
    <w:name w:val="endnote text"/>
    <w:basedOn w:val="a2"/>
    <w:link w:val="aff5"/>
    <w:uiPriority w:val="99"/>
    <w:semiHidden/>
    <w:rsid w:val="00DA15E6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f5">
    <w:name w:val="Текст концевой сноски Знак"/>
    <w:link w:val="aff4"/>
    <w:uiPriority w:val="99"/>
    <w:semiHidden/>
    <w:rPr>
      <w:sz w:val="20"/>
      <w:szCs w:val="20"/>
    </w:rPr>
  </w:style>
  <w:style w:type="paragraph" w:customStyle="1" w:styleId="aff6">
    <w:name w:val="титут"/>
    <w:autoRedefine/>
    <w:uiPriority w:val="99"/>
    <w:rsid w:val="00DA15E6"/>
    <w:pPr>
      <w:spacing w:line="360" w:lineRule="auto"/>
      <w:jc w:val="center"/>
    </w:pPr>
    <w:rPr>
      <w:noProof/>
      <w:sz w:val="28"/>
      <w:szCs w:val="28"/>
    </w:rPr>
  </w:style>
  <w:style w:type="paragraph" w:styleId="aff7">
    <w:name w:val="Block Text"/>
    <w:basedOn w:val="a2"/>
    <w:uiPriority w:val="99"/>
    <w:rsid w:val="00DA15E6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2549</Words>
  <Characters>14530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Система обязательного медицинского страхования</vt:lpstr>
    </vt:vector>
  </TitlesOfParts>
  <Company>NhT</Company>
  <LinksUpToDate>false</LinksUpToDate>
  <CharactersWithSpaces>17045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Система обязательного медицинского страхования</dc:title>
  <dc:subject/>
  <dc:creator>Zver</dc:creator>
  <cp:keywords/>
  <dc:description/>
  <cp:lastModifiedBy>admin</cp:lastModifiedBy>
  <cp:revision>2</cp:revision>
  <dcterms:created xsi:type="dcterms:W3CDTF">2014-03-01T15:04:00Z</dcterms:created>
  <dcterms:modified xsi:type="dcterms:W3CDTF">2014-03-01T15:04:00Z</dcterms:modified>
</cp:coreProperties>
</file>