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5F" w:rsidRPr="00D3785F" w:rsidRDefault="003F2443" w:rsidP="00D3785F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 w:rsidRPr="00D3785F">
        <w:rPr>
          <w:sz w:val="28"/>
          <w:szCs w:val="28"/>
        </w:rPr>
        <w:t>Система органов регионального интеграционного объединения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D3785F" w:rsidRPr="00D3785F" w:rsidRDefault="00D3785F" w:rsidP="00D3785F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Организационная структура регионального интеграционного объединения относится к той стороне его деятельности, где объединение выступает как механизм, обеспечивающий интеграцию. Организационная структура - это устройство и метод действия такого механизма. Набор органов, взаимодействие между ними, эффективность работы каждого органа и всей системы в целом определяют те результаты, которых может достичь региональное объединение.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Органы региональных интеграционных объединений в полном смысле слова являются межгосударственными органами, т.е. некими объединенными органами нескольких государств. В этой связи особое значение приобретает соотношение полномочий органов объединения и органов государств-членов, и в доктрине ведется борьба о необходимости наделения органов региональных интеграционных объединений свойством наднациональности. Специалист по проблемам МЕРКОСУР Л.О. Баптиста пишет: "Наднациональные организации отличаются от межправительственных по полномочиям своих органов и методам деятельности. В межправительственных организациях в предписывающей сфере формулирование норм зависит от объединенной воли участвующих государств, выраженной в соответствии с учредительным договором. В наднациональной организации, с другой стороны, выраженная воля - это воля самой организации, однако выраженная также на основе учредительного договора" . Другой латиноамериканский автор, уругваец Э.А. Виньяли считает наднациональность полезным и гибким свойством объединения: "В межправительственных органах "государства-участники редко отказываются от своих полномочий на принятие решений", а организации наднационального характера "обладают независимыми органами", принимающими решения самостоятельно, и могут осуществлять свои резолюции непосредственно на территориях государств-членов" 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Некоторое ограничение суверенитета в пользу международной организации находит поддержку и в российской литературе. Как правильно отмечал В.А. Карташкин, "абсолютизация государственного суверенитета фактически ведет к отрицанию многих фундаментальных принципов и норм современного международного права, к дестабилизации межгосударственных отношений" . Проблема соотношения суверенитета государства и полномочий международной организации берет свое начало еще с Организации Объединенных Наций и пока еще не получила своего всеобъемлющего разрешения.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Анализ практики региональных интеграционных объединений обнаруживает разнообразие подходов к решению этого вопроса. Жизнь показывает, что и чисто межгосударственные органы объединения, т.е. состоящие из представителей государств, также могут действовать в интересах всего объединения, а не каждого из государств-членов в отдельности. Это значит, что правовая природа органа определяется двумя параметрами - составом и компетенцией, причем компетенция имеет превалирующее значение. Однозначного ответа на вопрос о наднациональности нет, и в каждом объединении в этом отношении есть свои особенности.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Прежде чем мы перейдем непосредственно к анализу системы органов, необходимо внести некоторые уточнения.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Думается, что говорить о власти органов любой международной организации, в том числе регионального интеграционного объединения, можно только в ограниченном смысле. Суверенитетом - источником властных полномочий - ни организация, ни ее органы не обладают, поэтому властью, подобной государственной, интеграционные объединения наделены быть не могут. Можно говорить лишь об ограниченных или отдельных полномочиях, передаваемых государствами-членами органам объединения. Государства-члены передают объединению не право на осуществление власти вместо них, а ограниченные полномочия на совершение определенной деятельности вместо них.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Кроме того, необходимо уточнить аналогию разделения властей на представительную и исполнительную. Когда говорят о представительных органах международной организации, имеется в виду представление в таких органах каждого государства-участника. Целью представительства является должный учет интересов каждого из них и возможный коллективный контроль со стороны всех государств-участников за надлежащим исполнением их совместной воли, выраженной в учредительном договоре и других основополагающих документах. Представительные органы в интеграционном объединении лишены главной функции представительного органа в государстве - функции контроля общества за деятельностью исполнительной власти. В международных организациях такого контроля совсем нет, лишь в некоторых организациях предусмотрен учет интересов отдельных групп населения. Первой такую практику стала проводить Международная организация труда (МОТ), в высшем органе которой - Генеральной Конференции - делегация каждого государства-члена состоит из двух представителей правительства и по одному от работодателей и наемных работников . Такая практика была продолжена в первом европейском сообществе - Европейском объединении угля и стали. Его учредительным договором было обеспечено представительство производителей, трудящихся, потребителей и продавцов в Консультативном комитете, состоявшем из равного числа представителей каждой из этих групп . В настоящее время в рамках Европейского Союза роль представителей общества постепенно все более осуществляет Европейский парламент.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В региональном интеграционном объединении смысл термина "представительный орган" означает не представление им общества, общественных интересов, т.е. выражение общественного мнения, а только способ формирования того или иного органа. Будучи составленным из представителей государства, такой орган может быть обязан действовать исключительно в интересах объединения, в интересах осуществления не воли каждого отдельного государства, а общей воли всех государств-членов.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Следует отметить, что уточнения требует и разделение полномочий на "законодательные" и "исполнительные". Конечно, ни о каком законодательстве в международной организации речь не может идти. Органы, даже наделенные наднациональными полномочиями, не создают законы для государств-членов, а только специальные нормы, допускаемые к действию в национальных правовых системах, благодаря проявлению суверенной воли каждого государства. Точнее было бы сказать, что органы объединения имеют "предписывающие полномочия", т.е. могут предписывать то или иное поведение.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Термины "представительный" и "предписывающий (законодательный)" чаще всего употребляются применительно к главному органу международной организации, в том числе регионального интеграционного объединения. При поверхностной аналогии со структурой государственных органов высший орган кажется похожим на высший орган государства. Действительно, высший орган обычно обладает полномочиями на толкование и даже изменение "конституции" объединения - его учредительного договора.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Кроме того, высший орган определяет общую политику регионального интеграционного объединения, которая затем конкретизируется как в его собственных решениях, так и в решениях других органов. Решения высшего органа обязательны для других органов. Однако при всей широте своих полномочий высший орган объединения не может действовать вразрез с волей государств-членов.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Необходимо уточнить также понятие "исполнительных" органов. Данный термин применяется довольно широко, однако, когда говорят об исполнительных органах объединения, имеют в виду такие органы, которые выполняют оперативную работу по имплементации решений предписывающих органов. Их функция в основном административно-распорядительная, поэтому следует говорить о том, что им принадлежат "административные полномочия".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Предписывающие полномочия, т.е. полномочия на создание норм, на основе которых ведется оперативная деятельность организации, имеют конвенционную природу, т.е. возникают на основе соглашения между государствами - членами объединения и обязательны только для них или же между объединением как таковым и третьими странами, в таком случае сфера обязательности норм иная.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Возможны также "односторонние" предписывающие полномочия, которые действуют внутри самого объединения.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Необходимо отметить также такую функцию органов интеграционного объединения, как наблюдение или контроль, которые, по выражению С. Сюра, "составляют независимую гарантию того, что взятые обязательства будут соблюдаться, и направлены на предотвращение нарушений права. В то же время это измеритель искренности намерений сторон обеспечить исполнение взятых обязательств" . Действия по осуществлению надзора или контроля не выделяются в отдельную область полномочий, они осуществляются административными (исполнительными) или судебными органами.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Проанализируем теперь практику, принятую в различных моделях региональных интеграционных объединений, относительно формирования организационной структуры.</w:t>
      </w:r>
    </w:p>
    <w:p w:rsidR="00D3785F" w:rsidRPr="00D3785F" w:rsidRDefault="00D3785F" w:rsidP="00D3785F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D3785F" w:rsidRPr="00D3785F" w:rsidRDefault="00D3785F" w:rsidP="00D3785F">
      <w:pPr>
        <w:pStyle w:val="ConsPlusNormal"/>
        <w:widowControl/>
        <w:spacing w:line="360" w:lineRule="auto"/>
        <w:ind w:firstLine="0"/>
        <w:jc w:val="center"/>
        <w:rPr>
          <w:sz w:val="28"/>
          <w:szCs w:val="28"/>
        </w:rPr>
      </w:pPr>
      <w:r w:rsidRPr="00D3785F">
        <w:rPr>
          <w:sz w:val="28"/>
          <w:szCs w:val="28"/>
        </w:rPr>
        <w:t>Европейский Союз</w:t>
      </w:r>
    </w:p>
    <w:p w:rsidR="00D3785F" w:rsidRPr="00D3785F" w:rsidRDefault="00D3785F" w:rsidP="00D3785F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Несмотря на сложное, трехзвенное строение механизма Европейского Союза, все его институты и органы работают совместно и обеспечивают достижение поставленных перед Союзом целей и реализацию его полномочий в разных сферах общественной жизни независимо от того, к компетенции какой опоры они относятся. Как сказано в Маастрихтском договоре, в Европейском Союзе действует "единая институциональная структура, которая должна обеспечивать согласованность и преемственность деятельности, осуществляемой для достижения его целей, с соблюдением и опорой на достигнутый в Сообществе уровень интеграции" (ст. "С").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Вместе взятые органы Европейского Союза образуют целостную систему. Подобно системе органов и учреждений государства, эта система с полным правом может быть обозначена термином "механизм". Каждый орган Союза выступает в этой системе в качестве отдельного элемента, связанного с остальными.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Авторы учебника "Право Европейского Союза"  указывают, что, с точки зрения своей структуры (внутреннего строения), организационный механизм складывается из двух частей. Для наименования каждой из них используются специальные термины. Руководящие органы, наделенные, как правило, властными полномочиями, именуются в праве Европейского Союза институтами. Остальные его элементы, гораздо более многочисленные, обозначаются в праве Союза термином "органы". При этом указанное понятие употребляется как самостоятельное, так что в статьях учредительных договоров и нормативных актов нередко можно встретить выражение "институты и органы".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На деле каждый институт одновременно выступает в качестве органа Сообществ и Союза. Единство системы органов Союза является следствием того, что Европейский Союз в целом - это единая организация. Его единство обеспечивается в первую очередь единым составом государств-членов и единой системой руководящих органов.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По методам формирования институты и органы Европейского Союза можно разделить на три группы: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- демократически сформированные (Европейский парламент);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- типично межправительственные (Совет, Европейский совет);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- наднациональные органы (Комиссия Европейских сообществ, Суд Европейских сообществ, Счетная палата и другие).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Эти три типа институтов и органов позволяют говорить о синтезе юридических особенностей институциональной системы Союза 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Институты, первоначально созданные для каждого из Европейских сообществ, с 1967 г. являются общими для этих организаций . Создание на базе Европейских сообществ Европейского Союза потребовало распространить полномочия институтов на сферы общественной жизни, находящиеся за рамками первой (коммунитарной) опоры, т.е. на сферу общей внешней политики и политики безопасности и сотрудничества полиций и судебных органов в уголовно-правовой сфере. Юридически это выразилось в признании институтов Европейских сообществ в качестве руководящих органов Европейского Союза в целом. Трехзвенная структура Европейского Союза приводит к довольно сложному определению полномочий его институтов и органов при принятии решений: в одном случае они действуют как институты и органы Европейского сообщества и руководствуются его учредительным договором, в другом - применяют правила договоров о Европейском объединении угля и стали или о Евратоме, в третьем - действуют на основании положений специальных разделов Договора о Европейском Союзе, посвященных второй и третьей опорам.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Отсюда следует, что правила деятельности институтов и органов в рамках разных опор Европейского Союза (или даже внутри одной - первой) могут быть разными, но во всех случаях от лица Союза выступают одни и те же руководящие органы. Как уже указывалось, единый институционный механизм является одним из ключевых условий организационного единства Европейского Союза в качестве интеграционной организации.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В некоторых случаях органы действуют на основании норм коммунитарного права, т.е. выступают как органы двух Европейских сообществ или даже одного. Например, Европейский центральный банк - орган Европейского сообщества, так как правовой режим единой валюты целиком находится в сфере ведения данной организации; Атомное Агентство - орган Евратома.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Специальные органы действуют и в рамках второй и третьей опор. Так, Европол действует в рамках третьей опоры (сотрудничество полиций и судебных органов в уголовно-правовой сфере). В то же время Европейский совет - это орган Союза в целом, его существование предусмотрено непосредственно в Договоре о Европейском Союзе.</w:t>
      </w:r>
    </w:p>
    <w:p w:rsidR="00D3785F" w:rsidRPr="00D3785F" w:rsidRDefault="00D3785F" w:rsidP="00D3785F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D3785F" w:rsidRPr="00D3785F" w:rsidRDefault="00D3785F" w:rsidP="00D3785F">
      <w:pPr>
        <w:pStyle w:val="ConsPlusNormal"/>
        <w:widowControl/>
        <w:spacing w:line="360" w:lineRule="auto"/>
        <w:ind w:firstLine="0"/>
        <w:jc w:val="center"/>
        <w:rPr>
          <w:sz w:val="28"/>
          <w:szCs w:val="28"/>
        </w:rPr>
      </w:pPr>
      <w:r w:rsidRPr="00D3785F">
        <w:rPr>
          <w:sz w:val="28"/>
          <w:szCs w:val="28"/>
        </w:rPr>
        <w:t>МЕРКОСУР</w:t>
      </w:r>
    </w:p>
    <w:p w:rsidR="00D3785F" w:rsidRPr="00D3785F" w:rsidRDefault="00D3785F" w:rsidP="00D3785F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Латиноамериканские авторы, пишущие о МЕРКОСУР, обычно говорят о том, что его структура устроена таким образом, чтобы обеспечить "динамичную систему сотрудничества между государствами-членами" . Органы МЕРКОСУР не ведут наднациональную деятельность, а поддерживают межгосударственные связи, и система этих органов отражает их функции.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"Исполнение и имплементация настоящего Договора и любого иного специального соглашения или решения, принятого в течение переходного периода в его правовых рамках, возлагаются на следующие органы: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(a) Совет общего рынка;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(b) Группу общего рынка".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Принятый в дополнение к Асунсьонскому договору Протокол Оуру Прету также содержит специальную главу I, которая называется "Структура МЕРКОСУР" и открывается ст. 1 следующего содержания: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"Институциональная структура МЕРКОСУР охватывает следующие органы: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I. Совет Общего рынка;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II. Группа Общего рынка;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III. Комиссия по торговле МЕРКОСУР;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IV. Совместная Парламентская Комиссия;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V. Экономико-социальный консультативный форум;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VI. Административный секретариат МЕРКОСУР".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Таким образом, сами органы, порядок их организации и полномочия предусмотрены одними и теми же основополагающими документами - Асунсьонским договором и Протоколом Оуру Прету.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Далее между этими органами установлено определенное разделение полномочий (которое можно соотнести с разделением властей в такой фиксированной системе, как государство) и соподчинение. Статьей 10 Асунсьонского договора Совет Общего рынка указан как "высший орган общего рынка, несущий ответственность за политическое руководство общим рынком и за принятие решений, обеспечивающих достижение целей и сроков окончательного формирования общего рынка".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В статье 13 Асунсьонского договора Группа Общего рынка названа главным исполнительным органом Общего рынка, а в ст. 10 Протокола Оуру Прету сказано лаконичнее: "Группа Общего рынка является исполнительным органом МЕРКОСУР".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Комиссия по торговле Общего рынка, введенная в структуру МЕРКОСУР Протоколом Оуру Прету, квалифицируется в разделе III его главы I (ст. 16) как "орган, ответственный за содействие Группе Общего рынка". Комиссия отчитывается перед Группой во всех вопросах, лежащих в компетенции Комиссии. По пункту VI ст. 19 Протокола Комиссия "докладывает Группе Общего рынка о развитии и применении документов, касающихся торговой политики, а также о своем отношении к представленным ей просьбам и о решениях, принятых по таким просьбам".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Общей логике подчиняется и состав данных трех органов: Совет общего рынка состоит из "министров иностранных дел и министров экономики государств-членов либо из эквивалентных им лиц" (ст. 4 Протокола Оуру Прету); в Группе Общего рынка представлены "по четыре делегата и четыре альтернативных члена от каждой страны, назначаемых соответствующим правительством, причем в них должны быть представители министерств иностранных дел, министерств экономики и центральных банков" (ст. 11). Кто именно должен быть делегирован государствами в Комиссию по торговле, Протокол не говорит, указывая лишь, что должно быть четыре делегата и четыре альтернативных члена (ст. 17). Таким образом, все перечисленные органы МЕРКОСУР являются представительными и построены по принципу "четырех частей" (quadripartie). Это значит, что при принятии решения в каждом органе учитывается не число голосов всех присутствующих, а четыре голоса - по одному от каждого государства.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Совет Общего рынка, Группа Общего рынка и Комиссия по торговле являются межгосударственными, что специально предусмотрено ст. 2 Протокола Оуру Прету.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Одним из принципов их работы является единогласие или консенсус. Многие исследователи отмечают, что это позволяет органам МЕРКОСУР быть выразителями их общей воли . Принятые таким образом акты имеют обязательную силу для государств-членов, хотя и называются по-разному: Совет принимает Решения (ст. 9), Группа - Резолюции (ст. 15), Комиссия - Директивы или Предложения (ст. 20 Протокола). Исполнение решений отдано в сферу ответственности государств, поскольку ст. 38 Протокола Оуру Прету предписывает: "Государства-участники предпримут все меры к исполнению на их соответствующих территориях решений, принятых органами МЕРКОСУР, перечисленными в ст. 2 настоящего Протокола, в которой один параграф. Государства-участники информируют Административный Секретариат МЕРКОСУР о принятых ими в этих целях мерах" (в ст. 2 названы Совет Общего рынка, Группа Общего рынка, Комиссия по торговле МЕРКОСУР).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Причиной невозможности с самого начала принять систему взвешенного голосования латиноамериканские исследователи называют наличие значительных различий в уровне экономического развития государств-участников, и некоторые государства считали, что они будут находиться в невыгодном положении в случае принятия взвешенного или любого иного голосования.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Высказывается мнение о том, что документы МЕРКОСУР не предусматривают передачи никаких властных полномочий от государств к международной организации . Министры государств, работающие в органах МЕРКОСУР, наделяются дополнительными полномочиями, источником которых служит внутреннее право, но осуществляются эти полномочия во внешнеполитической сфере, в процессе переговоров, которые могут привести к формулированию новых обязательств для их государств; приниматься эти обязательства будут с учетом внутреннего права.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Хотя в некоторых положениях учредительных договоров указывается, что решения трех основных органов обязательны для государств-членов, все эти органы по сути являются совещательными. Их административные и предписывающие полномочия ограничиваются регулированием деятельности самой организации и не распространяются на государства-члены.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Однако не забудем, что, несмотря на отсутствие наднациональных элементов, эта организация достигла значительных успехов на пути интеграции.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В тех случаях, когда решения органов МЕРКОСУР обязывают государств-участников, действие этих органов не является прямым, а только косвенным, поскольку эти решения проходят обычную процедуру утверждения в соответствии с внутренним правом каждого государства. Это означает, что решения инкорпорируются в правовую систему государства так, как это диктуется его конституционным правом. Во внутренней правовой системе к этим решениям проявляется такой же подход, как к другим новым международным соглашениям, а иногда - как к актам правоприменения, вводимым во внутренний правопорядок административными методами.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Поскольку МЕРКОСУР ведет довольно разнообразную деятельность, органы, составляющие его структуру, можно разделить по нескольким категориям. Здесь есть органы: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- представляющие МЕРКОСУР во внешних сношениях;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- административные, т.е. ведущие административно-распорядительную деятельность в самой организации;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- устанавливающие стандарты, т.е. органы, формулирующие не правовые нормы, а таможенные правила, технические образцы и т.п.;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- органы разрешения споров и поддержания правопорядка, установленного учредительными договорами и другими основополагающими документами;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- распорядительные органы, занятые экономическими вопросами.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Отдельно следует сказать об органах разрешения споров, которые можно выделить в определенную подсистему, поскольку исполняемые ими функции специфичны и отличаются от функций остальных органов. Латиноамериканские авторы отмечают, что степень развития механизмов разрешения споров, служащих интеграции, и их юридические полномочия целиком зависят от типа интеграции и степени ее развития . Политические системы, ставящие перед собой интеграционные цели, неизбежно вынуждены формировать подсистемы органов разрешения неизбежно возникающих споров с тем, чтобы эти подсистемы действовали по тем нормам, которые являются приемлемыми для них. Такое "инициативное" создание органов разрешения споров является в определенной степени мерой контроля за этими органами.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В литературе стран МЕРКОСУР в отдельную категорию органов выделяют органы, наделенные полномочиями в области экономики и налогообложения . Их, в свою очередь, можно разделить на органы переходного периода и постоянные. Переходные органы - это те, в задачу которых входит формирование общей таможенной зоны; после выполнения этой задачи они исчезнут.</w:t>
      </w:r>
    </w:p>
    <w:p w:rsidR="007926E8" w:rsidRDefault="007926E8" w:rsidP="00D3785F">
      <w:pPr>
        <w:pStyle w:val="ConsPlusNormal"/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D3785F" w:rsidRPr="00D3785F" w:rsidRDefault="00D3785F" w:rsidP="00D3785F">
      <w:pPr>
        <w:pStyle w:val="ConsPlusNormal"/>
        <w:widowControl/>
        <w:spacing w:line="360" w:lineRule="auto"/>
        <w:ind w:firstLine="0"/>
        <w:jc w:val="center"/>
        <w:rPr>
          <w:sz w:val="28"/>
          <w:szCs w:val="28"/>
        </w:rPr>
      </w:pPr>
      <w:r w:rsidRPr="00D3785F">
        <w:rPr>
          <w:sz w:val="28"/>
          <w:szCs w:val="28"/>
        </w:rPr>
        <w:t>ЕврАзЭС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В статье 3 Договора об учреждении Евразийского экономического сообщества  говорится: "Обеспечивая преемственность созданных ранее Договаривающимися Сторонами органов управления интеграцией, для выполнения целей и задач настоящего Договора в рамках ЕврАзЭС действуют: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- Межгосударственный Совет (Межгоссовет);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- Интеграционный Комитет;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- Межпарламентская Ассамблея (МПА);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- Суд Сообщества".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Это значит, что правовая природа, порядок деятельности и юридическая сила актов органов ЕврАзЭС определяются не только данным Договором, но также предыдущими соглашениями (Договором об углублении интеграции в экономической и гуманитарной областях от 29 марта 1996 г. и Договором о Таможенном союзе и Едином экономическом пространстве от 26 февраля 1999 г. ), а также решениями органов управления интеграцией, созданными в соответствии с предыдущими соглашениями. Одним из первых решений Межгосударственного Совета было решение о преобразовании органов, созданных в соответствии с Договором об углублении интеграции, в органы нового Сообщества 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В структуре ЕврАзЭС есть не упомянутая выше Комиссия Постоянных представителей (Постпредов) государств при ЕврАзЭС, которая обеспечивает текущую работу Сообщества в период между заседаниями Интеграционного Комитета. Не упомянут среди органов ЕврАзЭС и Секретариат Интеграционного Комитета.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Документы, определяющие деятельность органов ЕврАзЭС, обладают теми же особенностями, что и документы, относящиеся к органам СНГ, и прежде всего: в самом учредительном договоре полномочия органов Сообщества прописаны очень слабо, основное регулирование заключено в документах второго, если не третьего порядка - в Положениях об органах, принимаемых самими органами, а также в регламентах или правилах процедуры. В статье 5 Договора сказано: "Функции и порядок работы Межгоссовета определяются Положением, которое утверждается Межгоссоветом на уровне глав государств - участников ЕврАзЭС". Точно так же относительно Интеграционного Комитета в ст. 6 сказано: "Функции и порядок работы Интеграционного Комитета определяются положением, утверждаемым Межгосударственным Советом".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Учредительным договором установлена некоторая связь между высшим органом ЕврАзЭС - Межгосударственным Советом и другими органами: Межгоссовет "дает поручения Интеграционному Комитету, обращается с запросами и рекомендациями к Межпарламентской Ассамблее с запросами к Суду Сообщества". Более подробно эта связь определена в Положении о Межгосударственном Совете Евразийского экономического сообщества . По пункту 4 (абзац 3) "(в) заседаниях Межгоссовета могут принимать участие председатель Интеграционного Комитета, Председатель Суда Сообщества, председатель Межпарламентской Ассамблеи, Постоянные представители Сторон при ЕврАзЭС, Генеральный секретарь и приглашенные лица".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В некоторой степени выделены отношения Межгоссовета с Интеграционным Комитетом: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Межгоссовет: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- "заслушивает доклады Интеграционного Комитета о положении дел в Сообществе и ходе реализации его целей и задач" (абзац 3 п. 5). Это положение не совсем соответствует норме абзаца 2 п. 1 Положения об Интеграционном Комитете Евразийского экономического сообщества , в котором сказано, что "Интеграционный Комитет в своей деятельности подотчетен Межгосударственному Совету ЕврАзЭС";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- утверждает по представлению Интеграционного Комитета структуру и численность Секретариата Интеграционного Комитета;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- по представлению Интеграционного Комитета назначает Генерального секретаря и освобождает его от занимаемой должности;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- принимает решения об открытии представительств Интеграционного Комитета.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В Положении предусмотрены также некоторые функции Межгоссовета относительно других органов: относительно Суда Сообщества Межгоссовет представляет кандидатуры для назначения судей в Суд Сообщества в Межпарламентскую Ассамблею;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Интеграционный Комитет в свою очередь по ст. 6 Договора об учреждении ЕврАзЭС "ежегодно представляет Межгоссовету доклад о положении дел в Сообществе и ходе реализации его целей и задач, отчет о своей деятельности, а также об исполнении бюджета ЕврАзЭС".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Относительно его связей с другими органами сказано, что Интеграционный Комитет "имеет право обращаться с рекомендациями в Межгоссовет, с рекомендациями и запросами в Межпарламентскую Ассамблею и правительства Договаривающихся Сторон, с запросами в Суд Сообщества".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Все органы ЕврАзЭС являются межгосударственными: в Межгоссовете представлены главы государств и главы правительств, а в Интеграционном Комитете - заместители глав правительств государств-участников. Представители государств состоят, конечно, из лиц, делегируемых государствами.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Особый статус предусмотрен лишь для сотрудников Секретариата. Он формируется "из числа граждан государств-участников на квотной основе... и лиц, нанимаемых по контракту". Только для Генерального секретаря и персонала Секретариата предусмотрено условие независимости: они не должны запрашивать или получать указания от государств.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О порядке принятия решений органами ЕврАзЭС в учредительном договоре ничего не говорится. Из анализа Положений становится ясно, что они принимают решения разными методами. Межгоссовет применяет консенсус, Интеграционный Комитет - взвешенное голосование.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Таким образом, практика региональных интеграционных объединений показывает большое внимание, уделяемое государствами-членами формированию организационной структуры.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Как элемент управляющего механизма, орган международной организации вообще и орган регионального интеграционного объединения в особенности по своим родовым свойствам имеют нечто общее с органами государства. В.И. Маргиев пишет: "Как и орган государства, орган международной организации - это звено, элемент механизма международной организации", обладающий в то же время определенной самостоятельностью... "Каждый из органов международной организации занимает в ее механизме свое место и прочно связан с другими ее элементами" . Поэтому В.И. Маргиев считает возможным применить к органам международных организаций характеристики, свойственные органам государства: эти органы активно участвуют в реализации функций организации так же, как органы государства реализуют функции государства; органы имеют собственное внутреннее строение; каждый из них обладает компетенцией, которая в свою очередь порождает его властные полномочия, а также способность применять меры принуждения. В региональном интеграционном объединении устройство управляющего механизма приобретает особое значение. Здесь необходимы особая четкость и твердость в определении организационной структуры.</w:t>
      </w:r>
    </w:p>
    <w:p w:rsidR="00D3785F" w:rsidRPr="00D3785F" w:rsidRDefault="00D3785F" w:rsidP="00D3785F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D3785F">
        <w:rPr>
          <w:sz w:val="28"/>
          <w:szCs w:val="28"/>
        </w:rPr>
        <w:t>Целостность регионального интеграционного объединения многих ученых наводит на мысль о конституционности этой организации. Разграничение функций органов международных организаций с самого начала осуществлялось по тем же направлениям, что и между органами государств: одни органы рассматривают общие вопросы и принимают решения перспективного характера, другие органы занимаются исполнением принятых решений. Это наводит на мысль о таком разделении властей, как в государственном праве: на представительную, исполнительную и судебную.</w:t>
      </w:r>
    </w:p>
    <w:p w:rsidR="00D3785F" w:rsidRPr="00D3785F" w:rsidRDefault="00D3785F" w:rsidP="00D3785F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B046AE" w:rsidRDefault="00B046AE" w:rsidP="00B046AE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:rsidR="00B046AE" w:rsidRDefault="00B046AE" w:rsidP="00B046AE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</w:p>
    <w:p w:rsidR="00B046AE" w:rsidRPr="00D3785F" w:rsidRDefault="00B046AE" w:rsidP="00B046AE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3785F">
        <w:rPr>
          <w:sz w:val="28"/>
          <w:szCs w:val="28"/>
        </w:rPr>
        <w:t xml:space="preserve"> Карташкин В.А. Государство и личность в международных правоотношениях // Юрист-международник - International Lawyer. 2004. N 4. С. 3.</w:t>
      </w:r>
    </w:p>
    <w:p w:rsidR="00B046AE" w:rsidRPr="00D3785F" w:rsidRDefault="00B046AE" w:rsidP="00B046AE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3785F">
        <w:rPr>
          <w:sz w:val="28"/>
          <w:szCs w:val="28"/>
        </w:rPr>
        <w:t xml:space="preserve"> Статья 18 Договора о Европейском объединении угля и стали. См.: Документы Европейского Союза. М., 1994. Т. 1. С. 14 - 15.</w:t>
      </w:r>
    </w:p>
    <w:p w:rsidR="00B046AE" w:rsidRPr="00D3785F" w:rsidRDefault="00B046AE" w:rsidP="00B046AE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3785F">
        <w:rPr>
          <w:sz w:val="28"/>
          <w:szCs w:val="28"/>
        </w:rPr>
        <w:t xml:space="preserve"> Право Европейского Союза: Учеб. / Под ред. С.Ю. Кашкина. М., </w:t>
      </w:r>
      <w:r>
        <w:rPr>
          <w:sz w:val="28"/>
          <w:szCs w:val="28"/>
        </w:rPr>
        <w:t>2006</w:t>
      </w:r>
      <w:r w:rsidRPr="00D3785F">
        <w:rPr>
          <w:sz w:val="28"/>
          <w:szCs w:val="28"/>
        </w:rPr>
        <w:t>.</w:t>
      </w:r>
    </w:p>
    <w:p w:rsidR="00B046AE" w:rsidRPr="00D3785F" w:rsidRDefault="00B046AE" w:rsidP="00B046AE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3785F">
        <w:rPr>
          <w:sz w:val="28"/>
          <w:szCs w:val="28"/>
        </w:rPr>
        <w:t xml:space="preserve"> См.: Капустин А.Я. Европейский Союз: интеграция и право. М., 2000. С. 189.</w:t>
      </w:r>
    </w:p>
    <w:p w:rsidR="00B046AE" w:rsidRPr="00B046AE" w:rsidRDefault="00B046AE" w:rsidP="00B046AE">
      <w:pPr>
        <w:numPr>
          <w:ilvl w:val="0"/>
          <w:numId w:val="1"/>
        </w:numPr>
        <w:rPr>
          <w:rFonts w:ascii="Arial" w:hAnsi="Arial" w:cs="Arial"/>
        </w:rPr>
      </w:pPr>
      <w:r w:rsidRPr="00B046AE">
        <w:rPr>
          <w:rFonts w:ascii="Arial" w:hAnsi="Arial" w:cs="Arial"/>
          <w:sz w:val="28"/>
          <w:szCs w:val="28"/>
        </w:rPr>
        <w:t>Московский журнал международного права. 2001. N 3. С. 233 - 244</w:t>
      </w:r>
    </w:p>
    <w:p w:rsidR="00D261D0" w:rsidRPr="00D3785F" w:rsidRDefault="00D261D0" w:rsidP="00D3785F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D261D0" w:rsidRPr="00D3785F" w:rsidSect="003F244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81F39"/>
    <w:multiLevelType w:val="hybridMultilevel"/>
    <w:tmpl w:val="2ACEA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E7A"/>
    <w:rsid w:val="003F2443"/>
    <w:rsid w:val="005D608E"/>
    <w:rsid w:val="007926E8"/>
    <w:rsid w:val="00850E7A"/>
    <w:rsid w:val="00A323D9"/>
    <w:rsid w:val="00B046AE"/>
    <w:rsid w:val="00B82427"/>
    <w:rsid w:val="00BB0AED"/>
    <w:rsid w:val="00D147F7"/>
    <w:rsid w:val="00D261D0"/>
    <w:rsid w:val="00D3785F"/>
    <w:rsid w:val="00E7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EDD9C5-4E39-4CAA-8B9F-3FE5CE08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6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78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78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378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3F24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F2443"/>
  </w:style>
  <w:style w:type="paragraph" w:styleId="a6">
    <w:name w:val="footer"/>
    <w:basedOn w:val="a"/>
    <w:link w:val="a7"/>
    <w:uiPriority w:val="99"/>
    <w:rsid w:val="00E769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4296</Words>
  <Characters>24491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органов регионального интеграционного объединения</vt:lpstr>
    </vt:vector>
  </TitlesOfParts>
  <Company>ОАО "НЭК"</Company>
  <LinksUpToDate>false</LinksUpToDate>
  <CharactersWithSpaces>28730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органов регионального интеграционного объединения</dc:title>
  <dc:subject/>
  <dc:creator>refersb</dc:creator>
  <cp:keywords/>
  <dc:description/>
  <cp:lastModifiedBy>admin</cp:lastModifiedBy>
  <cp:revision>2</cp:revision>
  <dcterms:created xsi:type="dcterms:W3CDTF">2014-02-28T06:33:00Z</dcterms:created>
  <dcterms:modified xsi:type="dcterms:W3CDTF">2014-02-28T06:33:00Z</dcterms:modified>
</cp:coreProperties>
</file>