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5F" w:rsidRPr="00917BCA" w:rsidRDefault="00E45F5F" w:rsidP="00917BCA">
      <w:pPr>
        <w:pStyle w:val="aff3"/>
      </w:pPr>
      <w:r w:rsidRPr="00917BCA">
        <w:t>Министерство образования Российской Федерации</w:t>
      </w:r>
    </w:p>
    <w:p w:rsidR="00E45F5F" w:rsidRPr="00917BCA" w:rsidRDefault="00E45F5F" w:rsidP="00917BCA">
      <w:pPr>
        <w:pStyle w:val="aff3"/>
      </w:pPr>
      <w:r w:rsidRPr="00917BCA">
        <w:t>Пензенский Государственный Университет</w:t>
      </w:r>
    </w:p>
    <w:p w:rsidR="00917BCA" w:rsidRPr="00917BCA" w:rsidRDefault="00E45F5F" w:rsidP="00917BCA">
      <w:pPr>
        <w:pStyle w:val="aff3"/>
      </w:pPr>
      <w:r w:rsidRPr="00917BCA">
        <w:t>Медицинский Институт</w:t>
      </w:r>
    </w:p>
    <w:p w:rsidR="00917BCA" w:rsidRPr="00917BCA" w:rsidRDefault="00E45F5F" w:rsidP="00917BCA">
      <w:pPr>
        <w:pStyle w:val="aff3"/>
      </w:pPr>
      <w:r w:rsidRPr="00917BCA">
        <w:t>Кафедра Терапии</w:t>
      </w:r>
    </w:p>
    <w:p w:rsidR="00917BCA" w:rsidRPr="00917BCA" w:rsidRDefault="00E45F5F" w:rsidP="00917BCA">
      <w:pPr>
        <w:pStyle w:val="aff3"/>
      </w:pPr>
      <w:r w:rsidRPr="00917BCA">
        <w:t>Зав</w:t>
      </w:r>
      <w:r w:rsidR="00917BCA" w:rsidRPr="00917BCA">
        <w:t xml:space="preserve">. </w:t>
      </w:r>
      <w:r w:rsidRPr="00917BCA">
        <w:t>кафедрой д</w:t>
      </w:r>
      <w:r w:rsidR="00917BCA" w:rsidRPr="00917BCA">
        <w:t xml:space="preserve">. </w:t>
      </w:r>
      <w:r w:rsidRPr="00917BCA">
        <w:t>м</w:t>
      </w:r>
      <w:r w:rsidR="00917BCA" w:rsidRPr="00917BCA">
        <w:t xml:space="preserve">. </w:t>
      </w:r>
      <w:r w:rsidRPr="00917BCA">
        <w:t>н</w:t>
      </w:r>
      <w:r w:rsidR="00917BCA">
        <w:t>.</w:t>
      </w: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E45F5F" w:rsidRPr="00917BCA" w:rsidRDefault="00E45F5F" w:rsidP="00917BCA">
      <w:pPr>
        <w:pStyle w:val="aff3"/>
      </w:pPr>
      <w:r w:rsidRPr="00917BCA">
        <w:t>Реферат</w:t>
      </w:r>
    </w:p>
    <w:p w:rsidR="00917BCA" w:rsidRDefault="00E45F5F" w:rsidP="00917BCA">
      <w:pPr>
        <w:pStyle w:val="aff3"/>
      </w:pPr>
      <w:r w:rsidRPr="00917BCA">
        <w:t>на тему</w:t>
      </w:r>
      <w:r w:rsidR="00917BCA" w:rsidRPr="00917BCA">
        <w:t>:</w:t>
      </w:r>
    </w:p>
    <w:p w:rsidR="00917BCA" w:rsidRDefault="00917BCA" w:rsidP="00917BCA">
      <w:pPr>
        <w:pStyle w:val="aff3"/>
      </w:pPr>
      <w:r>
        <w:t>"</w:t>
      </w:r>
      <w:r w:rsidR="00AC10D0" w:rsidRPr="00917BCA">
        <w:t>Система осморегуляции и интегральная оценка функционального состояния</w:t>
      </w:r>
      <w:r>
        <w:t>"</w:t>
      </w: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E45F5F" w:rsidP="00917BCA">
      <w:pPr>
        <w:pStyle w:val="aff3"/>
        <w:jc w:val="left"/>
      </w:pPr>
      <w:r w:rsidRPr="00917BCA">
        <w:t>Выполнила</w:t>
      </w:r>
      <w:r w:rsidR="00917BCA" w:rsidRPr="00917BCA">
        <w:t xml:space="preserve">: </w:t>
      </w:r>
      <w:r w:rsidRPr="00917BCA">
        <w:t>студентка V курса</w:t>
      </w:r>
    </w:p>
    <w:p w:rsidR="00917BCA" w:rsidRDefault="00E45F5F" w:rsidP="00917BCA">
      <w:pPr>
        <w:pStyle w:val="aff3"/>
        <w:jc w:val="left"/>
      </w:pPr>
      <w:r w:rsidRPr="00917BCA">
        <w:t>Проверил</w:t>
      </w:r>
      <w:r w:rsidR="00917BCA" w:rsidRPr="00917BCA">
        <w:t xml:space="preserve">: </w:t>
      </w:r>
      <w:r w:rsidRPr="00917BCA">
        <w:t>к</w:t>
      </w:r>
      <w:r w:rsidR="00917BCA" w:rsidRPr="00917BCA">
        <w:t xml:space="preserve">. </w:t>
      </w:r>
      <w:r w:rsidRPr="00917BCA">
        <w:t>м</w:t>
      </w:r>
      <w:r w:rsidR="00917BCA" w:rsidRPr="00917BCA">
        <w:t xml:space="preserve">. </w:t>
      </w:r>
      <w:r w:rsidRPr="00917BCA">
        <w:t>н</w:t>
      </w:r>
      <w:r w:rsidR="00917BCA">
        <w:t>.,</w:t>
      </w:r>
      <w:r w:rsidRPr="00917BCA">
        <w:t xml:space="preserve"> доцент</w:t>
      </w: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917BCA" w:rsidRDefault="00917BCA" w:rsidP="00917BCA">
      <w:pPr>
        <w:pStyle w:val="aff3"/>
      </w:pPr>
    </w:p>
    <w:p w:rsidR="00E45F5F" w:rsidRPr="00917BCA" w:rsidRDefault="00E45F5F" w:rsidP="00917BCA">
      <w:pPr>
        <w:pStyle w:val="aff3"/>
      </w:pPr>
      <w:r w:rsidRPr="00917BCA">
        <w:t>Пенза</w:t>
      </w:r>
      <w:r w:rsidR="00917BCA">
        <w:t xml:space="preserve"> </w:t>
      </w:r>
      <w:r w:rsidRPr="00917BCA">
        <w:t>2008</w:t>
      </w:r>
    </w:p>
    <w:p w:rsidR="00E45F5F" w:rsidRPr="00917BCA" w:rsidRDefault="00917BCA" w:rsidP="00917BCA">
      <w:pPr>
        <w:pStyle w:val="afd"/>
      </w:pPr>
      <w:r>
        <w:br w:type="page"/>
      </w:r>
      <w:r w:rsidR="00E45F5F" w:rsidRPr="00917BCA">
        <w:t>План</w:t>
      </w:r>
    </w:p>
    <w:p w:rsidR="00917BCA" w:rsidRDefault="00917BCA" w:rsidP="00917BCA"/>
    <w:p w:rsidR="00AD7C1A" w:rsidRDefault="00AD7C1A">
      <w:pPr>
        <w:pStyle w:val="27"/>
        <w:rPr>
          <w:smallCaps w:val="0"/>
          <w:noProof/>
          <w:sz w:val="24"/>
          <w:szCs w:val="24"/>
        </w:rPr>
      </w:pPr>
      <w:r w:rsidRPr="0082216E">
        <w:rPr>
          <w:rStyle w:val="af7"/>
          <w:noProof/>
        </w:rPr>
        <w:t>1. Система осморегуляции</w:t>
      </w:r>
    </w:p>
    <w:p w:rsidR="00AD7C1A" w:rsidRDefault="00AD7C1A">
      <w:pPr>
        <w:pStyle w:val="27"/>
        <w:rPr>
          <w:smallCaps w:val="0"/>
          <w:noProof/>
          <w:sz w:val="24"/>
          <w:szCs w:val="24"/>
        </w:rPr>
      </w:pPr>
      <w:r w:rsidRPr="0082216E">
        <w:rPr>
          <w:rStyle w:val="af7"/>
          <w:noProof/>
        </w:rPr>
        <w:t>2. Интегральная оценка функционального состояния</w:t>
      </w:r>
    </w:p>
    <w:p w:rsidR="00AD7C1A" w:rsidRDefault="00AD7C1A">
      <w:pPr>
        <w:pStyle w:val="27"/>
        <w:rPr>
          <w:smallCaps w:val="0"/>
          <w:noProof/>
          <w:sz w:val="24"/>
          <w:szCs w:val="24"/>
        </w:rPr>
      </w:pPr>
      <w:r w:rsidRPr="0082216E">
        <w:rPr>
          <w:rStyle w:val="af7"/>
          <w:noProof/>
        </w:rPr>
        <w:t>Литература</w:t>
      </w:r>
    </w:p>
    <w:p w:rsidR="00917BCA" w:rsidRDefault="00917BCA" w:rsidP="00917BCA"/>
    <w:p w:rsidR="002228EA" w:rsidRPr="00917BCA" w:rsidRDefault="00917BCA" w:rsidP="00917BCA">
      <w:pPr>
        <w:pStyle w:val="2"/>
      </w:pPr>
      <w:r>
        <w:br w:type="page"/>
      </w:r>
      <w:bookmarkStart w:id="0" w:name="_Toc242315680"/>
      <w:r w:rsidR="00AC10D0" w:rsidRPr="00917BCA">
        <w:t>1</w:t>
      </w:r>
      <w:r w:rsidRPr="00917BCA">
        <w:t xml:space="preserve">. </w:t>
      </w:r>
      <w:r w:rsidR="002228EA" w:rsidRPr="00917BCA">
        <w:t>Система осморегуляции</w:t>
      </w:r>
      <w:bookmarkEnd w:id="0"/>
    </w:p>
    <w:p w:rsidR="00917BCA" w:rsidRDefault="00917BCA" w:rsidP="00917BCA"/>
    <w:p w:rsidR="00917BCA" w:rsidRDefault="002228EA" w:rsidP="00917BCA">
      <w:r w:rsidRPr="00917BCA">
        <w:t>Осмосом</w:t>
      </w:r>
      <w:r w:rsidRPr="00917BCA">
        <w:rPr>
          <w:i/>
          <w:iCs/>
        </w:rPr>
        <w:t xml:space="preserve"> </w:t>
      </w:r>
      <w:r w:rsidRPr="00917BCA">
        <w:t>называется процесс, при котором происходит спонтанное движение молекул растворителя из раствора с низкой концентрацией в раствор с высокой концентрацией через мембрану, проницаемую только для растворителя</w:t>
      </w:r>
      <w:r w:rsidR="00917BCA" w:rsidRPr="00917BCA">
        <w:t xml:space="preserve">. </w:t>
      </w:r>
      <w:r w:rsidRPr="00917BCA">
        <w:t>Причем процесс этот продолжается до тех пор, пока не произойдет уравновешивание концентраций по обе стороны мембраны</w:t>
      </w:r>
      <w:r w:rsidR="00917BCA" w:rsidRPr="00917BCA">
        <w:t xml:space="preserve">. </w:t>
      </w:r>
      <w:r w:rsidRPr="00917BCA">
        <w:t>Давление, с которым растворитель проникает</w:t>
      </w:r>
      <w:r w:rsidR="00917BCA">
        <w:t xml:space="preserve"> ("</w:t>
      </w:r>
      <w:r w:rsidRPr="00917BCA">
        <w:t>засасывается</w:t>
      </w:r>
      <w:r w:rsidR="00917BCA">
        <w:t>"</w:t>
      </w:r>
      <w:r w:rsidR="00917BCA" w:rsidRPr="00917BCA">
        <w:t xml:space="preserve">) </w:t>
      </w:r>
      <w:r w:rsidRPr="00917BCA">
        <w:t>через мембрану,</w:t>
      </w:r>
      <w:r w:rsidRPr="00917BCA">
        <w:rPr>
          <w:i/>
          <w:iCs/>
        </w:rPr>
        <w:t xml:space="preserve"> </w:t>
      </w:r>
      <w:r w:rsidRPr="00917BCA">
        <w:t>называется осмотическим</w:t>
      </w:r>
      <w:r w:rsidR="00917BCA" w:rsidRPr="00917BCA">
        <w:t>.</w:t>
      </w:r>
    </w:p>
    <w:p w:rsidR="00917BCA" w:rsidRDefault="002228EA" w:rsidP="00917BCA">
      <w:r w:rsidRPr="00917BCA">
        <w:t>Таким образом, раствор, находящийся во флаконе, осмотическим давлением не обладает</w:t>
      </w:r>
      <w:r w:rsidR="00917BCA" w:rsidRPr="00917BCA">
        <w:t xml:space="preserve">. </w:t>
      </w:r>
      <w:r w:rsidRPr="00917BCA">
        <w:t>Оно возникает только в том случае, если имеется полупроницаемая мембрана и осмотический градиент по обе стороны ее</w:t>
      </w:r>
      <w:r w:rsidR="00917BCA" w:rsidRPr="00917BCA">
        <w:t xml:space="preserve">. </w:t>
      </w:r>
      <w:r w:rsidRPr="00917BCA">
        <w:t>Поскольку по мере перемещения растворителя осмотический градиент уменьшается, осмотическое давление есть величина непостоянная</w:t>
      </w:r>
      <w:r w:rsidR="00917BCA" w:rsidRPr="00917BCA">
        <w:t>.</w:t>
      </w:r>
    </w:p>
    <w:p w:rsidR="00917BCA" w:rsidRDefault="002228EA" w:rsidP="00917BCA">
      <w:r w:rsidRPr="00917BCA">
        <w:t>Как и любое другое давление, осмотическое давление измеряется в атмосферах, миллиметрах ртутного либо сантиметрах водного столба</w:t>
      </w:r>
      <w:r w:rsidR="00917BCA" w:rsidRPr="00917BCA">
        <w:t xml:space="preserve">. </w:t>
      </w:r>
      <w:r w:rsidRPr="00917BCA">
        <w:t>Например, на уровне капиллярной сети давление плазмы крови в норме составляет в среднем 6,62 атм</w:t>
      </w:r>
      <w:r w:rsidR="00917BCA">
        <w:t xml:space="preserve"> (</w:t>
      </w:r>
      <w:r w:rsidRPr="00917BCA">
        <w:t>от 6,47 до 6,72 атм</w:t>
      </w:r>
      <w:r w:rsidR="00917BCA" w:rsidRPr="00917BCA">
        <w:t>).</w:t>
      </w:r>
    </w:p>
    <w:p w:rsidR="00917BCA" w:rsidRDefault="002228EA" w:rsidP="00917BCA">
      <w:r w:rsidRPr="00917BCA">
        <w:t>Осмос не следует путать с диффузией</w:t>
      </w:r>
      <w:r w:rsidR="00917BCA" w:rsidRPr="00917BCA">
        <w:t xml:space="preserve"> - </w:t>
      </w:r>
      <w:r w:rsidRPr="00917BCA">
        <w:t>пассивным перемещением молекул или ионов растворенного вещества через проницаемую для них мембрану из раствора с большей концентрацией в раствор с низкой концентрацией</w:t>
      </w:r>
      <w:r w:rsidR="00917BCA" w:rsidRPr="00917BCA">
        <w:t>.</w:t>
      </w:r>
    </w:p>
    <w:p w:rsidR="00917BCA" w:rsidRDefault="002228EA" w:rsidP="00917BCA">
      <w:r w:rsidRPr="00917BCA">
        <w:t>Коллоидно-осмотическое давление</w:t>
      </w:r>
      <w:r w:rsidR="00917BCA" w:rsidRPr="00917BCA">
        <w:rPr>
          <w:i/>
          <w:iCs/>
        </w:rPr>
        <w:t xml:space="preserve"> - </w:t>
      </w:r>
      <w:r w:rsidRPr="00917BCA">
        <w:t>часть осмотического давления плазмы, которая создается частицами с большим молекулярным весом</w:t>
      </w:r>
      <w:r w:rsidR="00917BCA">
        <w:t xml:space="preserve"> (</w:t>
      </w:r>
      <w:r w:rsidRPr="00917BCA">
        <w:t>более 30000 Д</w:t>
      </w:r>
      <w:r w:rsidR="00917BCA" w:rsidRPr="00917BCA">
        <w:t>),</w:t>
      </w:r>
      <w:r w:rsidRPr="00917BCA">
        <w:t xml:space="preserve"> преимущественно белками, с трудом проникающими через стенку капилляров, которая играет в организме роль полупроницаемой мембраны</w:t>
      </w:r>
      <w:r w:rsidR="00917BCA" w:rsidRPr="00917BCA">
        <w:t xml:space="preserve">. </w:t>
      </w:r>
      <w:r w:rsidRPr="00917BCA">
        <w:t>Поэтому коллоидно-осмотическое давление плазмы еще называют онкотическим</w:t>
      </w:r>
      <w:r w:rsidR="00917BCA" w:rsidRPr="00917BCA">
        <w:t>.</w:t>
      </w:r>
    </w:p>
    <w:p w:rsidR="00917BCA" w:rsidRDefault="002228EA" w:rsidP="00917BCA">
      <w:r w:rsidRPr="00917BCA">
        <w:t>Осмотическое и коллоидно-осмотическое давление часто путают с концентрационными показателями осмотического состояния</w:t>
      </w:r>
      <w:r w:rsidR="00917BCA" w:rsidRPr="00917BCA">
        <w:t xml:space="preserve"> - </w:t>
      </w:r>
      <w:r w:rsidRPr="00917BCA">
        <w:t>осмолярностью и осмоляльностью, которые отражают соотношение растворителя</w:t>
      </w:r>
      <w:r w:rsidR="00917BCA">
        <w:t xml:space="preserve"> (т.е.</w:t>
      </w:r>
      <w:r w:rsidR="00917BCA" w:rsidRPr="00917BCA">
        <w:t xml:space="preserve"> </w:t>
      </w:r>
      <w:r w:rsidRPr="00917BCA">
        <w:t>плазмы или воды</w:t>
      </w:r>
      <w:r w:rsidR="00917BCA" w:rsidRPr="00917BCA">
        <w:t xml:space="preserve">) </w:t>
      </w:r>
      <w:r w:rsidRPr="00917BCA">
        <w:t>и растворенных веществ</w:t>
      </w:r>
      <w:r w:rsidR="00917BCA">
        <w:t xml:space="preserve"> (т.е.</w:t>
      </w:r>
      <w:r w:rsidR="00917BCA" w:rsidRPr="00917BCA">
        <w:t xml:space="preserve"> </w:t>
      </w:r>
      <w:r w:rsidRPr="00917BCA">
        <w:t>электролитов, белков, жиров, углеводов, микроэлементов, гормонов, энзимов и витаминов</w:t>
      </w:r>
      <w:r w:rsidR="00917BCA" w:rsidRPr="00917BCA">
        <w:t xml:space="preserve">). </w:t>
      </w:r>
      <w:r w:rsidRPr="00917BCA">
        <w:t>Осмолярность представляет собой суммарную концентрацию осмотически активных частиц в единице объема растворителя, например, в 1 л</w:t>
      </w:r>
      <w:r w:rsidR="00917BCA">
        <w:t xml:space="preserve"> (</w:t>
      </w:r>
      <w:r w:rsidRPr="00917BCA">
        <w:t>мосм/л</w:t>
      </w:r>
      <w:r w:rsidR="00917BCA" w:rsidRPr="00917BCA">
        <w:t>),</w:t>
      </w:r>
      <w:r w:rsidRPr="00917BCA">
        <w:t xml:space="preserve"> а осмоляльность</w:t>
      </w:r>
      <w:r w:rsidR="00917BCA" w:rsidRPr="00917BCA">
        <w:t xml:space="preserve"> - </w:t>
      </w:r>
      <w:r w:rsidRPr="00917BCA">
        <w:t>в единице массы растворителя, например, в 1 кг воды</w:t>
      </w:r>
      <w:r w:rsidR="00917BCA">
        <w:t xml:space="preserve"> (</w:t>
      </w:r>
      <w:r w:rsidRPr="00917BCA">
        <w:t>мосм/кг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 xml:space="preserve">). </w:t>
      </w:r>
      <w:r w:rsidRPr="00917BCA">
        <w:t>Известно, что в биологических жидкостях</w:t>
      </w:r>
      <w:r w:rsidR="00917BCA">
        <w:t xml:space="preserve"> (</w:t>
      </w:r>
      <w:r w:rsidRPr="00917BCA">
        <w:t xml:space="preserve">плазма, моча и </w:t>
      </w:r>
      <w:r w:rsidR="00917BCA">
        <w:t>др.)</w:t>
      </w:r>
      <w:r w:rsidR="00917BCA" w:rsidRPr="00917BCA">
        <w:t xml:space="preserve"> </w:t>
      </w:r>
      <w:r w:rsidRPr="00917BCA">
        <w:t>кроме воды обязательно имеются мелкодисперстные вещества</w:t>
      </w:r>
      <w:r w:rsidR="00917BCA" w:rsidRPr="00917BCA">
        <w:t xml:space="preserve">. </w:t>
      </w:r>
      <w:r w:rsidRPr="00917BCA">
        <w:t>Причем, чем большую часть в литре плазмы занимают белки, липиды и им подобные вещества, тем меньше места останется для свободной воды</w:t>
      </w:r>
      <w:r w:rsidR="00917BCA" w:rsidRPr="00917BCA">
        <w:t xml:space="preserve">. </w:t>
      </w:r>
      <w:r w:rsidRPr="00917BCA">
        <w:t>Поэтому, чтобы избежать влияния величины осадка</w:t>
      </w:r>
      <w:r w:rsidR="00917BCA">
        <w:t xml:space="preserve"> (</w:t>
      </w:r>
      <w:r w:rsidRPr="00917BCA">
        <w:t xml:space="preserve">гиперлипидемия, гиперпротеинемия и </w:t>
      </w:r>
      <w:r w:rsidR="00917BCA">
        <w:t>т.п.)</w:t>
      </w:r>
      <w:r w:rsidR="00917BCA" w:rsidRPr="00917BCA">
        <w:t xml:space="preserve"> </w:t>
      </w:r>
      <w:r w:rsidRPr="00917BCA">
        <w:t>на показатель концентрации осмотически активных веществ, рекомендуется измерять не осмолярность, а осмоляльность</w:t>
      </w:r>
      <w:r w:rsidR="00917BCA" w:rsidRPr="00917BCA">
        <w:t xml:space="preserve">. </w:t>
      </w:r>
      <w:r w:rsidRPr="00917BCA">
        <w:t>Поскольку среднее содержание воды в плазме крови обычно составляет примерно 92%, осмоляльность ее будет равна осмолярности, умноженной на 0,92</w:t>
      </w:r>
      <w:r w:rsidR="00917BCA" w:rsidRPr="00917BCA">
        <w:t>.</w:t>
      </w:r>
    </w:p>
    <w:p w:rsidR="00917BCA" w:rsidRDefault="002228EA" w:rsidP="00917BCA">
      <w:r w:rsidRPr="00917BCA">
        <w:t>Величина осмоляльности зависит только от количества частиц, растворенных в единице объема растворителя, а не от их природы, размера, массы и валентности</w:t>
      </w:r>
      <w:r w:rsidR="00917BCA" w:rsidRPr="00917BCA">
        <w:t xml:space="preserve">. </w:t>
      </w:r>
      <w:r w:rsidRPr="00917BCA">
        <w:t>За единицу осмоляльности принята осмоляльность раствора, содержащего 1 моль растворенного вещества</w:t>
      </w:r>
      <w:r w:rsidR="00917BCA" w:rsidRPr="00917BCA">
        <w:t xml:space="preserve">. </w:t>
      </w:r>
      <w:r w:rsidRPr="00917BCA">
        <w:t>Сделано это потому, что в 1 моле всегда находится одно и то же число молекул</w:t>
      </w:r>
      <w:r w:rsidR="00917BCA">
        <w:t xml:space="preserve"> (</w:t>
      </w:r>
      <w:r w:rsidRPr="00917BCA">
        <w:t>число Авогадро</w:t>
      </w:r>
      <w:r w:rsidR="00917BCA" w:rsidRPr="00917BCA">
        <w:t xml:space="preserve"> - </w:t>
      </w:r>
      <w:r w:rsidRPr="00917BCA">
        <w:t>6,02* 10</w:t>
      </w:r>
      <w:r w:rsidRPr="00917BCA">
        <w:rPr>
          <w:vertAlign w:val="superscript"/>
        </w:rPr>
        <w:t>23</w:t>
      </w:r>
      <w:r w:rsidR="00917BCA" w:rsidRPr="00917BCA">
        <w:t xml:space="preserve">). </w:t>
      </w:r>
      <w:r w:rsidRPr="00917BCA">
        <w:t>Другими словами, одномоляльный раствор содержит 6,02*10</w:t>
      </w:r>
      <w:r w:rsidRPr="00917BCA">
        <w:rPr>
          <w:vertAlign w:val="superscript"/>
        </w:rPr>
        <w:t>23</w:t>
      </w:r>
      <w:r w:rsidRPr="00917BCA">
        <w:t xml:space="preserve"> частиц на каждый кг воды</w:t>
      </w:r>
      <w:r w:rsidR="00917BCA" w:rsidRPr="00917BCA">
        <w:t xml:space="preserve">. </w:t>
      </w:r>
      <w:r w:rsidRPr="00917BCA">
        <w:t>Установлено, что внесение в раствор вещества в таком количестве снижает точку замерзания этого раствора на 1,86</w:t>
      </w:r>
      <w:r w:rsidRPr="00917BCA">
        <w:rPr>
          <w:vertAlign w:val="superscript"/>
        </w:rPr>
        <w:t>о</w:t>
      </w:r>
      <w:r w:rsidRPr="00917BCA">
        <w:t xml:space="preserve"> С</w:t>
      </w:r>
      <w:r w:rsidR="00917BCA" w:rsidRPr="00917BCA">
        <w:t xml:space="preserve">. </w:t>
      </w:r>
      <w:r w:rsidRPr="00917BCA">
        <w:t>На данном явлении и основан принцип осмометрии</w:t>
      </w:r>
      <w:r w:rsidR="00917BCA" w:rsidRPr="00917BCA">
        <w:t xml:space="preserve">. </w:t>
      </w:r>
      <w:r w:rsidRPr="00917BCA">
        <w:t>Электронное устройство, позволяющее измерять с высокой точностью температуру замерзания биологических жидкостей, называется криоскопом или осмометром</w:t>
      </w:r>
      <w:r w:rsidR="00917BCA" w:rsidRPr="00917BCA">
        <w:t xml:space="preserve">. </w:t>
      </w:r>
      <w:r w:rsidRPr="00917BCA">
        <w:t>В связи с тем, что осмоляльность биологических жидкостей не очень велика, для удобства принято пользоваться тысячной долей моля</w:t>
      </w:r>
      <w:r w:rsidR="00917BCA">
        <w:t xml:space="preserve"> (</w:t>
      </w:r>
      <w:r w:rsidRPr="00917BCA">
        <w:t>ммоль</w:t>
      </w:r>
      <w:r w:rsidR="00917BCA" w:rsidRPr="00917BCA">
        <w:t xml:space="preserve">). </w:t>
      </w:r>
      <w:r w:rsidRPr="00917BCA">
        <w:t>Для того же, чтобы акцентировать внимание на том, что речь идет об осмотически активных частицах, к слову</w:t>
      </w:r>
      <w:r w:rsidR="00917BCA">
        <w:t xml:space="preserve"> "</w:t>
      </w:r>
      <w:r w:rsidRPr="00917BCA">
        <w:t>ммоль</w:t>
      </w:r>
      <w:r w:rsidR="00917BCA">
        <w:t xml:space="preserve">" </w:t>
      </w:r>
      <w:r w:rsidRPr="00917BCA">
        <w:t>добавляют частицу</w:t>
      </w:r>
      <w:r w:rsidR="00917BCA">
        <w:t xml:space="preserve"> "</w:t>
      </w:r>
      <w:r w:rsidRPr="00917BCA">
        <w:t>ос</w:t>
      </w:r>
      <w:r w:rsidR="00917BCA">
        <w:t>" (</w:t>
      </w:r>
      <w:r w:rsidRPr="00917BCA">
        <w:t>мосмоль/кг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 xml:space="preserve">). </w:t>
      </w:r>
      <w:r w:rsidRPr="00917BCA">
        <w:t>Следовательно, понятие</w:t>
      </w:r>
      <w:r w:rsidR="00917BCA">
        <w:t xml:space="preserve"> "</w:t>
      </w:r>
      <w:r w:rsidRPr="00917BCA">
        <w:t>осмоляльность</w:t>
      </w:r>
      <w:r w:rsidR="00917BCA">
        <w:t xml:space="preserve">" </w:t>
      </w:r>
      <w:r w:rsidRPr="00917BCA">
        <w:t>тождественно понятию</w:t>
      </w:r>
      <w:r w:rsidR="00917BCA">
        <w:t xml:space="preserve"> "</w:t>
      </w:r>
      <w:r w:rsidRPr="00917BCA">
        <w:t>моляльность</w:t>
      </w:r>
      <w:r w:rsidR="00917BCA">
        <w:t xml:space="preserve">", </w:t>
      </w:r>
      <w:r w:rsidRPr="00917BCA">
        <w:t>а 1 мосмоль, также как и 1 ммоль, соответствует содержанию 6,02*10</w:t>
      </w:r>
      <w:r w:rsidRPr="00917BCA">
        <w:rPr>
          <w:vertAlign w:val="superscript"/>
        </w:rPr>
        <w:t>19</w:t>
      </w:r>
      <w:r w:rsidRPr="00917BCA">
        <w:t xml:space="preserve"> частиц в каждом кг растворителя</w:t>
      </w:r>
      <w:r w:rsidR="00917BCA" w:rsidRPr="00917BCA">
        <w:t xml:space="preserve">. </w:t>
      </w:r>
      <w:r w:rsidRPr="00917BCA">
        <w:t>В системе СИ</w:t>
      </w:r>
      <w:r w:rsidR="00917BCA">
        <w:t xml:space="preserve"> "</w:t>
      </w:r>
      <w:r w:rsidRPr="00917BCA">
        <w:t>мосмоль</w:t>
      </w:r>
      <w:r w:rsidR="00917BCA">
        <w:t xml:space="preserve">" </w:t>
      </w:r>
      <w:r w:rsidRPr="00917BCA">
        <w:t>как самостоятельная единица, отсутствует, поэтому иногда в научных трудах для отражения осмоляльности используют выражение ммоль/кг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>.</w:t>
      </w:r>
    </w:p>
    <w:p w:rsidR="00917BCA" w:rsidRDefault="002228EA" w:rsidP="00917BCA">
      <w:r w:rsidRPr="00917BCA">
        <w:t>Осмоляльность плазмы и ликвора в норме составляет 285+10, слюны</w:t>
      </w:r>
      <w:r w:rsidR="00917BCA" w:rsidRPr="00917BCA">
        <w:t xml:space="preserve"> - </w:t>
      </w:r>
      <w:r w:rsidRPr="00917BCA">
        <w:t>100-200, желудочного сока</w:t>
      </w:r>
      <w:r w:rsidR="00917BCA" w:rsidRPr="00917BCA">
        <w:t xml:space="preserve"> - </w:t>
      </w:r>
      <w:r w:rsidRPr="00917BCA">
        <w:t>160-340, желчи</w:t>
      </w:r>
      <w:r w:rsidR="00917BCA" w:rsidRPr="00917BCA">
        <w:t xml:space="preserve"> - </w:t>
      </w:r>
      <w:r w:rsidRPr="00917BCA">
        <w:t>280-300, мочи</w:t>
      </w:r>
      <w:r w:rsidR="00917BCA" w:rsidRPr="00917BCA">
        <w:t xml:space="preserve"> - </w:t>
      </w:r>
      <w:r w:rsidRPr="00917BCA">
        <w:t>600-1500 мосмоль/кг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>.</w:t>
      </w:r>
    </w:p>
    <w:p w:rsidR="00917BCA" w:rsidRDefault="002228EA" w:rsidP="00917BCA">
      <w:r w:rsidRPr="00917BCA">
        <w:t>Вклад различных веществ в осмоляльность неодинаков</w:t>
      </w:r>
      <w:r w:rsidR="00917BCA" w:rsidRPr="00917BCA">
        <w:t xml:space="preserve">. </w:t>
      </w:r>
      <w:r w:rsidRPr="00917BCA">
        <w:t>Например, в плазме 98% ее обеспечивается электролитами, в том числе почти 50%</w:t>
      </w:r>
      <w:r w:rsidR="00917BCA" w:rsidRPr="00917BCA">
        <w:t xml:space="preserve"> - </w:t>
      </w:r>
      <w:r w:rsidRPr="00917BCA">
        <w:t>натрием</w:t>
      </w:r>
      <w:r w:rsidR="00917BCA" w:rsidRPr="00917BCA">
        <w:t xml:space="preserve">. </w:t>
      </w:r>
      <w:r w:rsidRPr="00917BCA">
        <w:t>Из других имеющихся в крови физиологических частиц наибольшей осмотической активностью</w:t>
      </w:r>
      <w:r w:rsidR="00917BCA">
        <w:t xml:space="preserve"> (</w:t>
      </w:r>
      <w:r w:rsidRPr="00917BCA">
        <w:t>кроме электролитов</w:t>
      </w:r>
      <w:r w:rsidR="00917BCA" w:rsidRPr="00917BCA">
        <w:t xml:space="preserve">) </w:t>
      </w:r>
      <w:r w:rsidRPr="00917BCA">
        <w:t>обладают глюкоза и мочевина</w:t>
      </w:r>
      <w:r w:rsidR="00917BCA" w:rsidRPr="00917BCA">
        <w:t xml:space="preserve">. </w:t>
      </w:r>
      <w:r w:rsidRPr="00917BCA">
        <w:t>Именно от них и от натрия главным образом и зависит величина осмоляльности плазмы, так как концентрация в крови ионов К</w:t>
      </w:r>
      <w:r w:rsidRPr="00917BCA">
        <w:rPr>
          <w:vertAlign w:val="superscript"/>
        </w:rPr>
        <w:t>+</w:t>
      </w:r>
      <w:r w:rsidRPr="00917BCA">
        <w:t>, РО</w:t>
      </w:r>
      <w:r w:rsidRPr="00917BCA">
        <w:rPr>
          <w:vertAlign w:val="subscript"/>
        </w:rPr>
        <w:t>4</w:t>
      </w:r>
      <w:r w:rsidRPr="00917BCA">
        <w:rPr>
          <w:vertAlign w:val="superscript"/>
        </w:rPr>
        <w:t>2+</w:t>
      </w:r>
      <w:r w:rsidRPr="00917BCA">
        <w:t>, SО</w:t>
      </w:r>
      <w:r w:rsidRPr="00917BCA">
        <w:rPr>
          <w:vertAlign w:val="subscript"/>
        </w:rPr>
        <w:t>4</w:t>
      </w:r>
      <w:r w:rsidRPr="00917BCA">
        <w:rPr>
          <w:vertAlign w:val="superscript"/>
        </w:rPr>
        <w:t>2+</w:t>
      </w:r>
      <w:r w:rsidRPr="00917BCA">
        <w:t>, Са</w:t>
      </w:r>
      <w:r w:rsidRPr="00917BCA">
        <w:rPr>
          <w:vertAlign w:val="superscript"/>
        </w:rPr>
        <w:t>2+</w:t>
      </w:r>
      <w:r w:rsidRPr="00917BCA">
        <w:t>, Мg</w:t>
      </w:r>
      <w:r w:rsidRPr="00917BCA">
        <w:rPr>
          <w:vertAlign w:val="superscript"/>
        </w:rPr>
        <w:t>2+</w:t>
      </w:r>
      <w:r w:rsidRPr="00917BCA">
        <w:t>, креатинина, мочевой кислоты и других веществ мала</w:t>
      </w:r>
      <w:r w:rsidR="00917BCA" w:rsidRPr="00917BCA">
        <w:t xml:space="preserve">. </w:t>
      </w:r>
      <w:r w:rsidRPr="00917BCA">
        <w:t>Высокомолекулярные белки и липиды также имеют низкую моляльную концентрацию, поэтому на их долю приходится всего 1%</w:t>
      </w:r>
      <w:r w:rsidR="00917BCA">
        <w:t xml:space="preserve"> (</w:t>
      </w:r>
      <w:r w:rsidRPr="00917BCA">
        <w:t>1,5-2,5 мосмоль/кг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 xml:space="preserve">) </w:t>
      </w:r>
      <w:r w:rsidRPr="00917BCA">
        <w:t>осмоляльности</w:t>
      </w:r>
      <w:r w:rsidR="00917BCA" w:rsidRPr="00917BCA">
        <w:t>.</w:t>
      </w:r>
    </w:p>
    <w:p w:rsidR="00917BCA" w:rsidRDefault="002228EA" w:rsidP="00917BCA">
      <w:r w:rsidRPr="00917BCA">
        <w:t>С учетом роли различных веществ в осмоляльности плазмы предложено большое количество формул для ее расчета</w:t>
      </w:r>
      <w:r w:rsidR="00917BCA" w:rsidRPr="00917BCA">
        <w:t xml:space="preserve">. </w:t>
      </w:r>
      <w:r w:rsidRPr="00917BCA">
        <w:t>Наибольшее распространение из них получили формулы Дорв</w:t>
      </w:r>
      <w:r w:rsidR="00AC10D0" w:rsidRPr="00917BCA">
        <w:t>арта и Мансбергера</w:t>
      </w:r>
      <w:r w:rsidR="00917BCA" w:rsidRPr="00917BCA">
        <w:t>:</w:t>
      </w:r>
    </w:p>
    <w:p w:rsidR="00A45F40" w:rsidRDefault="00A45F40" w:rsidP="00917BCA"/>
    <w:p w:rsidR="00917BCA" w:rsidRDefault="002228EA" w:rsidP="00917BCA">
      <w:pPr>
        <w:rPr>
          <w:i/>
          <w:iCs/>
        </w:rPr>
      </w:pPr>
      <w:r w:rsidRPr="00917BCA">
        <w:rPr>
          <w:i/>
          <w:iCs/>
        </w:rPr>
        <w:t>1,86*натрий + г</w:t>
      </w:r>
      <w:r w:rsidR="00A13B96" w:rsidRPr="00917BCA">
        <w:rPr>
          <w:i/>
          <w:iCs/>
        </w:rPr>
        <w:t>люкоза + азот мочевины + 9</w:t>
      </w:r>
    </w:p>
    <w:p w:rsidR="00A45F40" w:rsidRDefault="002228EA" w:rsidP="00917BCA">
      <w:pPr>
        <w:rPr>
          <w:i/>
          <w:iCs/>
        </w:rPr>
      </w:pPr>
      <w:r w:rsidRPr="00917BCA">
        <w:rPr>
          <w:i/>
          <w:iCs/>
        </w:rPr>
        <w:t>1,86*натрий + глюко</w:t>
      </w:r>
      <w:r w:rsidR="00A13B96" w:rsidRPr="00917BCA">
        <w:rPr>
          <w:i/>
          <w:iCs/>
        </w:rPr>
        <w:t xml:space="preserve">за + мочевина + </w:t>
      </w:r>
      <w:r w:rsidR="00917BCA">
        <w:rPr>
          <w:i/>
          <w:iCs/>
        </w:rPr>
        <w:t>5,</w:t>
      </w:r>
    </w:p>
    <w:p w:rsidR="00A45F40" w:rsidRDefault="00A45F40" w:rsidP="00917BCA">
      <w:pPr>
        <w:rPr>
          <w:i/>
          <w:iCs/>
        </w:rPr>
      </w:pPr>
    </w:p>
    <w:p w:rsidR="00917BCA" w:rsidRDefault="002228EA" w:rsidP="00917BCA">
      <w:r w:rsidRPr="00917BCA">
        <w:t>где концентрация веществ представлена в ммоль/л</w:t>
      </w:r>
      <w:r w:rsidR="00917BCA" w:rsidRPr="00917BCA">
        <w:t>.</w:t>
      </w:r>
    </w:p>
    <w:p w:rsidR="00917BCA" w:rsidRDefault="002228EA" w:rsidP="00917BCA">
      <w:r w:rsidRPr="00917BCA">
        <w:t>В плазме хлорид натрия диссоциирован не полностью, а на 93%, поэтому осмотический коэффициент натрия с анионами меньше их концентрации</w:t>
      </w:r>
      <w:r w:rsidR="00917BCA" w:rsidRPr="00917BCA">
        <w:t xml:space="preserve">. </w:t>
      </w:r>
      <w:r w:rsidRPr="00917BCA">
        <w:t>В связи с этим, если принять число анионов равным числу катионов, то концентрацию натрия надо умножать не на 2, а на 1,86</w:t>
      </w:r>
      <w:r w:rsidR="00917BCA" w:rsidRPr="00917BCA">
        <w:t xml:space="preserve">. </w:t>
      </w:r>
      <w:r w:rsidRPr="00917BCA">
        <w:t>Цифры 9 и 5</w:t>
      </w:r>
      <w:r w:rsidR="00917BCA" w:rsidRPr="00917BCA">
        <w:t xml:space="preserve"> - </w:t>
      </w:r>
      <w:r w:rsidRPr="00917BCA">
        <w:t>эмпирически найденный коэффициент, отражающий осмотическую концентрацию других осмотически активных частиц в норме</w:t>
      </w:r>
      <w:r w:rsidR="00917BCA" w:rsidRPr="00917BCA">
        <w:t xml:space="preserve">. </w:t>
      </w:r>
      <w:r w:rsidRPr="00917BCA">
        <w:t>Вычитая значение осмоляльности, рассчитанной с помощью одной из этих формул, из результата, полученного при измерении прибором, можно определить так называемую дискриминанту осмоляльности</w:t>
      </w:r>
      <w:r w:rsidR="00917BCA" w:rsidRPr="00917BCA">
        <w:t xml:space="preserve">. </w:t>
      </w:r>
      <w:r w:rsidRPr="00917BCA">
        <w:t>Она будет тем больше, чем существеннее роль так называемых</w:t>
      </w:r>
      <w:r w:rsidR="00917BCA">
        <w:t xml:space="preserve"> "</w:t>
      </w:r>
      <w:r w:rsidRPr="00917BCA">
        <w:t>остаточных анионов</w:t>
      </w:r>
      <w:r w:rsidR="00917BCA">
        <w:t>" (</w:t>
      </w:r>
      <w:r w:rsidRPr="00917BCA">
        <w:t>молочной, пировиноградной, уксусной и других органических кислот, кетонов, этилового спирта, различных аминокислот, полипептидных продуктов протеолиза и пр</w:t>
      </w:r>
      <w:r w:rsidR="00567720">
        <w:t>.</w:t>
      </w:r>
      <w:r w:rsidR="00917BCA" w:rsidRPr="00917BCA">
        <w:t>).</w:t>
      </w:r>
    </w:p>
    <w:p w:rsidR="00917BCA" w:rsidRDefault="002228EA" w:rsidP="00917BCA">
      <w:r w:rsidRPr="00917BCA">
        <w:t>В процессе анаболизма между собой соединяется большое количество мелких частиц, что приводит к уменьшению осмоляльности</w:t>
      </w:r>
      <w:r w:rsidR="00917BCA" w:rsidRPr="00917BCA">
        <w:t xml:space="preserve">. </w:t>
      </w:r>
      <w:r w:rsidRPr="00917BCA">
        <w:t>Обратный процесс</w:t>
      </w:r>
      <w:r w:rsidR="00917BCA">
        <w:t xml:space="preserve"> (</w:t>
      </w:r>
      <w:r w:rsidRPr="00917BCA">
        <w:t>катаболизм</w:t>
      </w:r>
      <w:r w:rsidR="00917BCA" w:rsidRPr="00917BCA">
        <w:t>),</w:t>
      </w:r>
      <w:r w:rsidRPr="00917BCA">
        <w:t xml:space="preserve"> сопровождающийся распадом больших молекул на мелкие частицы, вызывает повышение осмоляльности</w:t>
      </w:r>
      <w:r w:rsidR="00917BCA" w:rsidRPr="00917BCA">
        <w:t xml:space="preserve">. </w:t>
      </w:r>
      <w:r w:rsidRPr="00917BCA">
        <w:t>Следует, однако, учесть, что не все крупномолекулярные вещества при распаде образуют осмотически активные частицы</w:t>
      </w:r>
      <w:r w:rsidR="00917BCA" w:rsidRPr="00917BCA">
        <w:t xml:space="preserve">. </w:t>
      </w:r>
      <w:r w:rsidRPr="00917BCA">
        <w:t>Например, катаболизм жиров и глицерина, за исключением СО</w:t>
      </w:r>
      <w:r w:rsidRPr="00917BCA">
        <w:rPr>
          <w:vertAlign w:val="subscript"/>
        </w:rPr>
        <w:t>2</w:t>
      </w:r>
      <w:r w:rsidRPr="00917BCA">
        <w:t>, осмотически активных веществ не образует</w:t>
      </w:r>
      <w:r w:rsidR="00917BCA" w:rsidRPr="00917BCA">
        <w:t xml:space="preserve">. </w:t>
      </w:r>
      <w:r w:rsidRPr="00917BCA">
        <w:t>Наоборот, при этом появляется</w:t>
      </w:r>
      <w:r w:rsidR="00917BCA">
        <w:t xml:space="preserve"> "</w:t>
      </w:r>
      <w:r w:rsidRPr="00917BCA">
        <w:t>метаболическая вода</w:t>
      </w:r>
      <w:r w:rsidR="00917BCA">
        <w:t xml:space="preserve">", </w:t>
      </w:r>
      <w:r w:rsidRPr="00917BCA">
        <w:t>которая снижает осмоляльность</w:t>
      </w:r>
      <w:r w:rsidR="00917BCA" w:rsidRPr="00917BCA">
        <w:t>.</w:t>
      </w:r>
    </w:p>
    <w:p w:rsidR="00917BCA" w:rsidRDefault="002228EA" w:rsidP="00917BCA">
      <w:r w:rsidRPr="00917BCA">
        <w:t>В результате обменно-диффузионных процессов, постоянно идущих между сосудистым и интерстициальным пространствами, имеющиеся в крови натрий, глюкоза и мочевина равномерно распределяются по обе стороны капиллярной стенки</w:t>
      </w:r>
      <w:r w:rsidR="00917BCA" w:rsidRPr="00917BCA">
        <w:t xml:space="preserve">. </w:t>
      </w:r>
      <w:r w:rsidRPr="00917BCA">
        <w:t>Вследствие этого они не играют существенной роли в создании осмотического давления плазмы, и поэтому по осмоляльности нельзя судить об осмосе и осмотическом давлении, возникающих на уровне стенки капилляров</w:t>
      </w:r>
      <w:r w:rsidR="00917BCA" w:rsidRPr="00917BCA">
        <w:t xml:space="preserve">. </w:t>
      </w:r>
      <w:r w:rsidRPr="00917BCA">
        <w:t>В то же время натрий, являясь основным внеклеточным катионом, при обычных условиях обладает относительно низкой способностью проникать через клеточную мембрану</w:t>
      </w:r>
      <w:r w:rsidR="00917BCA" w:rsidRPr="00917BCA">
        <w:t xml:space="preserve">. </w:t>
      </w:r>
      <w:r w:rsidRPr="00917BCA">
        <w:t>Миграция глюкозы и мочевины в клетку также затруднена, хотя и в меньшей степени, чем натрия</w:t>
      </w:r>
      <w:r w:rsidR="00917BCA" w:rsidRPr="00917BCA">
        <w:t xml:space="preserve">. </w:t>
      </w:r>
      <w:r w:rsidRPr="00917BCA">
        <w:t>Все это дает основание по осмоляльности плазмы судить об осмоляльности интерстициальной жидкости и, соответственно, о степени осмотического воздействия, испытываемого клетками</w:t>
      </w:r>
      <w:r w:rsidR="00917BCA" w:rsidRPr="00917BCA">
        <w:t xml:space="preserve">. </w:t>
      </w:r>
      <w:r w:rsidRPr="00917BCA">
        <w:t>Другими словами, чем больше осмоляльность плазмы, тем</w:t>
      </w:r>
      <w:r w:rsidR="00917BCA">
        <w:t xml:space="preserve"> (</w:t>
      </w:r>
      <w:r w:rsidRPr="00917BCA">
        <w:t>при сохранении нормального функционирования калий-натриевого насоса</w:t>
      </w:r>
      <w:r w:rsidR="00917BCA" w:rsidRPr="00917BCA">
        <w:t xml:space="preserve">) </w:t>
      </w:r>
      <w:r w:rsidRPr="00917BCA">
        <w:t>больше должна быть осмотическая нагрузка на клеточную мембрану</w:t>
      </w:r>
      <w:r w:rsidR="00917BCA" w:rsidRPr="00917BCA">
        <w:t xml:space="preserve">. </w:t>
      </w:r>
      <w:r w:rsidRPr="00917BCA">
        <w:t>Однако лишь сопоставление осмотической концен</w:t>
      </w:r>
      <w:r w:rsidR="00A45F40">
        <w:t>трации по разные стороны гемато</w:t>
      </w:r>
      <w:r w:rsidRPr="00917BCA">
        <w:t>энцефалического барьера</w:t>
      </w:r>
      <w:r w:rsidR="00917BCA">
        <w:t xml:space="preserve"> (</w:t>
      </w:r>
      <w:r w:rsidRPr="00917BCA">
        <w:t>интерстициальная жидкость</w:t>
      </w:r>
      <w:r w:rsidR="00917BCA" w:rsidRPr="00917BCA">
        <w:t xml:space="preserve"> - </w:t>
      </w:r>
      <w:r w:rsidRPr="00917BCA">
        <w:t>ликвор</w:t>
      </w:r>
      <w:r w:rsidR="00917BCA" w:rsidRPr="00917BCA">
        <w:t xml:space="preserve">) </w:t>
      </w:r>
      <w:r w:rsidRPr="00917BCA">
        <w:t>позволяет оценить направленность осмоса</w:t>
      </w:r>
      <w:r w:rsidR="00917BCA" w:rsidRPr="00917BCA">
        <w:t>.</w:t>
      </w:r>
    </w:p>
    <w:p w:rsidR="00917BCA" w:rsidRDefault="002228EA" w:rsidP="00917BCA">
      <w:r w:rsidRPr="00917BCA">
        <w:t>Поддержание осмоляльности на нормальном уровне осуществляет система осморегуляции с весьма сложными центральными и периферическими механизмами</w:t>
      </w:r>
      <w:r w:rsidR="00917BCA" w:rsidRPr="00917BCA">
        <w:t xml:space="preserve">. </w:t>
      </w:r>
      <w:r w:rsidRPr="00917BCA">
        <w:t>Эта система включает афферентное звено в виде осморецепторов</w:t>
      </w:r>
      <w:r w:rsidR="00917BCA" w:rsidRPr="00917BCA">
        <w:t xml:space="preserve"> - </w:t>
      </w:r>
      <w:r w:rsidRPr="00917BCA">
        <w:t>чувствительных образований, обращенных во внутреннюю среду и реагирующих на изменение концентрации в ней растворенных частиц</w:t>
      </w:r>
      <w:r w:rsidR="00917BCA" w:rsidRPr="00917BCA">
        <w:t xml:space="preserve">. </w:t>
      </w:r>
      <w:r w:rsidRPr="00917BCA">
        <w:t>Импульсы от осморецепторов передаются в гипоталамический центр осморегуляции</w:t>
      </w:r>
      <w:r w:rsidR="00917BCA">
        <w:t xml:space="preserve"> (</w:t>
      </w:r>
      <w:r w:rsidRPr="00917BCA">
        <w:t>супраоптическое ядро гипоталамуса</w:t>
      </w:r>
      <w:r w:rsidR="00917BCA" w:rsidRPr="00917BCA">
        <w:t>),</w:t>
      </w:r>
      <w:r w:rsidRPr="00917BCA">
        <w:t xml:space="preserve"> а оттуда</w:t>
      </w:r>
      <w:r w:rsidR="00917BCA" w:rsidRPr="00917BCA">
        <w:t xml:space="preserve"> - </w:t>
      </w:r>
      <w:r w:rsidRPr="00917BCA">
        <w:t>к исполнительным органам</w:t>
      </w:r>
      <w:r w:rsidR="00917BCA">
        <w:t xml:space="preserve"> (</w:t>
      </w:r>
      <w:r w:rsidRPr="00917BCA">
        <w:t>почки, потовые железы, желудочно-кишечный тракт</w:t>
      </w:r>
      <w:r w:rsidR="00917BCA" w:rsidRPr="00917BCA">
        <w:t>).</w:t>
      </w:r>
    </w:p>
    <w:p w:rsidR="00917BCA" w:rsidRDefault="002228EA" w:rsidP="00917BCA">
      <w:r w:rsidRPr="00917BCA">
        <w:t>Процесс осморегуляции состоит из двух этапов</w:t>
      </w:r>
      <w:r w:rsidR="00917BCA" w:rsidRPr="00917BCA">
        <w:t xml:space="preserve">. </w:t>
      </w:r>
      <w:r w:rsidRPr="00917BCA">
        <w:t>Сначала происходит ряд изменений, направленных на восстановление осмоляльности внеклеточной жидкости</w:t>
      </w:r>
      <w:r w:rsidR="00917BCA" w:rsidRPr="00917BCA">
        <w:t xml:space="preserve">: </w:t>
      </w:r>
      <w:r w:rsidRPr="00917BCA">
        <w:t>буферирование катионов и анионов белками крови и эритроцитами, миграция воды и ионов между плазмой и эритроцитами, ускорение обменно-диффузионных процессов между кровью и тканями</w:t>
      </w:r>
      <w:r w:rsidR="00917BCA" w:rsidRPr="00917BCA">
        <w:t xml:space="preserve">. </w:t>
      </w:r>
      <w:r w:rsidRPr="00917BCA">
        <w:t>Однако они не ликвидируют полностью осмотический сдвиг, а перемещают его из сосудистого пространства в интерстициальное</w:t>
      </w:r>
      <w:r w:rsidR="00917BCA" w:rsidRPr="00917BCA">
        <w:t xml:space="preserve">. </w:t>
      </w:r>
      <w:r w:rsidRPr="00917BCA">
        <w:t>Гиперосмия, возникающая в интерстиции, вызывает развитие приспособительных реакций, способных защитить клетки от небольшого осмотического воздействия</w:t>
      </w:r>
      <w:r w:rsidR="00917BCA" w:rsidRPr="00917BCA">
        <w:t xml:space="preserve">. </w:t>
      </w:r>
      <w:r w:rsidRPr="00917BCA">
        <w:t>Это проявляется не только в демпфировании соединительной тканью самих клеточных структур, но и в способности организма уменьшить величину осмотического сдвига за счет мобилизации жидкости из других, менее важных областей, например, желудочно-кишечного тракта</w:t>
      </w:r>
      <w:r w:rsidR="00917BCA" w:rsidRPr="00917BCA">
        <w:t xml:space="preserve">. </w:t>
      </w:r>
      <w:r w:rsidRPr="00917BCA">
        <w:t>И только тогда, когда интенсивность осмотического воздействия превышает возможности защиты, возникает угроза потери воды клетками и происходит включение осморегулирующего рефлекса</w:t>
      </w:r>
      <w:r w:rsidR="00917BCA">
        <w:t xml:space="preserve"> (</w:t>
      </w:r>
      <w:r w:rsidRPr="00917BCA">
        <w:t>изменение реабсорбции воды и натрийуреза</w:t>
      </w:r>
      <w:r w:rsidR="00917BCA" w:rsidRPr="00917BCA">
        <w:t xml:space="preserve">). </w:t>
      </w:r>
      <w:r w:rsidRPr="00917BCA">
        <w:t>Он играет ведущую роль в окончательном восстановлении осмотического равновесия и при развитии гипоосмии</w:t>
      </w:r>
      <w:r w:rsidR="00917BCA" w:rsidRPr="00917BCA">
        <w:t>.</w:t>
      </w:r>
    </w:p>
    <w:p w:rsidR="00917BCA" w:rsidRDefault="002228EA" w:rsidP="00917BCA">
      <w:r w:rsidRPr="00917BCA">
        <w:t>Следует акцентировать внимание на следующих механизмах поддержания осмобаланса</w:t>
      </w:r>
      <w:r w:rsidR="00917BCA" w:rsidRPr="00917BCA">
        <w:t xml:space="preserve">. </w:t>
      </w:r>
      <w:r w:rsidRPr="00917BCA">
        <w:t>Первый заключается в изменении работы почек</w:t>
      </w:r>
      <w:r w:rsidR="00917BCA" w:rsidRPr="00917BCA">
        <w:t xml:space="preserve">. </w:t>
      </w:r>
      <w:r w:rsidRPr="00917BCA">
        <w:t>Известно, что ими экскретируются не только натрий, но и вода, а также продукты распада белков и аминокислот</w:t>
      </w:r>
      <w:r w:rsidR="00917BCA">
        <w:t xml:space="preserve"> (</w:t>
      </w:r>
      <w:r w:rsidRPr="00917BCA">
        <w:t>один из основных источников образования осмотически активных частиц</w:t>
      </w:r>
      <w:r w:rsidR="00917BCA" w:rsidRPr="00917BCA">
        <w:t xml:space="preserve">). </w:t>
      </w:r>
      <w:r w:rsidRPr="00917BCA">
        <w:t>Первичная моча, образованная путем ультрафильтрации крови гломерулами нефрона, приблизительно изоосмотична плазме</w:t>
      </w:r>
      <w:r w:rsidR="00917BCA" w:rsidRPr="00917BCA">
        <w:t xml:space="preserve">. </w:t>
      </w:r>
      <w:r w:rsidRPr="00917BCA">
        <w:t>Во время прохождения через нефрон состав первичной мочи меняется</w:t>
      </w:r>
      <w:r w:rsidR="00917BCA" w:rsidRPr="00917BCA">
        <w:t xml:space="preserve">. </w:t>
      </w:r>
      <w:r w:rsidRPr="00917BCA">
        <w:t>При этом, в зависимости от ситуации, почки сохраняют либо удаляют воду и осмотически активные вещества</w:t>
      </w:r>
      <w:r w:rsidR="00917BCA" w:rsidRPr="00917BCA">
        <w:t xml:space="preserve">. </w:t>
      </w:r>
      <w:r w:rsidRPr="00917BCA">
        <w:t>Считают, что выделение с мочой осмотически активных веществ достаточно точно отражает степень угнетения почечных функций</w:t>
      </w:r>
      <w:r w:rsidR="00917BCA" w:rsidRPr="00917BCA">
        <w:t xml:space="preserve">. </w:t>
      </w:r>
      <w:r w:rsidRPr="00917BCA">
        <w:t>Если у человека массой 70 кг, получающего с пищей 2000 ккал, суточная осмотическая</w:t>
      </w:r>
      <w:r w:rsidR="00917BCA">
        <w:t xml:space="preserve"> "</w:t>
      </w:r>
      <w:r w:rsidRPr="00917BCA">
        <w:t>продукция</w:t>
      </w:r>
      <w:r w:rsidR="00917BCA">
        <w:t>" (</w:t>
      </w:r>
      <w:r w:rsidRPr="00917BCA">
        <w:t>совокупное выделение почками осмотически активных веществ</w:t>
      </w:r>
      <w:r w:rsidR="00917BCA" w:rsidRPr="00917BCA">
        <w:t xml:space="preserve">) </w:t>
      </w:r>
      <w:r w:rsidRPr="00917BCA">
        <w:t>составляет 800 мосмоль, то сразу после оперативного вмешательства величина ее значительно уменьшается</w:t>
      </w:r>
      <w:r w:rsidR="00917BCA" w:rsidRPr="00917BCA">
        <w:t xml:space="preserve">. </w:t>
      </w:r>
      <w:r w:rsidRPr="00917BCA">
        <w:t>Отношение осмоляльности мочи к плазме</w:t>
      </w:r>
      <w:r w:rsidR="00917BCA">
        <w:t xml:space="preserve"> (</w:t>
      </w:r>
      <w:r w:rsidRPr="00917BCA">
        <w:t>осмотический концентрационный индекс</w:t>
      </w:r>
      <w:r w:rsidR="00917BCA" w:rsidRPr="00917BCA">
        <w:t xml:space="preserve">) </w:t>
      </w:r>
      <w:r w:rsidRPr="00917BCA">
        <w:t>признан многими авторами одним из наиболее надежных показателей нарушения функции почек</w:t>
      </w:r>
      <w:r w:rsidR="00917BCA" w:rsidRPr="00917BCA">
        <w:t xml:space="preserve">. </w:t>
      </w:r>
      <w:r w:rsidRPr="00917BCA">
        <w:t>Снижение его ниже 1,0, особенно в сочетании с олигурией, некорригируемой гиперосмоляльностью, соответственно гипернатриемией и гиперазотемией свидетельствует о развитии почечной недостаточности и является прогностически неблагоприятным признаком</w:t>
      </w:r>
      <w:r w:rsidR="00917BCA" w:rsidRPr="00917BCA">
        <w:t>.</w:t>
      </w:r>
    </w:p>
    <w:p w:rsidR="00917BCA" w:rsidRDefault="002228EA" w:rsidP="00917BCA">
      <w:r w:rsidRPr="00917BCA">
        <w:t>Второй механизм заключается в изменении работы потовых желез</w:t>
      </w:r>
      <w:r w:rsidR="00917BCA" w:rsidRPr="00917BCA">
        <w:t xml:space="preserve">. </w:t>
      </w:r>
      <w:r w:rsidRPr="00917BCA">
        <w:t>Образующийся в их проксимальных отделах первичный пот обычно гипотоничен по отношению к плазме</w:t>
      </w:r>
      <w:r w:rsidR="00917BCA" w:rsidRPr="00917BCA">
        <w:t xml:space="preserve">. </w:t>
      </w:r>
      <w:r w:rsidRPr="00917BCA">
        <w:t>Усиление секреции пота приводит к увеличению потери свободной воды и сопровождается нарастанием осмоляльности</w:t>
      </w:r>
      <w:r w:rsidR="00917BCA" w:rsidRPr="00917BCA">
        <w:t>.</w:t>
      </w:r>
    </w:p>
    <w:p w:rsidR="00917BCA" w:rsidRDefault="002228EA" w:rsidP="00917BCA">
      <w:r w:rsidRPr="00917BCA">
        <w:t>Третий механизм состоит в изменении работы гормональной системы</w:t>
      </w:r>
      <w:r w:rsidR="00917BCA" w:rsidRPr="00917BCA">
        <w:t xml:space="preserve">. </w:t>
      </w:r>
      <w:r w:rsidRPr="00917BCA">
        <w:t>Установлено, что гормоны оказывают свое действие посредством влияния на процессы анаболизма и катаболизма, сопровождающиеся активацией или уменьшением синтеза свободной воды и осмотически активных веществ</w:t>
      </w:r>
      <w:r w:rsidR="00917BCA" w:rsidRPr="00917BCA">
        <w:t xml:space="preserve">. </w:t>
      </w:r>
      <w:r w:rsidRPr="00917BCA">
        <w:t>Естесственно, что такое влияние сказывается не сразу, а через какое-то время</w:t>
      </w:r>
      <w:r w:rsidR="00917BCA" w:rsidRPr="00917BCA">
        <w:t xml:space="preserve">. </w:t>
      </w:r>
      <w:r w:rsidRPr="00917BCA">
        <w:t>Список гормонов, оказывающих то или иное влияние на осмоля</w:t>
      </w:r>
      <w:r w:rsidR="00AC10D0" w:rsidRPr="00917BCA">
        <w:t>льность, представлен в табл</w:t>
      </w:r>
      <w:r w:rsidR="00917BCA">
        <w:t>.1</w:t>
      </w:r>
      <w:r w:rsidR="00917BCA" w:rsidRPr="00917BCA">
        <w:t>.</w:t>
      </w:r>
    </w:p>
    <w:p w:rsidR="00A45F40" w:rsidRDefault="00A45F40" w:rsidP="00917BCA"/>
    <w:p w:rsidR="002228EA" w:rsidRPr="00917BCA" w:rsidRDefault="00AC10D0" w:rsidP="00917BCA">
      <w:r w:rsidRPr="00917BCA">
        <w:t>Таблица 1</w:t>
      </w:r>
      <w:r w:rsidR="00A45F40">
        <w:t xml:space="preserve">. </w:t>
      </w:r>
      <w:r w:rsidR="002228EA" w:rsidRPr="00917BCA">
        <w:t>Гормональный контроль осмоляльности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4754"/>
      </w:tblGrid>
      <w:tr w:rsidR="002228EA" w:rsidRPr="00917BCA" w:rsidTr="003B4AF2">
        <w:trPr>
          <w:jc w:val="center"/>
        </w:trPr>
        <w:tc>
          <w:tcPr>
            <w:tcW w:w="3717" w:type="dxa"/>
            <w:shd w:val="clear" w:color="auto" w:fill="auto"/>
          </w:tcPr>
          <w:p w:rsidR="002228EA" w:rsidRPr="00917BCA" w:rsidRDefault="002228EA" w:rsidP="00A45F40">
            <w:pPr>
              <w:pStyle w:val="afe"/>
            </w:pPr>
            <w:r w:rsidRPr="00917BCA">
              <w:t>Гормоны,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ПОВЫШАЮЩИЕ осмоляльность</w:t>
            </w:r>
          </w:p>
        </w:tc>
        <w:tc>
          <w:tcPr>
            <w:tcW w:w="4754" w:type="dxa"/>
            <w:shd w:val="clear" w:color="auto" w:fill="auto"/>
          </w:tcPr>
          <w:p w:rsidR="00917BCA" w:rsidRPr="00917BCA" w:rsidRDefault="002228EA" w:rsidP="00A45F40">
            <w:pPr>
              <w:pStyle w:val="afe"/>
            </w:pPr>
            <w:r w:rsidRPr="00917BCA">
              <w:t>Гормоны,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СНИЖАЮЩИЕ осмоляльность | |</w:t>
            </w:r>
          </w:p>
        </w:tc>
      </w:tr>
      <w:tr w:rsidR="002228EA" w:rsidRPr="00917BCA" w:rsidTr="003B4AF2">
        <w:trPr>
          <w:jc w:val="center"/>
        </w:trPr>
        <w:tc>
          <w:tcPr>
            <w:tcW w:w="3717" w:type="dxa"/>
            <w:shd w:val="clear" w:color="auto" w:fill="auto"/>
          </w:tcPr>
          <w:p w:rsidR="00917BCA" w:rsidRPr="003B4AF2" w:rsidRDefault="002228EA" w:rsidP="00A45F40">
            <w:pPr>
              <w:pStyle w:val="afe"/>
              <w:rPr>
                <w:i/>
                <w:iCs/>
              </w:rPr>
            </w:pPr>
            <w:r w:rsidRPr="003B4AF2">
              <w:rPr>
                <w:i/>
                <w:iCs/>
              </w:rPr>
              <w:t>продуцирующие либо задерживающие осмотически активные вещества</w:t>
            </w:r>
            <w:r w:rsidR="00917BCA" w:rsidRPr="003B4AF2">
              <w:rPr>
                <w:i/>
                <w:iCs/>
              </w:rPr>
              <w:t>: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АКТГ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кортизон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альдостерон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глюкагон</w:t>
            </w:r>
          </w:p>
        </w:tc>
        <w:tc>
          <w:tcPr>
            <w:tcW w:w="4754" w:type="dxa"/>
            <w:shd w:val="clear" w:color="auto" w:fill="auto"/>
          </w:tcPr>
          <w:p w:rsidR="00917BCA" w:rsidRPr="003B4AF2" w:rsidRDefault="002228EA" w:rsidP="00A45F40">
            <w:pPr>
              <w:pStyle w:val="afe"/>
              <w:rPr>
                <w:i/>
                <w:iCs/>
              </w:rPr>
            </w:pPr>
            <w:r w:rsidRPr="003B4AF2">
              <w:rPr>
                <w:i/>
                <w:iCs/>
              </w:rPr>
              <w:t>продуцирующие либо задерживающие свободную воду</w:t>
            </w:r>
            <w:r w:rsidR="00917BCA" w:rsidRPr="003B4AF2">
              <w:rPr>
                <w:i/>
                <w:iCs/>
              </w:rPr>
              <w:t>:</w:t>
            </w:r>
          </w:p>
          <w:p w:rsidR="00917BCA" w:rsidRDefault="002228EA" w:rsidP="00A45F40">
            <w:pPr>
              <w:pStyle w:val="afe"/>
            </w:pPr>
            <w:r w:rsidRPr="00917BCA">
              <w:t>АДГ</w:t>
            </w:r>
            <w:r w:rsidR="00917BCA">
              <w:t xml:space="preserve"> (</w:t>
            </w:r>
            <w:r w:rsidRPr="00917BCA">
              <w:t>вазопрессин</w:t>
            </w:r>
            <w:r w:rsidR="00917BCA" w:rsidRPr="00917BCA">
              <w:t>)</w:t>
            </w:r>
          </w:p>
          <w:p w:rsidR="00917BCA" w:rsidRDefault="002228EA" w:rsidP="00A45F40">
            <w:pPr>
              <w:pStyle w:val="afe"/>
            </w:pPr>
            <w:r w:rsidRPr="00917BCA">
              <w:t>гормон роста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катехоламины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 xml:space="preserve">инсулин </w:t>
            </w:r>
          </w:p>
        </w:tc>
      </w:tr>
      <w:tr w:rsidR="002228EA" w:rsidRPr="00917BCA" w:rsidTr="003B4AF2">
        <w:trPr>
          <w:jc w:val="center"/>
        </w:trPr>
        <w:tc>
          <w:tcPr>
            <w:tcW w:w="3717" w:type="dxa"/>
            <w:shd w:val="clear" w:color="auto" w:fill="auto"/>
          </w:tcPr>
          <w:p w:rsidR="00917BCA" w:rsidRPr="003B4AF2" w:rsidRDefault="002228EA" w:rsidP="00A45F40">
            <w:pPr>
              <w:pStyle w:val="afe"/>
              <w:rPr>
                <w:i/>
                <w:iCs/>
              </w:rPr>
            </w:pPr>
            <w:r w:rsidRPr="003B4AF2">
              <w:rPr>
                <w:i/>
                <w:iCs/>
              </w:rPr>
              <w:t>редуцирующие либо элиминирующие</w:t>
            </w:r>
            <w:r w:rsidRPr="00917BCA">
              <w:t xml:space="preserve"> </w:t>
            </w:r>
            <w:r w:rsidRPr="003B4AF2">
              <w:rPr>
                <w:i/>
                <w:iCs/>
              </w:rPr>
              <w:t>свободную воду</w:t>
            </w:r>
            <w:r w:rsidR="00917BCA" w:rsidRPr="003B4AF2">
              <w:rPr>
                <w:i/>
                <w:iCs/>
              </w:rPr>
              <w:t>: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АКТГ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кортизон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паращитовидный гормон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брадикинин, ангиотензин</w:t>
            </w:r>
          </w:p>
        </w:tc>
        <w:tc>
          <w:tcPr>
            <w:tcW w:w="4754" w:type="dxa"/>
            <w:shd w:val="clear" w:color="auto" w:fill="auto"/>
          </w:tcPr>
          <w:p w:rsidR="00917BCA" w:rsidRPr="003B4AF2" w:rsidRDefault="002228EA" w:rsidP="00A45F40">
            <w:pPr>
              <w:pStyle w:val="afe"/>
              <w:rPr>
                <w:i/>
                <w:iCs/>
              </w:rPr>
            </w:pPr>
            <w:r w:rsidRPr="003B4AF2">
              <w:rPr>
                <w:i/>
                <w:iCs/>
              </w:rPr>
              <w:t>редуцирующие либо элиминирующие осмотически</w:t>
            </w:r>
            <w:r w:rsidRPr="00917BCA">
              <w:t xml:space="preserve"> </w:t>
            </w:r>
            <w:r w:rsidRPr="003B4AF2">
              <w:rPr>
                <w:i/>
                <w:iCs/>
              </w:rPr>
              <w:t>активные вещества</w:t>
            </w:r>
            <w:r w:rsidR="00917BCA" w:rsidRPr="003B4AF2">
              <w:rPr>
                <w:i/>
                <w:iCs/>
              </w:rPr>
              <w:t>: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гормон роста, окситоцин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инсулин</w:t>
            </w:r>
            <w:r w:rsidR="00917BCA">
              <w:t xml:space="preserve"> (</w:t>
            </w:r>
            <w:r w:rsidRPr="00917BCA">
              <w:t>спиролактон</w:t>
            </w:r>
            <w:r w:rsidR="00917BCA" w:rsidRPr="00917BCA">
              <w:t xml:space="preserve">) </w:t>
            </w:r>
            <w:r w:rsidRPr="00917BCA">
              <w:t>|</w:t>
            </w:r>
          </w:p>
          <w:p w:rsidR="002228EA" w:rsidRPr="00917BCA" w:rsidRDefault="002228EA" w:rsidP="00A45F40">
            <w:pPr>
              <w:pStyle w:val="afe"/>
            </w:pPr>
            <w:r w:rsidRPr="00917BCA">
              <w:t>эстрогены</w:t>
            </w:r>
            <w:r w:rsidR="00917BCA" w:rsidRPr="00917BCA">
              <w:t xml:space="preserve">, </w:t>
            </w:r>
            <w:r w:rsidRPr="00917BCA">
              <w:t>андрогены</w:t>
            </w:r>
          </w:p>
          <w:p w:rsidR="002228EA" w:rsidRPr="00917BCA" w:rsidRDefault="002228EA" w:rsidP="00A45F40">
            <w:pPr>
              <w:pStyle w:val="afe"/>
            </w:pPr>
          </w:p>
        </w:tc>
      </w:tr>
    </w:tbl>
    <w:p w:rsidR="002228EA" w:rsidRPr="00917BCA" w:rsidRDefault="002228EA" w:rsidP="00917BCA"/>
    <w:p w:rsidR="00917BCA" w:rsidRDefault="002228EA" w:rsidP="00917BCA">
      <w:r w:rsidRPr="00917BCA">
        <w:t>Установлено, например, что инсулин играет важную роль не только в углеводном, но и в белковом, и в жировом обмене</w:t>
      </w:r>
      <w:r w:rsidR="00917BCA" w:rsidRPr="00917BCA">
        <w:t xml:space="preserve">. </w:t>
      </w:r>
      <w:r w:rsidRPr="00917BCA">
        <w:t>Стимулируя процессы синтеза</w:t>
      </w:r>
      <w:r w:rsidR="00917BCA">
        <w:t xml:space="preserve"> (</w:t>
      </w:r>
      <w:r w:rsidRPr="00917BCA">
        <w:t>анаболизма</w:t>
      </w:r>
      <w:r w:rsidR="00917BCA" w:rsidRPr="00917BCA">
        <w:t>),</w:t>
      </w:r>
      <w:r w:rsidRPr="00917BCA">
        <w:t xml:space="preserve"> он способствует снижению осмоляльности</w:t>
      </w:r>
      <w:r w:rsidR="00917BCA" w:rsidRPr="00917BCA">
        <w:t xml:space="preserve">. </w:t>
      </w:r>
      <w:r w:rsidRPr="00917BCA">
        <w:t>Для стероидных гормонов характерен противоположный эффект</w:t>
      </w:r>
      <w:r w:rsidR="00917BCA" w:rsidRPr="00917BCA">
        <w:t xml:space="preserve">. </w:t>
      </w:r>
      <w:r w:rsidRPr="00917BCA">
        <w:t>В частности, кортизон, вызывая усиление распада белков и, соответственно, увеличение числа осмотических частиц, повышает осмоляльность</w:t>
      </w:r>
      <w:r w:rsidR="00917BCA" w:rsidRPr="00917BCA">
        <w:t xml:space="preserve">. </w:t>
      </w:r>
      <w:r w:rsidRPr="00917BCA">
        <w:t>Катехоламины усиливают окисление жиров и гликогена, что приводит к образованию свободной воды и углекислоты</w:t>
      </w:r>
      <w:r w:rsidR="00917BCA" w:rsidRPr="00917BCA">
        <w:t xml:space="preserve">. </w:t>
      </w:r>
      <w:r w:rsidRPr="00917BCA">
        <w:t>СО</w:t>
      </w:r>
      <w:r w:rsidRPr="00917BCA">
        <w:rPr>
          <w:vertAlign w:val="subscript"/>
        </w:rPr>
        <w:t>2</w:t>
      </w:r>
      <w:r w:rsidRPr="00917BCA">
        <w:t xml:space="preserve"> выделяется легкими, а образовавшаяся вода снижает осмоляльность</w:t>
      </w:r>
      <w:r w:rsidR="00917BCA" w:rsidRPr="00917BCA">
        <w:t xml:space="preserve">. </w:t>
      </w:r>
      <w:r w:rsidRPr="00917BCA">
        <w:t>Выделение АДГ приводит к реабсорбции в канальцах почек воды, а альдостерона</w:t>
      </w:r>
      <w:r w:rsidR="00917BCA" w:rsidRPr="00917BCA">
        <w:t xml:space="preserve"> - </w:t>
      </w:r>
      <w:r w:rsidRPr="00917BCA">
        <w:t>натрия</w:t>
      </w:r>
      <w:r w:rsidR="00917BCA" w:rsidRPr="00917BCA">
        <w:t xml:space="preserve">. </w:t>
      </w:r>
      <w:r w:rsidRPr="00917BCA">
        <w:t>Гиперпаратироидизм ведет к увеличению диуреза и жажде</w:t>
      </w:r>
      <w:r w:rsidR="00917BCA" w:rsidRPr="00917BCA">
        <w:t xml:space="preserve">. </w:t>
      </w:r>
      <w:r w:rsidRPr="00917BCA">
        <w:t>Тем не менее, следует констатировать, что роль гормональной системы в поддержании изоосмии до конца не изучена</w:t>
      </w:r>
      <w:r w:rsidR="00917BCA" w:rsidRPr="00917BCA">
        <w:t>.</w:t>
      </w:r>
    </w:p>
    <w:p w:rsidR="00917BCA" w:rsidRDefault="002228EA" w:rsidP="00917BCA">
      <w:r w:rsidRPr="00917BCA">
        <w:t>Таким образом, осмотическое равновесие в организме обеспечивается сложным комплексом реакций, в которых активное участие принимает как центральная нервная система, так и система гормональной регуляции</w:t>
      </w:r>
      <w:r w:rsidR="00917BCA" w:rsidRPr="00917BCA">
        <w:t xml:space="preserve">. </w:t>
      </w:r>
      <w:r w:rsidRPr="00917BCA">
        <w:t>Вследствие этого осмоляльность является одной из наиболее жестких констант организма</w:t>
      </w:r>
      <w:r w:rsidR="00917BCA" w:rsidRPr="00917BCA">
        <w:t>.</w:t>
      </w:r>
    </w:p>
    <w:p w:rsidR="00917BCA" w:rsidRDefault="002228EA" w:rsidP="00917BCA">
      <w:r w:rsidRPr="00917BCA">
        <w:t>Определяя изменение концентрации осмотически активных веществ во внеклеточной жидкости в ответ на введение осмотически активного вещества, можно в какой-то мере судить о степени напряжения всей осморегулирующей системы</w:t>
      </w:r>
      <w:r w:rsidR="00917BCA" w:rsidRPr="00917BCA">
        <w:t xml:space="preserve">. </w:t>
      </w:r>
      <w:r w:rsidRPr="00917BCA">
        <w:t>При достаточных ее резервах сдвиг обычно незначительный и кратковременный</w:t>
      </w:r>
      <w:r w:rsidR="00917BCA" w:rsidRPr="00917BCA">
        <w:t xml:space="preserve">. </w:t>
      </w:r>
      <w:r w:rsidRPr="00917BCA">
        <w:t>Мощность регуляторных механизмов, однако, не</w:t>
      </w:r>
      <w:r w:rsidR="00A45F40">
        <w:t xml:space="preserve"> </w:t>
      </w:r>
      <w:r w:rsidRPr="00917BCA">
        <w:t>беспредельна</w:t>
      </w:r>
      <w:r w:rsidR="00917BCA" w:rsidRPr="00917BCA">
        <w:t xml:space="preserve">. </w:t>
      </w:r>
      <w:r w:rsidRPr="00917BCA">
        <w:t>Недостаточные компенсаторные возможности системы осморегуляции приводят к проявлению нарушений осмотического баланса</w:t>
      </w:r>
      <w:r w:rsidR="00917BCA" w:rsidRPr="00917BCA">
        <w:t>.</w:t>
      </w:r>
    </w:p>
    <w:p w:rsidR="00917BCA" w:rsidRDefault="002228EA" w:rsidP="00917BCA">
      <w:r w:rsidRPr="00917BCA">
        <w:t>У раненых и больных, находящихся в критическом состоянии, могут наблюдаться оба сдвига осмоляльности</w:t>
      </w:r>
      <w:r w:rsidR="00917BCA" w:rsidRPr="00917BCA">
        <w:t xml:space="preserve">: </w:t>
      </w:r>
      <w:r w:rsidRPr="00917BCA">
        <w:t>гипоосмоляльный, когда имеется избыток воды по отношению к осмотически активным веществам, и гиперосмоляльный, когда возрастает концентрация осмотически активных веществ во внеклеточной жидкости</w:t>
      </w:r>
      <w:r w:rsidR="00917BCA" w:rsidRPr="00917BCA">
        <w:t>.</w:t>
      </w:r>
    </w:p>
    <w:p w:rsidR="00917BCA" w:rsidRDefault="002228EA" w:rsidP="00917BCA">
      <w:r w:rsidRPr="00917BCA">
        <w:t>Гипоосмоляльные состояния</w:t>
      </w:r>
      <w:r w:rsidR="00917BCA">
        <w:t xml:space="preserve"> (</w:t>
      </w:r>
      <w:r w:rsidRPr="00917BCA">
        <w:t>осмоляльность ниже 275 мосмоль/кг Н</w:t>
      </w:r>
      <w:r w:rsidRPr="00917BCA">
        <w:rPr>
          <w:vertAlign w:val="subscript"/>
        </w:rPr>
        <w:t>2</w:t>
      </w:r>
      <w:r w:rsidRPr="00917BCA">
        <w:t>0</w:t>
      </w:r>
      <w:r w:rsidR="00917BCA" w:rsidRPr="00917BCA">
        <w:t xml:space="preserve">) </w:t>
      </w:r>
      <w:r w:rsidRPr="00917BCA">
        <w:t>обусловлены в основном гипонатриемией, абсолютной или относительной</w:t>
      </w:r>
      <w:r w:rsidR="00917BCA" w:rsidRPr="00917BCA">
        <w:t xml:space="preserve">. </w:t>
      </w:r>
      <w:r w:rsidRPr="00917BCA">
        <w:t>Они возникают при превалировании потери солей над потерей воды или при избыточной водной нагрузке</w:t>
      </w:r>
      <w:r w:rsidR="00917BCA" w:rsidRPr="00917BCA">
        <w:t xml:space="preserve">. </w:t>
      </w:r>
      <w:r w:rsidRPr="00917BCA">
        <w:t>При этом осмоляльность плазмы снижается параллельно концентрации натрия</w:t>
      </w:r>
      <w:r w:rsidR="00917BCA">
        <w:t xml:space="preserve"> (</w:t>
      </w:r>
      <w:r w:rsidRPr="00917BCA">
        <w:t>в ммоль/л</w:t>
      </w:r>
      <w:r w:rsidR="00917BCA" w:rsidRPr="00917BCA">
        <w:t>),</w:t>
      </w:r>
      <w:r w:rsidRPr="00917BCA">
        <w:t xml:space="preserve"> и поэтому отношение между ними не изменяется</w:t>
      </w:r>
      <w:r w:rsidR="00917BCA">
        <w:t xml:space="preserve"> (</w:t>
      </w:r>
      <w:r w:rsidRPr="00917BCA">
        <w:t>в норме это отношение колеблется от 0,43 до 0,50</w:t>
      </w:r>
      <w:r w:rsidR="00917BCA" w:rsidRPr="00917BCA">
        <w:t>).</w:t>
      </w:r>
    </w:p>
    <w:p w:rsidR="00917BCA" w:rsidRDefault="002228EA" w:rsidP="00917BCA">
      <w:r w:rsidRPr="00917BCA">
        <w:t>Гиперосмоляльные расстройства</w:t>
      </w:r>
      <w:r w:rsidR="00917BCA">
        <w:t xml:space="preserve"> (</w:t>
      </w:r>
      <w:r w:rsidRPr="00917BCA">
        <w:t>осмоляльность превышает 300 мосмоль/кг Н</w:t>
      </w:r>
      <w:r w:rsidRPr="00917BCA">
        <w:rPr>
          <w:vertAlign w:val="subscript"/>
        </w:rPr>
        <w:t>2</w:t>
      </w:r>
      <w:r w:rsidRPr="00917BCA">
        <w:t>0</w:t>
      </w:r>
      <w:r w:rsidR="00917BCA" w:rsidRPr="00917BCA">
        <w:t xml:space="preserve">) </w:t>
      </w:r>
      <w:r w:rsidRPr="00917BCA">
        <w:t>могут возникать прежде всего в результате преимущественной потери воды</w:t>
      </w:r>
      <w:r w:rsidR="00917BCA" w:rsidRPr="00917BCA">
        <w:t xml:space="preserve">. </w:t>
      </w:r>
      <w:r w:rsidRPr="00917BCA">
        <w:t>При этом осмоляльность плазмы повышается параллельно концентрации натрия</w:t>
      </w:r>
      <w:r w:rsidR="00917BCA" w:rsidRPr="00917BCA">
        <w:t xml:space="preserve">. </w:t>
      </w:r>
      <w:r w:rsidRPr="00917BCA">
        <w:t>Отношение же натрия к осмоляльности сохраняется на прежнем уровне, что имеет большое диагностическое значение</w:t>
      </w:r>
      <w:r w:rsidR="00917BCA" w:rsidRPr="00917BCA">
        <w:t xml:space="preserve">. </w:t>
      </w:r>
      <w:r w:rsidRPr="00917BCA">
        <w:t>Сдвиг в осмотическом равновесии в сторону гиперосмии может быть обусловлен и накоплением эндогенных осмотически активных веществ вследствие гипергликемии, нарушения перфузии тканей и метаболизма, распада тканей</w:t>
      </w:r>
      <w:r w:rsidR="00917BCA">
        <w:t xml:space="preserve"> (</w:t>
      </w:r>
      <w:r w:rsidRPr="00917BCA">
        <w:t>травматический и геморрагический шок, инфаркт миокарда, тяжелая гипоксия, гепаторенальный синдром и пр</w:t>
      </w:r>
      <w:r w:rsidR="00AD7C1A">
        <w:t>.</w:t>
      </w:r>
      <w:r w:rsidR="00917BCA" w:rsidRPr="00917BCA">
        <w:t>),</w:t>
      </w:r>
      <w:r w:rsidRPr="00917BCA">
        <w:t xml:space="preserve"> а также введения их извне</w:t>
      </w:r>
      <w:r w:rsidR="00917BCA">
        <w:t xml:space="preserve"> (</w:t>
      </w:r>
      <w:r w:rsidRPr="00917BCA">
        <w:t xml:space="preserve">переливание растворов осмодиуретиков, концентрированной глюкозы, аминокислот и </w:t>
      </w:r>
      <w:r w:rsidR="00917BCA">
        <w:t>т.п.)</w:t>
      </w:r>
      <w:r w:rsidR="00917BCA" w:rsidRPr="00917BCA">
        <w:t xml:space="preserve">. </w:t>
      </w:r>
      <w:r w:rsidRPr="00917BCA">
        <w:t>В таких случаях нарастание осмоляльности перестает соответствовать уровню натрия, отношение между ними уменьшается и может приближаться к 0,4</w:t>
      </w:r>
      <w:r w:rsidR="00917BCA" w:rsidRPr="00917BCA">
        <w:t>.</w:t>
      </w:r>
    </w:p>
    <w:p w:rsidR="00917BCA" w:rsidRDefault="002228EA" w:rsidP="00917BCA">
      <w:r w:rsidRPr="00917BCA">
        <w:t>Растворы, применяемые в практике анестезиологии и реаниматологии, как правило из</w:t>
      </w:r>
      <w:r w:rsidR="00AC10D0" w:rsidRPr="00917BCA">
        <w:t>о</w:t>
      </w:r>
      <w:r w:rsidR="00917BCA" w:rsidRPr="00917BCA">
        <w:t xml:space="preserve"> - </w:t>
      </w:r>
      <w:r w:rsidR="00AC10D0" w:rsidRPr="00917BCA">
        <w:t>или гиперосмоляльны</w:t>
      </w:r>
      <w:r w:rsidR="00917BCA">
        <w:t xml:space="preserve"> (</w:t>
      </w:r>
      <w:r w:rsidR="00AC10D0" w:rsidRPr="00917BCA">
        <w:t>табл</w:t>
      </w:r>
      <w:r w:rsidR="00917BCA">
        <w:t>.</w:t>
      </w:r>
      <w:r w:rsidR="00AD7C1A">
        <w:t xml:space="preserve"> </w:t>
      </w:r>
      <w:r w:rsidR="00917BCA">
        <w:t>2</w:t>
      </w:r>
      <w:r w:rsidR="00917BCA" w:rsidRPr="00917BCA">
        <w:t xml:space="preserve">). </w:t>
      </w:r>
      <w:r w:rsidRPr="00917BCA">
        <w:t>Это обстоятельство обязательно необходимо учитывать при коррекции нарушений осмотического равновесия</w:t>
      </w:r>
      <w:r w:rsidR="00917BCA" w:rsidRPr="00917BCA">
        <w:t xml:space="preserve">. </w:t>
      </w:r>
      <w:r w:rsidRPr="00917BCA">
        <w:t>Следует также правильно выбирать скорость их введения, поскольку от этого зависит выраженность возникающего осмотического градиента</w:t>
      </w:r>
      <w:r w:rsidR="00917BCA" w:rsidRPr="00917BCA">
        <w:t xml:space="preserve">. </w:t>
      </w:r>
      <w:r w:rsidRPr="00917BCA">
        <w:t>Чем медленнее переливается гиперосмоляльный раствор, тем меньшую осмотическую нагрузку испытывают капиллярная стенка и клеточная мембрана</w:t>
      </w:r>
      <w:r w:rsidR="00917BCA" w:rsidRPr="00917BCA">
        <w:t xml:space="preserve">. </w:t>
      </w:r>
      <w:r w:rsidRPr="00917BCA">
        <w:t>Чем быстрее производится его инфузия, тем больше сдвиг в осмотическом равновесии</w:t>
      </w:r>
      <w:r w:rsidR="00917BCA" w:rsidRPr="00917BCA">
        <w:t>.</w:t>
      </w:r>
    </w:p>
    <w:p w:rsidR="00917BCA" w:rsidRDefault="002228EA" w:rsidP="00917BCA">
      <w:r w:rsidRPr="00917BCA">
        <w:t>Известно, что отчетливая дегидратация мозга наблюдается при подъеме осмоляльности плазмы крови выше нормы на 45 мосмоль/кг воды, а опытные невропатологи обнаруживают те или иные неврологические расстройства при повышении осмотической концентрации в интерстициальной жидкости свыше 300 мосмоль/кг Н</w:t>
      </w:r>
      <w:r w:rsidRPr="00917BCA">
        <w:rPr>
          <w:vertAlign w:val="subscript"/>
        </w:rPr>
        <w:t>2</w:t>
      </w:r>
      <w:r w:rsidRPr="00917BCA">
        <w:t>О</w:t>
      </w:r>
      <w:r w:rsidR="00917BCA" w:rsidRPr="00917BCA">
        <w:t xml:space="preserve">. </w:t>
      </w:r>
      <w:r w:rsidRPr="00917BCA">
        <w:t>Увеличение осмоляльности крови до 350 мосмоль/кг Н</w:t>
      </w:r>
      <w:r w:rsidRPr="00917BCA">
        <w:rPr>
          <w:vertAlign w:val="subscript"/>
        </w:rPr>
        <w:t>2</w:t>
      </w:r>
      <w:r w:rsidRPr="00917BCA">
        <w:t>О и выше обычно сопровождается развитием гиперосмоляльной комы</w:t>
      </w:r>
      <w:r w:rsidR="00917BCA" w:rsidRPr="00917BCA">
        <w:t xml:space="preserve">. </w:t>
      </w:r>
      <w:r w:rsidRPr="00917BCA">
        <w:t>Естественно, что переливание на таком фоне растворов с высокой осмотической активностью может привести к неблагоприятным последствиям</w:t>
      </w:r>
      <w:r w:rsidR="00917BCA" w:rsidRPr="00917BCA">
        <w:t>.</w:t>
      </w:r>
    </w:p>
    <w:p w:rsidR="002228EA" w:rsidRPr="00917BCA" w:rsidRDefault="00AD7C1A" w:rsidP="00AD7C1A">
      <w:pPr>
        <w:ind w:left="708" w:firstLine="12"/>
      </w:pPr>
      <w:r>
        <w:br w:type="page"/>
      </w:r>
      <w:r w:rsidR="00AC10D0" w:rsidRPr="00917BCA">
        <w:t xml:space="preserve">Таблица </w:t>
      </w:r>
      <w:r w:rsidR="002228EA" w:rsidRPr="00917BCA">
        <w:t>2</w:t>
      </w:r>
      <w:r>
        <w:t xml:space="preserve">. </w:t>
      </w:r>
      <w:r w:rsidR="002228EA" w:rsidRPr="00917BCA">
        <w:t>Осмоляльность некоторых инфузионных и трансфузионных сред</w:t>
      </w:r>
      <w:r w:rsidR="00917BCA">
        <w:t xml:space="preserve"> (</w:t>
      </w:r>
      <w:r w:rsidR="002228EA" w:rsidRPr="00917BCA">
        <w:t>мосмоль/кг Н</w:t>
      </w:r>
      <w:r w:rsidR="002228EA" w:rsidRPr="00917BCA">
        <w:rPr>
          <w:vertAlign w:val="subscript"/>
        </w:rPr>
        <w:t>2</w:t>
      </w:r>
      <w:r w:rsidR="002228EA" w:rsidRPr="00917BCA">
        <w:t>0</w:t>
      </w:r>
      <w:r w:rsidR="00917BCA" w:rsidRPr="00917BCA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2260"/>
        <w:gridCol w:w="1820"/>
      </w:tblGrid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Раствор</w:t>
            </w:r>
            <w:r w:rsidR="00917BCA">
              <w:t xml:space="preserve"> (</w:t>
            </w:r>
            <w:r w:rsidRPr="00917BCA">
              <w:t>среда</w:t>
            </w:r>
            <w:r w:rsidR="00917BCA" w:rsidRPr="00917BCA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Осмоляльность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Раствор</w:t>
            </w:r>
            <w:r w:rsidR="00917BCA">
              <w:t xml:space="preserve"> (</w:t>
            </w:r>
            <w:r w:rsidRPr="00917BCA">
              <w:t>среда</w:t>
            </w:r>
            <w:r w:rsidR="00917BCA" w:rsidRPr="00917BCA">
              <w:t xml:space="preserve">)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Осмоляльность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Плазма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290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Глюкоза 5%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278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Полиглюкин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310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Глюкоза 10%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523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Реополиглюкин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340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Глюкоза 20%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1250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Желатиноль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435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Лактасол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295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Гемодез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290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3B4AF2">
              <w:rPr>
                <w:lang w:val="en-US"/>
              </w:rPr>
              <w:t>NaCI</w:t>
            </w:r>
            <w:r w:rsidRPr="00917BCA">
              <w:t xml:space="preserve"> 0,9%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308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Волекам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308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Раствор Рингера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270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Стабизол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308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Полиамин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1250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Гемохез 6%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310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Аминон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830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Рефортан плюс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310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Альвезин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1300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Протеин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950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Интралипид 10%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280</w:t>
            </w:r>
          </w:p>
        </w:tc>
      </w:tr>
      <w:tr w:rsidR="002228EA" w:rsidRPr="00917BCA" w:rsidTr="003B4AF2">
        <w:trPr>
          <w:jc w:val="center"/>
        </w:trPr>
        <w:tc>
          <w:tcPr>
            <w:tcW w:w="2448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Альбумин 10%</w:t>
            </w:r>
          </w:p>
        </w:tc>
        <w:tc>
          <w:tcPr>
            <w:tcW w:w="198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380</w:t>
            </w:r>
          </w:p>
        </w:tc>
        <w:tc>
          <w:tcPr>
            <w:tcW w:w="226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 xml:space="preserve">Интралипид 20% </w:t>
            </w:r>
          </w:p>
        </w:tc>
        <w:tc>
          <w:tcPr>
            <w:tcW w:w="1820" w:type="dxa"/>
            <w:shd w:val="clear" w:color="auto" w:fill="auto"/>
          </w:tcPr>
          <w:p w:rsidR="002228EA" w:rsidRPr="00917BCA" w:rsidRDefault="002228EA" w:rsidP="00AD7C1A">
            <w:pPr>
              <w:pStyle w:val="afe"/>
            </w:pPr>
            <w:r w:rsidRPr="00917BCA">
              <w:t>330</w:t>
            </w:r>
          </w:p>
        </w:tc>
      </w:tr>
    </w:tbl>
    <w:p w:rsidR="00AC10D0" w:rsidRPr="00917BCA" w:rsidRDefault="00AC10D0" w:rsidP="00917BCA"/>
    <w:p w:rsidR="002228EA" w:rsidRPr="00917BCA" w:rsidRDefault="00AC10D0" w:rsidP="00AD7C1A">
      <w:pPr>
        <w:pStyle w:val="2"/>
      </w:pPr>
      <w:bookmarkStart w:id="1" w:name="_Toc242315681"/>
      <w:r w:rsidRPr="00917BCA">
        <w:t>2</w:t>
      </w:r>
      <w:r w:rsidR="00917BCA" w:rsidRPr="00917BCA">
        <w:t xml:space="preserve">. </w:t>
      </w:r>
      <w:r w:rsidR="002228EA" w:rsidRPr="00917BCA">
        <w:t>Интегральная оценка функционального состояния</w:t>
      </w:r>
      <w:bookmarkEnd w:id="1"/>
    </w:p>
    <w:p w:rsidR="00AD7C1A" w:rsidRDefault="00AD7C1A" w:rsidP="00917BCA"/>
    <w:p w:rsidR="00917BCA" w:rsidRDefault="002228EA" w:rsidP="00917BCA">
      <w:r w:rsidRPr="00917BCA">
        <w:t>Разнонаправленные сдвиги функциональных показателей организма в критическом состоянии выдвигают задачу объективной и комплексной оценки тяжести пациента, ориентированной на исход</w:t>
      </w:r>
      <w:r w:rsidR="00917BCA" w:rsidRPr="00917BCA">
        <w:t xml:space="preserve">. </w:t>
      </w:r>
      <w:r w:rsidRPr="00917BCA">
        <w:t>Эта задача может быть решена путем применения различных прогностических схем, которые бывают специализированными и неспециализированными</w:t>
      </w:r>
      <w:r w:rsidR="00917BCA" w:rsidRPr="00917BCA">
        <w:t xml:space="preserve">. </w:t>
      </w:r>
      <w:r w:rsidRPr="00917BCA">
        <w:t>Разработанные на основе математических моделей, эти схемы позволяют решать множество проблем, среди которых</w:t>
      </w:r>
      <w:r w:rsidR="00917BCA" w:rsidRPr="00917BCA">
        <w:t>:</w:t>
      </w:r>
    </w:p>
    <w:p w:rsidR="00917BCA" w:rsidRDefault="002228EA" w:rsidP="00917BCA">
      <w:r w:rsidRPr="00917BCA">
        <w:t>объективная оценка тяжести состояния</w:t>
      </w:r>
      <w:r w:rsidR="00917BCA">
        <w:t xml:space="preserve"> (</w:t>
      </w:r>
      <w:r w:rsidRPr="00917BCA">
        <w:t>заболевания</w:t>
      </w:r>
      <w:r w:rsidR="00917BCA" w:rsidRPr="00917BCA">
        <w:t>),</w:t>
      </w:r>
      <w:r w:rsidRPr="00917BCA">
        <w:t xml:space="preserve"> ориентированная на исход</w:t>
      </w:r>
      <w:r w:rsidR="00917BCA" w:rsidRPr="00917BCA">
        <w:t>;</w:t>
      </w:r>
    </w:p>
    <w:p w:rsidR="00917BCA" w:rsidRDefault="002228EA" w:rsidP="00917BCA">
      <w:r w:rsidRPr="00917BCA">
        <w:t>возможность определения состояния в динамике, что позволяет оценивать эффективность проводимой терапии</w:t>
      </w:r>
      <w:r w:rsidR="00917BCA" w:rsidRPr="00917BCA">
        <w:t>;</w:t>
      </w:r>
    </w:p>
    <w:p w:rsidR="00917BCA" w:rsidRDefault="002228EA" w:rsidP="00917BCA">
      <w:r w:rsidRPr="00917BCA">
        <w:t>рациональное использование медицинских сил и средств в условиях массового поступления больных и поражённых</w:t>
      </w:r>
      <w:r w:rsidR="00917BCA" w:rsidRPr="00917BCA">
        <w:t>;</w:t>
      </w:r>
    </w:p>
    <w:p w:rsidR="00917BCA" w:rsidRDefault="002228EA" w:rsidP="00917BCA">
      <w:r w:rsidRPr="00917BCA">
        <w:t>оперативное, точное и простое определение очерёдности оказания помощи и её объёма, в том числе, выбор и последовательность операций, с обеспечением возможности проведения сортировки не только врачами, но и средними медицинскими работниками</w:t>
      </w:r>
      <w:r w:rsidR="00917BCA" w:rsidRPr="00917BCA">
        <w:t>;</w:t>
      </w:r>
    </w:p>
    <w:p w:rsidR="00917BCA" w:rsidRDefault="002228EA" w:rsidP="00917BCA">
      <w:r w:rsidRPr="00917BCA">
        <w:t>определение количественного и качественного состава инфузионно-трансфузионной терапии</w:t>
      </w:r>
      <w:r w:rsidR="00917BCA" w:rsidRPr="00917BCA">
        <w:t>;</w:t>
      </w:r>
    </w:p>
    <w:p w:rsidR="00917BCA" w:rsidRDefault="002228EA" w:rsidP="00917BCA">
      <w:r w:rsidRPr="00917BCA">
        <w:t>своевременное принятие мер по профилактике осложнений</w:t>
      </w:r>
      <w:r w:rsidR="00917BCA" w:rsidRPr="00917BCA">
        <w:t>;</w:t>
      </w:r>
    </w:p>
    <w:p w:rsidR="00917BCA" w:rsidRDefault="002228EA" w:rsidP="00917BCA">
      <w:r w:rsidRPr="00917BCA">
        <w:t>документирование течения патологического процесса при ранениях и травмах</w:t>
      </w:r>
      <w:r w:rsidR="00917BCA" w:rsidRPr="00917BCA">
        <w:t>;</w:t>
      </w:r>
    </w:p>
    <w:p w:rsidR="00917BCA" w:rsidRDefault="002228EA" w:rsidP="00917BCA">
      <w:r w:rsidRPr="00917BCA">
        <w:t>объективная оценка результатов лечения, включая определение эффективности работы стационара, отделения, каждого врача</w:t>
      </w:r>
      <w:r w:rsidR="00917BCA" w:rsidRPr="00917BCA">
        <w:t>;</w:t>
      </w:r>
    </w:p>
    <w:p w:rsidR="00917BCA" w:rsidRDefault="002228EA" w:rsidP="00917BCA">
      <w:r w:rsidRPr="00917BCA">
        <w:t>обучение медицинского персонала</w:t>
      </w:r>
      <w:r w:rsidR="00917BCA" w:rsidRPr="00917BCA">
        <w:t>.</w:t>
      </w:r>
    </w:p>
    <w:p w:rsidR="00917BCA" w:rsidRDefault="002228EA" w:rsidP="00917BCA">
      <w:r w:rsidRPr="00917BCA">
        <w:t>Требования, предъявляемые к методикам оценки, следующие</w:t>
      </w:r>
      <w:r w:rsidR="00917BCA" w:rsidRPr="00917BCA">
        <w:t xml:space="preserve">: </w:t>
      </w:r>
      <w:r w:rsidRPr="00917BCA">
        <w:t>простота, лёгкость в использовании</w:t>
      </w:r>
      <w:r w:rsidR="00917BCA" w:rsidRPr="00917BCA">
        <w:t xml:space="preserve">; </w:t>
      </w:r>
      <w:r w:rsidRPr="00917BCA">
        <w:t>общедоступность данных, использующихся в качестве анализируемых показателей</w:t>
      </w:r>
      <w:r w:rsidR="00917BCA" w:rsidRPr="00917BCA">
        <w:t xml:space="preserve">; </w:t>
      </w:r>
      <w:r w:rsidRPr="00917BCA">
        <w:t>достоверность</w:t>
      </w:r>
      <w:r w:rsidR="00917BCA" w:rsidRPr="00917BCA">
        <w:t>.</w:t>
      </w:r>
    </w:p>
    <w:p w:rsidR="00917BCA" w:rsidRDefault="002228EA" w:rsidP="00917BCA">
      <w:r w:rsidRPr="00917BCA">
        <w:t>Разработка прогностических систем началась в медицине преимущественно в рамках изучения механической травмы</w:t>
      </w:r>
      <w:r w:rsidR="00917BCA" w:rsidRPr="00917BCA">
        <w:t xml:space="preserve">. </w:t>
      </w:r>
      <w:r w:rsidRPr="00917BCA">
        <w:t>Исследователи шли тремя путями</w:t>
      </w:r>
      <w:r w:rsidR="00917BCA" w:rsidRPr="00917BCA">
        <w:t xml:space="preserve">. </w:t>
      </w:r>
      <w:r w:rsidRPr="00917BCA">
        <w:t xml:space="preserve">Одни считали, что тяжесть травмы лучше всего оценивать по морфологическим критериям, другие </w:t>
      </w:r>
      <w:r w:rsidR="00917BCA">
        <w:t>-</w:t>
      </w:r>
      <w:r w:rsidRPr="00917BCA">
        <w:t xml:space="preserve"> на основе функционального состояния организма, третьи применили комплексный подход и использовали как анатомическую характеристику повреждения, так и реакцию основных систем организма на травму</w:t>
      </w:r>
      <w:r w:rsidR="00917BCA" w:rsidRPr="00917BCA">
        <w:t xml:space="preserve">. </w:t>
      </w:r>
      <w:r w:rsidRPr="00917BCA">
        <w:t>Процесс математического прогнозирования шел по пути создания сначала простых описательных схем, а затем</w:t>
      </w:r>
      <w:r w:rsidR="00917BCA" w:rsidRPr="00917BCA">
        <w:t xml:space="preserve"> - </w:t>
      </w:r>
      <w:r w:rsidRPr="00917BCA">
        <w:t>сложных алгоритмов, требующих применения современной вычислительной техники</w:t>
      </w:r>
      <w:r w:rsidR="00917BCA" w:rsidRPr="00917BCA">
        <w:t>.</w:t>
      </w:r>
    </w:p>
    <w:p w:rsidR="00917BCA" w:rsidRDefault="002228EA" w:rsidP="00917BCA">
      <w:r w:rsidRPr="00917BCA">
        <w:t>Одна из первых серьезных попыток систематизации травм по тяжести была предпринята в США в 1971 г</w:t>
      </w:r>
      <w:r w:rsidR="00917BCA" w:rsidRPr="00917BCA">
        <w:t xml:space="preserve">. </w:t>
      </w:r>
      <w:r w:rsidRPr="00917BCA">
        <w:t>посредством создания</w:t>
      </w:r>
      <w:r w:rsidR="00917BCA">
        <w:t xml:space="preserve"> "</w:t>
      </w:r>
      <w:r w:rsidRPr="00917BCA">
        <w:t>Сокращенной шкалы повреждений</w:t>
      </w:r>
      <w:r w:rsidR="00917BCA">
        <w:t>" (</w:t>
      </w:r>
      <w:r w:rsidRPr="00917BCA">
        <w:t>Abbreviated Injury Scale</w:t>
      </w:r>
      <w:r w:rsidR="00917BCA" w:rsidRPr="00917BCA">
        <w:t xml:space="preserve"> -</w:t>
      </w:r>
      <w:r w:rsidR="00917BCA">
        <w:t xml:space="preserve"> (</w:t>
      </w:r>
      <w:r w:rsidRPr="00917BCA">
        <w:t>AIS</w:t>
      </w:r>
      <w:r w:rsidR="00917BCA" w:rsidRPr="00917BCA">
        <w:t xml:space="preserve">). </w:t>
      </w:r>
      <w:r w:rsidRPr="00917BCA">
        <w:t>В 1974 г</w:t>
      </w:r>
      <w:r w:rsidR="00917BCA" w:rsidRPr="00917BCA">
        <w:t xml:space="preserve">. </w:t>
      </w:r>
      <w:r w:rsidRPr="00917BCA">
        <w:t>на основе AIS</w:t>
      </w:r>
      <w:r w:rsidR="00917BCA">
        <w:t xml:space="preserve"> (</w:t>
      </w:r>
      <w:r w:rsidRPr="00917BCA">
        <w:t>в результате квадратичного преобразования кодов</w:t>
      </w:r>
      <w:r w:rsidR="00917BCA" w:rsidRPr="00917BCA">
        <w:t xml:space="preserve">) </w:t>
      </w:r>
      <w:r w:rsidRPr="00917BCA">
        <w:t>была разработана</w:t>
      </w:r>
      <w:r w:rsidR="00917BCA">
        <w:t xml:space="preserve"> "</w:t>
      </w:r>
      <w:r w:rsidRPr="00917BCA">
        <w:t>Сокращенная шкала повреждений</w:t>
      </w:r>
      <w:r w:rsidR="00917BCA">
        <w:t>" (</w:t>
      </w:r>
      <w:r w:rsidRPr="00917BCA">
        <w:t>Injury Severity Score</w:t>
      </w:r>
      <w:r w:rsidR="00917BCA" w:rsidRPr="00917BCA">
        <w:t xml:space="preserve"> - </w:t>
      </w:r>
      <w:r w:rsidRPr="00917BCA">
        <w:t>ISS</w:t>
      </w:r>
      <w:r w:rsidR="00917BCA" w:rsidRPr="00917BCA">
        <w:t>),</w:t>
      </w:r>
      <w:r w:rsidRPr="00917BCA">
        <w:t xml:space="preserve"> предусматривающая перечисление возможных травм человеческого тела, условно разделенного на 5 областей</w:t>
      </w:r>
      <w:r w:rsidR="00917BCA" w:rsidRPr="00917BCA">
        <w:t xml:space="preserve">: </w:t>
      </w:r>
      <w:r w:rsidRPr="00917BCA">
        <w:t>голова и шея, грудь, живот конечности, общие повреждения</w:t>
      </w:r>
      <w:r w:rsidR="00917BCA">
        <w:t xml:space="preserve"> (</w:t>
      </w:r>
      <w:r w:rsidRPr="00917BCA">
        <w:t xml:space="preserve">ушибы, ссадины, ожоги и </w:t>
      </w:r>
      <w:r w:rsidR="00917BCA">
        <w:t>т.д.)</w:t>
      </w:r>
      <w:r w:rsidR="00917BCA" w:rsidRPr="00917BCA">
        <w:t xml:space="preserve">. </w:t>
      </w:r>
      <w:r w:rsidRPr="00917BCA">
        <w:t>Повреждения в этих зонах с помощью экспертов градуировались по возрастающей тяжести цифрами-кодами от 1 до 5</w:t>
      </w:r>
      <w:r w:rsidR="00917BCA" w:rsidRPr="00917BCA">
        <w:t xml:space="preserve">. </w:t>
      </w:r>
      <w:r w:rsidRPr="00917BCA">
        <w:t>Код травмы хотя и свидетельствовал о ее тяжести, но в силу своей субъективности отнюдь не характеризовал последнюю количественно, поскольку был назначен в произвольном масштабе</w:t>
      </w:r>
      <w:r w:rsidR="00917BCA" w:rsidRPr="00917BCA">
        <w:t xml:space="preserve">. </w:t>
      </w:r>
      <w:r w:rsidRPr="00917BCA">
        <w:t>Кроме того, чрезмерное увлечение детализацией различных видов травм привело к созданию весьма обширных списков повреждений в рамках ISS, которые в настоящее время занимают несколько десятков страниц печатного текста</w:t>
      </w:r>
      <w:r w:rsidR="00917BCA" w:rsidRPr="00917BCA">
        <w:t xml:space="preserve">. </w:t>
      </w:r>
      <w:r w:rsidRPr="00917BCA">
        <w:t>Несмотря на недостатки и чисто</w:t>
      </w:r>
      <w:r w:rsidR="00917BCA">
        <w:t xml:space="preserve"> "</w:t>
      </w:r>
      <w:r w:rsidRPr="00917BCA">
        <w:t>анатомический</w:t>
      </w:r>
      <w:r w:rsidR="00917BCA">
        <w:t xml:space="preserve">" </w:t>
      </w:r>
      <w:r w:rsidRPr="00917BCA">
        <w:t>подход к оценке тяжести повреждения, в большинстве западных стран использование шкалы ISS при травматических повреждениях считается обязательным, особенно когда речь идет о страховых выплатах и результатах лечения</w:t>
      </w:r>
      <w:r w:rsidR="00917BCA" w:rsidRPr="00917BCA">
        <w:t>.</w:t>
      </w:r>
    </w:p>
    <w:p w:rsidR="00917BCA" w:rsidRDefault="002228EA" w:rsidP="00917BCA">
      <w:r w:rsidRPr="00917BCA">
        <w:t>Тем не менее, неудовлетворенность клиницистов однобокостью подхода к оценке тяжести травмы обусловила большое количество разработок в этом направлении</w:t>
      </w:r>
      <w:r w:rsidR="00917BCA" w:rsidRPr="00917BCA">
        <w:t xml:space="preserve">. </w:t>
      </w:r>
      <w:r w:rsidRPr="00917BCA">
        <w:t>В частности, результатом коллективного творчества участников одной из конференций по ISS в 1980 г</w:t>
      </w:r>
      <w:r w:rsidR="00917BCA" w:rsidRPr="00917BCA">
        <w:t xml:space="preserve">. </w:t>
      </w:r>
      <w:r w:rsidRPr="00917BCA">
        <w:t>явилось создание шкалы Trauma Score</w:t>
      </w:r>
      <w:r w:rsidR="00917BCA">
        <w:t xml:space="preserve"> (</w:t>
      </w:r>
      <w:r w:rsidRPr="00917BCA">
        <w:t>TS</w:t>
      </w:r>
      <w:r w:rsidR="00917BCA" w:rsidRPr="00917BCA">
        <w:t xml:space="preserve">). </w:t>
      </w:r>
      <w:r w:rsidRPr="00917BCA">
        <w:t>Ее можно считать одним из примеров не</w:t>
      </w:r>
      <w:r w:rsidR="00917BCA">
        <w:t xml:space="preserve"> "</w:t>
      </w:r>
      <w:r w:rsidRPr="00917BCA">
        <w:t>анатомического</w:t>
      </w:r>
      <w:r w:rsidR="00917BCA">
        <w:t xml:space="preserve">", </w:t>
      </w:r>
      <w:r w:rsidRPr="00917BCA">
        <w:t>а многофакторного и функционального подхода к оценке тяжести пострадавшего с травматическим шоком</w:t>
      </w:r>
      <w:r w:rsidR="00917BCA" w:rsidRPr="00917BCA">
        <w:t xml:space="preserve">. </w:t>
      </w:r>
      <w:r w:rsidRPr="00917BCA">
        <w:t>Она позволяет учитывать одновременно несколько показателей, отражающих состояние функциональных систем</w:t>
      </w:r>
      <w:r w:rsidR="00917BCA">
        <w:t xml:space="preserve"> (</w:t>
      </w:r>
      <w:r w:rsidRPr="00917BCA">
        <w:t>частота и характер дыхания, уровень систолического артериального давления, скорость наполнения капилляров, а также уровень сознания по шкале ком Глазго</w:t>
      </w:r>
      <w:r w:rsidR="00917BCA" w:rsidRPr="00917BCA">
        <w:t xml:space="preserve">). </w:t>
      </w:r>
      <w:r w:rsidRPr="00917BCA">
        <w:t>Суммируя баллы, соответствующие оценке каждого из признаков, можно получить код, позволяющий количественно оценить тяжесть состояния пострадавшего</w:t>
      </w:r>
      <w:r w:rsidR="00917BCA" w:rsidRPr="00917BCA">
        <w:t xml:space="preserve">. </w:t>
      </w:r>
      <w:r w:rsidRPr="00917BCA">
        <w:t>Возможность определения всех показателей без применения сложных инструментальных методик сделало ее доступной для любого этапа оказания помощи</w:t>
      </w:r>
      <w:r w:rsidR="00917BCA" w:rsidRPr="00917BCA">
        <w:t>.</w:t>
      </w:r>
    </w:p>
    <w:p w:rsidR="00917BCA" w:rsidRDefault="002228EA" w:rsidP="00917BCA">
      <w:r w:rsidRPr="00917BCA">
        <w:t>В 1982 г</w:t>
      </w:r>
      <w:r w:rsidR="00917BCA" w:rsidRPr="00917BCA">
        <w:t xml:space="preserve">. </w:t>
      </w:r>
      <w:r w:rsidRPr="00917BCA">
        <w:t>S</w:t>
      </w:r>
      <w:r w:rsidR="00917BCA" w:rsidRPr="00917BCA">
        <w:t xml:space="preserve">. </w:t>
      </w:r>
      <w:r w:rsidRPr="00917BCA">
        <w:t>P</w:t>
      </w:r>
      <w:r w:rsidR="00917BCA" w:rsidRPr="00917BCA">
        <w:t xml:space="preserve">. </w:t>
      </w:r>
      <w:r w:rsidRPr="00917BCA">
        <w:t>Gormican разработал шкалу GRAMS, предназначенную для использования на догоспитальном этапе</w:t>
      </w:r>
      <w:r w:rsidR="00917BCA" w:rsidRPr="00917BCA">
        <w:t xml:space="preserve">. </w:t>
      </w:r>
      <w:r w:rsidRPr="00917BCA">
        <w:t>Она получила название по пяти заглавным буквам функциональных показателей</w:t>
      </w:r>
      <w:r w:rsidR="00917BCA" w:rsidRPr="00917BCA">
        <w:t xml:space="preserve">: </w:t>
      </w:r>
      <w:r w:rsidRPr="00917BCA">
        <w:t>Circulation</w:t>
      </w:r>
      <w:r w:rsidR="00917BCA">
        <w:t xml:space="preserve"> (</w:t>
      </w:r>
      <w:r w:rsidRPr="00917BCA">
        <w:t>кровообращение</w:t>
      </w:r>
      <w:r w:rsidR="00917BCA" w:rsidRPr="00917BCA">
        <w:t>),</w:t>
      </w:r>
      <w:r w:rsidRPr="00917BCA">
        <w:t xml:space="preserve"> Respiration</w:t>
      </w:r>
      <w:r w:rsidR="00917BCA">
        <w:t xml:space="preserve"> (</w:t>
      </w:r>
      <w:r w:rsidRPr="00917BCA">
        <w:t>дыхание</w:t>
      </w:r>
      <w:r w:rsidR="00917BCA" w:rsidRPr="00917BCA">
        <w:t>),</w:t>
      </w:r>
      <w:r w:rsidRPr="00917BCA">
        <w:t xml:space="preserve"> Abdomen</w:t>
      </w:r>
      <w:r w:rsidR="00917BCA">
        <w:t xml:space="preserve"> (</w:t>
      </w:r>
      <w:r w:rsidRPr="00917BCA">
        <w:t>живот</w:t>
      </w:r>
      <w:r w:rsidR="00917BCA" w:rsidRPr="00917BCA">
        <w:t>),</w:t>
      </w:r>
      <w:r w:rsidRPr="00917BCA">
        <w:t xml:space="preserve"> Motor</w:t>
      </w:r>
      <w:r w:rsidR="00917BCA">
        <w:t xml:space="preserve"> (</w:t>
      </w:r>
      <w:r w:rsidRPr="00917BCA">
        <w:t>движение</w:t>
      </w:r>
      <w:r w:rsidR="00917BCA" w:rsidRPr="00917BCA">
        <w:t>),</w:t>
      </w:r>
      <w:r w:rsidRPr="00917BCA">
        <w:t xml:space="preserve"> Speech</w:t>
      </w:r>
      <w:r w:rsidR="00917BCA">
        <w:t xml:space="preserve"> (</w:t>
      </w:r>
      <w:r w:rsidRPr="00917BCA">
        <w:t>речь</w:t>
      </w:r>
      <w:r w:rsidR="00917BCA" w:rsidRPr="00917BCA">
        <w:t>),</w:t>
      </w:r>
      <w:r w:rsidRPr="00917BCA">
        <w:t xml:space="preserve"> каждому из которых присваивался соответствующий балл</w:t>
      </w:r>
      <w:r w:rsidR="00917BCA" w:rsidRPr="00917BCA">
        <w:t xml:space="preserve">. </w:t>
      </w:r>
      <w:r w:rsidRPr="00917BCA">
        <w:t>На основании суммы баллов осуществлялась сортировка пострадавших с направлением их в ближайший многопрофильный госпиталь или в травматологические центры I, II или III уровней</w:t>
      </w:r>
      <w:r w:rsidR="00917BCA" w:rsidRPr="00917BCA">
        <w:t xml:space="preserve">. </w:t>
      </w:r>
      <w:r w:rsidRPr="00917BCA">
        <w:t>Данная шкала, исходя из поставленной авторами цели, имела только сортировочное значение и была призвана решать относительно ограниченную задачу выбора места лечения пострадавшего</w:t>
      </w:r>
      <w:r w:rsidR="00917BCA" w:rsidRPr="00917BCA">
        <w:t>.</w:t>
      </w:r>
    </w:p>
    <w:p w:rsidR="00917BCA" w:rsidRDefault="002228EA" w:rsidP="00917BCA">
      <w:r w:rsidRPr="00917BCA">
        <w:t>В нашей стране при проведении оценки тяжести травмы наиболее популярны два подхода</w:t>
      </w:r>
      <w:r w:rsidR="00917BCA" w:rsidRPr="00917BCA">
        <w:t xml:space="preserve">. </w:t>
      </w:r>
      <w:r w:rsidRPr="00917BCA">
        <w:t>В основе первого, автором которого явился профессор Санкт-Петербургского НИИ скорой помощи им</w:t>
      </w:r>
      <w:r w:rsidR="00917BCA">
        <w:t xml:space="preserve">.И. </w:t>
      </w:r>
      <w:r w:rsidRPr="00917BCA">
        <w:t>И</w:t>
      </w:r>
      <w:r w:rsidR="00917BCA" w:rsidRPr="00917BCA">
        <w:t xml:space="preserve">. </w:t>
      </w:r>
      <w:r w:rsidRPr="00917BCA">
        <w:t>Джанелидзе Ю</w:t>
      </w:r>
      <w:r w:rsidR="00917BCA">
        <w:t xml:space="preserve">.Н. </w:t>
      </w:r>
      <w:r w:rsidRPr="00917BCA">
        <w:t>Цибин, лежит многофакторное уравнение, аргументами которого являются балл шокогенности травмы</w:t>
      </w:r>
      <w:r w:rsidR="00917BCA">
        <w:t xml:space="preserve"> (</w:t>
      </w:r>
      <w:r w:rsidRPr="00917BCA">
        <w:t>способности повреждения вызывать развитие шока, рассчитывается по специальной таблице</w:t>
      </w:r>
      <w:r w:rsidR="00917BCA" w:rsidRPr="00917BCA">
        <w:t>),</w:t>
      </w:r>
      <w:r w:rsidRPr="00917BCA">
        <w:t xml:space="preserve"> уровень систолического АД в мм рт</w:t>
      </w:r>
      <w:r w:rsidR="00917BCA" w:rsidRPr="00917BCA">
        <w:t xml:space="preserve">. </w:t>
      </w:r>
      <w:r w:rsidRPr="00917BCA">
        <w:t>ст</w:t>
      </w:r>
      <w:r w:rsidR="00917BCA">
        <w:t>.,</w:t>
      </w:r>
      <w:r w:rsidRPr="00917BCA">
        <w:t xml:space="preserve"> частота сердечных сокращений в минуту, возраст в годах</w:t>
      </w:r>
      <w:r w:rsidR="00917BCA" w:rsidRPr="00917BCA">
        <w:t xml:space="preserve">. </w:t>
      </w:r>
      <w:r w:rsidRPr="00917BCA">
        <w:t>Решение этого уравнения в отношении конкретного пострадавшего позволяет получить величину</w:t>
      </w:r>
      <w:r w:rsidR="00917BCA">
        <w:t xml:space="preserve"> "</w:t>
      </w:r>
      <w:r w:rsidRPr="00917BCA">
        <w:t>Т</w:t>
      </w:r>
      <w:r w:rsidR="00917BCA">
        <w:t xml:space="preserve">" </w:t>
      </w:r>
      <w:r w:rsidRPr="00917BCA">
        <w:t>в часах, знак которой свидетельствует о возможном положительном</w:t>
      </w:r>
      <w:r w:rsidR="00917BCA">
        <w:t xml:space="preserve"> (</w:t>
      </w:r>
      <w:r w:rsidRPr="00917BCA">
        <w:t>+Т</w:t>
      </w:r>
      <w:r w:rsidR="00917BCA" w:rsidRPr="00917BCA">
        <w:t xml:space="preserve">) </w:t>
      </w:r>
      <w:r w:rsidRPr="00917BCA">
        <w:t>или отрицательном</w:t>
      </w:r>
      <w:r w:rsidR="00917BCA">
        <w:t xml:space="preserve"> (</w:t>
      </w:r>
      <w:r w:rsidRPr="00917BCA">
        <w:t>-Т</w:t>
      </w:r>
      <w:r w:rsidR="00917BCA" w:rsidRPr="00917BCA">
        <w:t xml:space="preserve">) </w:t>
      </w:r>
      <w:r w:rsidRPr="00917BCA">
        <w:t>исходе шока в ближайшие 24 ч после травмы</w:t>
      </w:r>
      <w:r w:rsidR="00917BCA" w:rsidRPr="00917BCA">
        <w:t xml:space="preserve">. </w:t>
      </w:r>
      <w:r w:rsidRPr="00917BCA">
        <w:t>При этом абсолютная величина</w:t>
      </w:r>
      <w:r w:rsidR="00917BCA">
        <w:t xml:space="preserve"> "</w:t>
      </w:r>
      <w:r w:rsidRPr="00917BCA">
        <w:t>Т</w:t>
      </w:r>
      <w:r w:rsidR="00917BCA">
        <w:t xml:space="preserve">" </w:t>
      </w:r>
      <w:r w:rsidRPr="00917BCA">
        <w:t xml:space="preserve">при ее положительном значении соответствует предполагаемой длительности шока, а при отрицательном </w:t>
      </w:r>
      <w:r w:rsidR="00917BCA">
        <w:t>-</w:t>
      </w:r>
      <w:r w:rsidRPr="00917BCA">
        <w:t xml:space="preserve"> вероятной продолжительности жизни</w:t>
      </w:r>
      <w:r w:rsidR="00917BCA" w:rsidRPr="00917BCA">
        <w:t xml:space="preserve">. </w:t>
      </w:r>
      <w:r w:rsidRPr="00917BCA">
        <w:t>При абсолютных значениях</w:t>
      </w:r>
      <w:r w:rsidR="00917BCA">
        <w:t xml:space="preserve"> "</w:t>
      </w:r>
      <w:r w:rsidRPr="00917BCA">
        <w:t>Т</w:t>
      </w:r>
      <w:r w:rsidR="00917BCA">
        <w:t xml:space="preserve">" </w:t>
      </w:r>
      <w:r w:rsidRPr="00917BCA">
        <w:t>более 24 ч прогноз считается неопределенным</w:t>
      </w:r>
      <w:r w:rsidR="00917BCA" w:rsidRPr="00917BCA">
        <w:t xml:space="preserve">. </w:t>
      </w:r>
      <w:r w:rsidRPr="00917BCA">
        <w:t>Эта методика широко используется в лечебно-профилактических учреждениях МЗ РФ</w:t>
      </w:r>
      <w:r w:rsidR="00917BCA" w:rsidRPr="00917BCA">
        <w:t>.</w:t>
      </w:r>
    </w:p>
    <w:p w:rsidR="00917BCA" w:rsidRDefault="002228EA" w:rsidP="00917BCA">
      <w:r w:rsidRPr="00917BCA">
        <w:t>Второй подход, предложенный сотрудниками клиники Военно-полевой хирургии Военно-медицинской академии</w:t>
      </w:r>
      <w:r w:rsidR="00917BCA">
        <w:t xml:space="preserve"> (</w:t>
      </w:r>
      <w:r w:rsidRPr="00917BCA">
        <w:t>Е</w:t>
      </w:r>
      <w:r w:rsidR="00917BCA">
        <w:t xml:space="preserve">.К. </w:t>
      </w:r>
      <w:r w:rsidRPr="00917BCA">
        <w:t>Гуманенко</w:t>
      </w:r>
      <w:r w:rsidR="00917BCA" w:rsidRPr="00917BCA">
        <w:t xml:space="preserve">) </w:t>
      </w:r>
      <w:r w:rsidRPr="00917BCA">
        <w:t>и рекомендованный к применению в госпиталях МО РФ, предусматривает поэтапную оценку по таблицам тяжести повреждения, тяжести состояния и в совокупности тяжести травмы как при поступлении раненого или пострадавшего</w:t>
      </w:r>
      <w:r w:rsidR="00917BCA">
        <w:t xml:space="preserve"> (</w:t>
      </w:r>
      <w:r w:rsidRPr="00917BCA">
        <w:t>шкала ВПХ-П</w:t>
      </w:r>
      <w:r w:rsidR="00917BCA" w:rsidRPr="00917BCA">
        <w:t>),</w:t>
      </w:r>
      <w:r w:rsidRPr="00917BCA">
        <w:t xml:space="preserve"> так и в процессе его лечения</w:t>
      </w:r>
      <w:r w:rsidR="00917BCA">
        <w:t xml:space="preserve"> (</w:t>
      </w:r>
      <w:r w:rsidRPr="00917BCA">
        <w:t>шкала ВПХ-СГ</w:t>
      </w:r>
      <w:r w:rsidR="00917BCA" w:rsidRPr="00917BCA">
        <w:t>).</w:t>
      </w:r>
    </w:p>
    <w:p w:rsidR="00917BCA" w:rsidRDefault="002228EA" w:rsidP="00917BCA">
      <w:r w:rsidRPr="00917BCA">
        <w:t>Среди неспециализированных систем, позволяющих произвести интегральную оценку тяжести функционального состояния, наибольшее распространение в мировой практике получили системы АРАСНЕ</w:t>
      </w:r>
      <w:r w:rsidR="00917BCA">
        <w:t xml:space="preserve"> (</w:t>
      </w:r>
      <w:r w:rsidRPr="00917BCA">
        <w:t xml:space="preserve">Acute Physiology Age Chronic Health Evaluation </w:t>
      </w:r>
      <w:r w:rsidR="00917BCA">
        <w:t>-</w:t>
      </w:r>
      <w:r w:rsidRPr="00917BCA">
        <w:t xml:space="preserve"> оценка возраста, острых и хронических функциональных изменений</w:t>
      </w:r>
      <w:r w:rsidR="00917BCA" w:rsidRPr="00917BCA">
        <w:t xml:space="preserve">) </w:t>
      </w:r>
      <w:r w:rsidRPr="00917BCA">
        <w:t>и SAPS</w:t>
      </w:r>
      <w:r w:rsidR="00917BCA">
        <w:t xml:space="preserve"> (</w:t>
      </w:r>
      <w:r w:rsidRPr="00917BCA">
        <w:t xml:space="preserve">Simplified Acute Physiology Score </w:t>
      </w:r>
      <w:r w:rsidR="00917BCA">
        <w:t>-</w:t>
      </w:r>
      <w:r w:rsidRPr="00917BCA">
        <w:t xml:space="preserve"> упрощенная шкала острых функциональных изменений</w:t>
      </w:r>
      <w:r w:rsidR="00917BCA" w:rsidRPr="00917BCA">
        <w:t>).</w:t>
      </w:r>
    </w:p>
    <w:p w:rsidR="00917BCA" w:rsidRDefault="002228EA" w:rsidP="00917BCA">
      <w:r w:rsidRPr="00917BCA">
        <w:t>Для определения тяжести больного по системе АРАСНЕ-III сначала с помощью ряда промежуточных таблиц</w:t>
      </w:r>
      <w:r w:rsidR="00917BCA">
        <w:t xml:space="preserve"> (</w:t>
      </w:r>
      <w:r w:rsidRPr="00917BCA">
        <w:t>см</w:t>
      </w:r>
      <w:r w:rsidR="00917BCA" w:rsidRPr="00917BCA">
        <w:t xml:space="preserve">. </w:t>
      </w:r>
      <w:r w:rsidRPr="00917BCA">
        <w:t>приложение</w:t>
      </w:r>
      <w:r w:rsidR="00917BCA" w:rsidRPr="00917BCA">
        <w:t xml:space="preserve">) </w:t>
      </w:r>
      <w:r w:rsidRPr="00917BCA">
        <w:t>производят расчет баллов, отражающих те или иные функциональные параметры</w:t>
      </w:r>
      <w:r w:rsidR="00917BCA" w:rsidRPr="00917BCA">
        <w:t xml:space="preserve">. </w:t>
      </w:r>
      <w:r w:rsidRPr="00917BCA">
        <w:t>Затем по итоговой таблице определяют вероятность летального исхода и вероятную продолжительность пребывания больного в отделении интенсивной терапии</w:t>
      </w:r>
      <w:r w:rsidR="00917BCA" w:rsidRPr="00917BCA">
        <w:t xml:space="preserve">. </w:t>
      </w:r>
      <w:r w:rsidRPr="00917BCA">
        <w:t>Данная методика применима как для оперированных, так и неоперированных больных</w:t>
      </w:r>
      <w:r w:rsidR="00917BCA" w:rsidRPr="00917BCA">
        <w:t>.</w:t>
      </w:r>
    </w:p>
    <w:p w:rsidR="00917BCA" w:rsidRDefault="002228EA" w:rsidP="00917BCA">
      <w:r w:rsidRPr="00917BCA">
        <w:t>Для определения состояния больного и степени риска операции наибольшее распространение нашла как наиболее простая и доступная для практики балльная оценка, принятая</w:t>
      </w:r>
      <w:r w:rsidR="00917BCA" w:rsidRPr="00917BCA">
        <w:t xml:space="preserve"> </w:t>
      </w:r>
      <w:r w:rsidRPr="00917BCA">
        <w:t>Американским общест</w:t>
      </w:r>
      <w:r w:rsidR="00A13B96" w:rsidRPr="00917BCA">
        <w:t>вом анестезиологов</w:t>
      </w:r>
      <w:r w:rsidR="00917BCA" w:rsidRPr="00917BCA">
        <w:t>.</w:t>
      </w:r>
    </w:p>
    <w:p w:rsidR="00917BCA" w:rsidRDefault="00AD7C1A" w:rsidP="00AD7C1A">
      <w:pPr>
        <w:pStyle w:val="2"/>
      </w:pPr>
      <w:r>
        <w:br w:type="page"/>
      </w:r>
      <w:bookmarkStart w:id="2" w:name="_Toc242315682"/>
      <w:r w:rsidR="00917BCA">
        <w:t>Литература</w:t>
      </w:r>
      <w:bookmarkEnd w:id="2"/>
    </w:p>
    <w:p w:rsidR="00AD7C1A" w:rsidRDefault="00AD7C1A" w:rsidP="00917BCA"/>
    <w:p w:rsidR="00D461C6" w:rsidRPr="00917BCA" w:rsidRDefault="00917BCA" w:rsidP="00AD7C1A">
      <w:pPr>
        <w:pStyle w:val="a1"/>
        <w:tabs>
          <w:tab w:val="left" w:pos="420"/>
        </w:tabs>
      </w:pPr>
      <w:r>
        <w:t>"</w:t>
      </w:r>
      <w:r w:rsidR="00D461C6" w:rsidRPr="00917BCA">
        <w:t>Неотложная медицинская помощь</w:t>
      </w:r>
      <w:r>
        <w:t xml:space="preserve">", </w:t>
      </w:r>
      <w:r w:rsidR="00D461C6" w:rsidRPr="00917BCA">
        <w:t>под ред</w:t>
      </w:r>
      <w:r w:rsidRPr="00917BCA">
        <w:t xml:space="preserve">. </w:t>
      </w:r>
      <w:r w:rsidR="00D461C6" w:rsidRPr="00917BCA">
        <w:t>Дж</w:t>
      </w:r>
      <w:r>
        <w:t xml:space="preserve">.Э. </w:t>
      </w:r>
      <w:r w:rsidR="00D461C6" w:rsidRPr="00917BCA">
        <w:t>Тинтиналли, Рл</w:t>
      </w:r>
      <w:r w:rsidRPr="00917BCA">
        <w:t xml:space="preserve">. </w:t>
      </w:r>
      <w:r w:rsidR="00D461C6" w:rsidRPr="00917BCA">
        <w:t>Кроума, Э</w:t>
      </w:r>
      <w:r w:rsidRPr="00917BCA">
        <w:t xml:space="preserve">. </w:t>
      </w:r>
      <w:r w:rsidR="00D461C6" w:rsidRPr="00917BCA">
        <w:t>Руиза, Перевод с английского д-ра мед</w:t>
      </w:r>
      <w:r w:rsidRPr="00917BCA">
        <w:t xml:space="preserve">. </w:t>
      </w:r>
      <w:r w:rsidR="00D461C6" w:rsidRPr="00917BCA">
        <w:t>наук В</w:t>
      </w:r>
      <w:r>
        <w:t xml:space="preserve">.И. </w:t>
      </w:r>
      <w:r w:rsidR="00D461C6" w:rsidRPr="00917BCA">
        <w:t>Кандрора, д</w:t>
      </w:r>
      <w:r w:rsidRPr="00917BCA">
        <w:t xml:space="preserve">. </w:t>
      </w:r>
      <w:r w:rsidR="00D461C6" w:rsidRPr="00917BCA">
        <w:t>м</w:t>
      </w:r>
      <w:r w:rsidRPr="00917BCA">
        <w:t xml:space="preserve">. </w:t>
      </w:r>
      <w:r w:rsidR="00D461C6" w:rsidRPr="00917BCA">
        <w:t>н</w:t>
      </w:r>
      <w:r w:rsidRPr="00917BCA">
        <w:t xml:space="preserve">. </w:t>
      </w:r>
      <w:r w:rsidR="00D461C6" w:rsidRPr="00917BCA">
        <w:t>М</w:t>
      </w:r>
      <w:r>
        <w:t xml:space="preserve">.В. </w:t>
      </w:r>
      <w:r w:rsidR="00D461C6" w:rsidRPr="00917BCA">
        <w:t>Неверовой, д-ра мед</w:t>
      </w:r>
      <w:r w:rsidRPr="00917BCA">
        <w:t xml:space="preserve">. </w:t>
      </w:r>
      <w:r w:rsidR="00D461C6" w:rsidRPr="00917BCA">
        <w:t>наук А</w:t>
      </w:r>
      <w:r>
        <w:t xml:space="preserve">.В. </w:t>
      </w:r>
      <w:r w:rsidR="00D461C6" w:rsidRPr="00917BCA">
        <w:t>Сучкова, к</w:t>
      </w:r>
      <w:r w:rsidRPr="00917BCA">
        <w:t xml:space="preserve">. </w:t>
      </w:r>
      <w:r w:rsidR="00D461C6" w:rsidRPr="00917BCA">
        <w:t>м</w:t>
      </w:r>
      <w:r w:rsidRPr="00917BCA">
        <w:t xml:space="preserve">. </w:t>
      </w:r>
      <w:r w:rsidR="00D461C6" w:rsidRPr="00917BCA">
        <w:t>н</w:t>
      </w:r>
      <w:r w:rsidRPr="00917BCA">
        <w:t xml:space="preserve">. </w:t>
      </w:r>
      <w:r w:rsidR="00D461C6" w:rsidRPr="00917BCA">
        <w:t>А</w:t>
      </w:r>
      <w:r>
        <w:t xml:space="preserve">.В. </w:t>
      </w:r>
      <w:r w:rsidR="00D461C6" w:rsidRPr="00917BCA">
        <w:t>Низового, Ю</w:t>
      </w:r>
      <w:r>
        <w:t xml:space="preserve">.Л. </w:t>
      </w:r>
      <w:r w:rsidR="00D461C6" w:rsidRPr="00917BCA">
        <w:t>Амченкова</w:t>
      </w:r>
      <w:r w:rsidRPr="00917BCA">
        <w:t xml:space="preserve">; </w:t>
      </w:r>
      <w:r w:rsidR="00D461C6" w:rsidRPr="00917BCA">
        <w:t>под ред</w:t>
      </w:r>
      <w:r>
        <w:t xml:space="preserve">.Д. </w:t>
      </w:r>
      <w:r w:rsidR="00D461C6" w:rsidRPr="00917BCA">
        <w:t>м</w:t>
      </w:r>
      <w:r w:rsidRPr="00917BCA">
        <w:t xml:space="preserve">. </w:t>
      </w:r>
      <w:r w:rsidR="00D461C6" w:rsidRPr="00917BCA">
        <w:t>н</w:t>
      </w:r>
      <w:r>
        <w:t xml:space="preserve">.В.Т. </w:t>
      </w:r>
      <w:r w:rsidR="00D461C6" w:rsidRPr="00917BCA">
        <w:t xml:space="preserve">Ивашкина, </w:t>
      </w:r>
      <w:r w:rsidR="00AD7C1A" w:rsidRPr="00917BCA">
        <w:t>д</w:t>
      </w:r>
      <w:r w:rsidR="00AD7C1A">
        <w:t>.м.</w:t>
      </w:r>
      <w:r w:rsidR="00AD7C1A" w:rsidRPr="00917BCA">
        <w:t>н</w:t>
      </w:r>
      <w:r>
        <w:t>.</w:t>
      </w:r>
      <w:r w:rsidR="00AD7C1A">
        <w:t xml:space="preserve"> </w:t>
      </w:r>
      <w:r>
        <w:t xml:space="preserve">П.Г. </w:t>
      </w:r>
      <w:r w:rsidR="00D461C6" w:rsidRPr="00917BCA">
        <w:t>Брюсова</w:t>
      </w:r>
      <w:r w:rsidRPr="00917BCA">
        <w:t xml:space="preserve">; </w:t>
      </w:r>
      <w:r w:rsidR="00D461C6" w:rsidRPr="00917BCA">
        <w:t>Москва</w:t>
      </w:r>
      <w:r>
        <w:t xml:space="preserve"> "</w:t>
      </w:r>
      <w:r w:rsidR="00D461C6" w:rsidRPr="00917BCA">
        <w:t>Медицина</w:t>
      </w:r>
      <w:r>
        <w:t xml:space="preserve">" </w:t>
      </w:r>
      <w:r w:rsidR="00D461C6" w:rsidRPr="00917BCA">
        <w:t>2001</w:t>
      </w:r>
      <w:r w:rsidR="00AD7C1A">
        <w:t>.</w:t>
      </w:r>
    </w:p>
    <w:p w:rsidR="00917BCA" w:rsidRDefault="00D461C6" w:rsidP="00AD7C1A">
      <w:pPr>
        <w:pStyle w:val="a1"/>
        <w:tabs>
          <w:tab w:val="left" w:pos="420"/>
        </w:tabs>
      </w:pPr>
      <w:r w:rsidRPr="00917BCA">
        <w:t>Интенсивная терапия</w:t>
      </w:r>
      <w:r w:rsidR="00917BCA" w:rsidRPr="00917BCA">
        <w:t xml:space="preserve">. </w:t>
      </w:r>
      <w:r w:rsidRPr="00917BCA">
        <w:t>Реанимация</w:t>
      </w:r>
      <w:r w:rsidR="00917BCA" w:rsidRPr="00917BCA">
        <w:t xml:space="preserve">. </w:t>
      </w:r>
      <w:r w:rsidRPr="00917BCA">
        <w:t>Первая помощь</w:t>
      </w:r>
      <w:r w:rsidR="00917BCA" w:rsidRPr="00917BCA">
        <w:t xml:space="preserve">: </w:t>
      </w:r>
      <w:r w:rsidRPr="00917BCA">
        <w:t>Учебное пособие / Под ред</w:t>
      </w:r>
      <w:r w:rsidR="00917BCA">
        <w:t>.</w:t>
      </w:r>
      <w:r w:rsidR="00AD7C1A">
        <w:t xml:space="preserve"> </w:t>
      </w:r>
      <w:r w:rsidR="00917BCA">
        <w:t xml:space="preserve">В.Д. </w:t>
      </w:r>
      <w:r w:rsidRPr="00917BCA">
        <w:t>Малышева</w:t>
      </w:r>
      <w:r w:rsidR="00917BCA" w:rsidRPr="00917BCA">
        <w:t>. -</w:t>
      </w:r>
      <w:r w:rsidR="00917BCA">
        <w:t xml:space="preserve"> </w:t>
      </w:r>
      <w:r w:rsidRPr="00917BCA">
        <w:t>М</w:t>
      </w:r>
      <w:r w:rsidR="00917BCA">
        <w:t>.:</w:t>
      </w:r>
      <w:r w:rsidR="00917BCA" w:rsidRPr="00917BCA">
        <w:t xml:space="preserve"> </w:t>
      </w:r>
      <w:r w:rsidRPr="00917BCA">
        <w:t>Медицина</w:t>
      </w:r>
      <w:r w:rsidR="00917BCA" w:rsidRPr="00917BCA">
        <w:t>. -</w:t>
      </w:r>
      <w:r w:rsidR="00917BCA">
        <w:t xml:space="preserve"> </w:t>
      </w:r>
      <w:r w:rsidRPr="00917BCA">
        <w:t>2000</w:t>
      </w:r>
      <w:r w:rsidR="00917BCA" w:rsidRPr="00917BCA">
        <w:t>. -</w:t>
      </w:r>
      <w:r w:rsidR="00917BCA">
        <w:t xml:space="preserve"> </w:t>
      </w:r>
      <w:r w:rsidRPr="00917BCA">
        <w:t>464 с</w:t>
      </w:r>
      <w:r w:rsidR="00917BCA">
        <w:t>.:</w:t>
      </w:r>
      <w:r w:rsidR="00917BCA" w:rsidRPr="00917BCA">
        <w:t xml:space="preserve"> </w:t>
      </w:r>
      <w:r w:rsidRPr="00917BCA">
        <w:t>ил</w:t>
      </w:r>
      <w:r w:rsidR="00917BCA" w:rsidRPr="00917BCA">
        <w:t>. -</w:t>
      </w:r>
      <w:r w:rsidR="00917BCA">
        <w:t xml:space="preserve"> </w:t>
      </w:r>
      <w:r w:rsidRPr="00917BCA">
        <w:t>Учеб</w:t>
      </w:r>
      <w:r w:rsidR="00917BCA" w:rsidRPr="00917BCA">
        <w:t xml:space="preserve">. </w:t>
      </w:r>
      <w:r w:rsidRPr="00917BCA">
        <w:t>ли</w:t>
      </w:r>
      <w:r w:rsidR="00917BCA">
        <w:t>т</w:t>
      </w:r>
      <w:r w:rsidR="00AD7C1A">
        <w:t xml:space="preserve">. </w:t>
      </w:r>
      <w:r w:rsidR="00917BCA">
        <w:t>д</w:t>
      </w:r>
      <w:r w:rsidRPr="00917BCA">
        <w:t>ля слушателей системы последипломного образования</w:t>
      </w:r>
      <w:r w:rsidR="00917BCA" w:rsidRPr="00917BCA">
        <w:t>. -</w:t>
      </w:r>
      <w:r w:rsidR="00917BCA">
        <w:t xml:space="preserve"> </w:t>
      </w:r>
      <w:r w:rsidRPr="00917BCA">
        <w:rPr>
          <w:lang w:val="en-US"/>
        </w:rPr>
        <w:t>ISBN</w:t>
      </w:r>
      <w:r w:rsidRPr="00917BCA">
        <w:t xml:space="preserve"> 5-225-04560-Х</w:t>
      </w:r>
    </w:p>
    <w:p w:rsidR="002228EA" w:rsidRPr="00917BCA" w:rsidRDefault="002228EA" w:rsidP="00917BCA">
      <w:bookmarkStart w:id="3" w:name="_GoBack"/>
      <w:bookmarkEnd w:id="3"/>
    </w:p>
    <w:sectPr w:rsidR="002228EA" w:rsidRPr="00917BCA" w:rsidSect="00917BC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F2" w:rsidRDefault="003B4AF2">
      <w:r>
        <w:separator/>
      </w:r>
    </w:p>
  </w:endnote>
  <w:endnote w:type="continuationSeparator" w:id="0">
    <w:p w:rsidR="003B4AF2" w:rsidRDefault="003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Default="00E77B60" w:rsidP="00917BCA">
    <w:pPr>
      <w:pStyle w:val="af2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F2" w:rsidRDefault="003B4AF2">
      <w:r>
        <w:separator/>
      </w:r>
    </w:p>
  </w:footnote>
  <w:footnote w:type="continuationSeparator" w:id="0">
    <w:p w:rsidR="003B4AF2" w:rsidRDefault="003B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60" w:rsidRDefault="0082216E" w:rsidP="00917BCA">
    <w:pPr>
      <w:pStyle w:val="af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E77B60" w:rsidRDefault="00E77B60" w:rsidP="00917BCA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AB"/>
    <w:multiLevelType w:val="hybridMultilevel"/>
    <w:tmpl w:val="41106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350CB"/>
    <w:multiLevelType w:val="hybridMultilevel"/>
    <w:tmpl w:val="7FA0A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6015F"/>
    <w:multiLevelType w:val="hybridMultilevel"/>
    <w:tmpl w:val="B0D0A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816CE2"/>
    <w:multiLevelType w:val="hybridMultilevel"/>
    <w:tmpl w:val="DEF2A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8EA"/>
    <w:rsid w:val="0002471B"/>
    <w:rsid w:val="0006688A"/>
    <w:rsid w:val="000F1B0F"/>
    <w:rsid w:val="002228EA"/>
    <w:rsid w:val="00363ACB"/>
    <w:rsid w:val="003B4AF2"/>
    <w:rsid w:val="00434290"/>
    <w:rsid w:val="00567720"/>
    <w:rsid w:val="006602BC"/>
    <w:rsid w:val="006D1A99"/>
    <w:rsid w:val="00737EFA"/>
    <w:rsid w:val="0082216E"/>
    <w:rsid w:val="008251F8"/>
    <w:rsid w:val="00917BCA"/>
    <w:rsid w:val="00A13B96"/>
    <w:rsid w:val="00A45F40"/>
    <w:rsid w:val="00AC10D0"/>
    <w:rsid w:val="00AC1937"/>
    <w:rsid w:val="00AD7C1A"/>
    <w:rsid w:val="00C85FFF"/>
    <w:rsid w:val="00D03936"/>
    <w:rsid w:val="00D461C6"/>
    <w:rsid w:val="00E45F5F"/>
    <w:rsid w:val="00E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4E3641-F81D-40A0-83B1-404B5B3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17B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7B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7B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17B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7B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7B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7B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7B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7B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2228EA"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917BCA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2228EA"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917BCA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customStyle="1" w:styleId="ac">
    <w:name w:val="Стиль"/>
    <w:uiPriority w:val="99"/>
    <w:rsid w:val="002228EA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</w:rPr>
  </w:style>
  <w:style w:type="paragraph" w:styleId="23">
    <w:name w:val="Body Text Indent 2"/>
    <w:basedOn w:val="a2"/>
    <w:link w:val="24"/>
    <w:uiPriority w:val="99"/>
    <w:rsid w:val="00917BC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17B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5">
    <w:name w:val="Îñíîâíîé òåêñò ñ îòñòóïîì 2"/>
    <w:basedOn w:val="ac"/>
    <w:uiPriority w:val="99"/>
    <w:rsid w:val="002228EA"/>
    <w:pPr>
      <w:widowControl/>
      <w:ind w:firstLine="720"/>
    </w:pPr>
    <w:rPr>
      <w:rFonts w:ascii="Times New Roman" w:hAnsi="Times New Roman" w:cs="Times New Roman"/>
      <w:spacing w:val="0"/>
      <w:kern w:val="0"/>
      <w:position w:val="0"/>
      <w:shd w:val="clear" w:color="auto" w:fill="auto"/>
      <w:lang w:val="en-US"/>
    </w:rPr>
  </w:style>
  <w:style w:type="paragraph" w:customStyle="1" w:styleId="71">
    <w:name w:val="заголовок 7"/>
    <w:basedOn w:val="a2"/>
    <w:next w:val="a2"/>
    <w:uiPriority w:val="99"/>
    <w:rsid w:val="002228EA"/>
    <w:pPr>
      <w:keepNext/>
      <w:autoSpaceDE w:val="0"/>
      <w:autoSpaceDN w:val="0"/>
      <w:ind w:firstLine="709"/>
      <w:outlineLvl w:val="6"/>
    </w:pPr>
  </w:style>
  <w:style w:type="paragraph" w:styleId="41">
    <w:name w:val="toc 4"/>
    <w:basedOn w:val="a2"/>
    <w:next w:val="a2"/>
    <w:autoRedefine/>
    <w:uiPriority w:val="99"/>
    <w:semiHidden/>
    <w:rsid w:val="00917BCA"/>
    <w:pPr>
      <w:tabs>
        <w:tab w:val="right" w:leader="dot" w:pos="9345"/>
      </w:tabs>
      <w:ind w:firstLine="0"/>
    </w:pPr>
    <w:rPr>
      <w:noProof/>
    </w:rPr>
  </w:style>
  <w:style w:type="paragraph" w:styleId="ad">
    <w:name w:val="footnote text"/>
    <w:basedOn w:val="a2"/>
    <w:link w:val="ae"/>
    <w:autoRedefine/>
    <w:uiPriority w:val="99"/>
    <w:semiHidden/>
    <w:rsid w:val="00917BCA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917BCA"/>
    <w:rPr>
      <w:color w:val="000000"/>
      <w:lang w:val="ru-RU" w:eastAsia="ru-RU"/>
    </w:rPr>
  </w:style>
  <w:style w:type="paragraph" w:styleId="af">
    <w:name w:val="header"/>
    <w:basedOn w:val="a2"/>
    <w:next w:val="a8"/>
    <w:link w:val="af0"/>
    <w:uiPriority w:val="99"/>
    <w:rsid w:val="00917B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917BCA"/>
    <w:rPr>
      <w:vertAlign w:val="superscript"/>
    </w:rPr>
  </w:style>
  <w:style w:type="paragraph" w:styleId="af2">
    <w:name w:val="footer"/>
    <w:basedOn w:val="a2"/>
    <w:link w:val="af3"/>
    <w:uiPriority w:val="99"/>
    <w:semiHidden/>
    <w:rsid w:val="00917BCA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917BCA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917BCA"/>
  </w:style>
  <w:style w:type="paragraph" w:styleId="af5">
    <w:name w:val="Normal (Web)"/>
    <w:basedOn w:val="a2"/>
    <w:uiPriority w:val="99"/>
    <w:rsid w:val="00917BCA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917B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917B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917BCA"/>
    <w:rPr>
      <w:color w:val="0000FF"/>
      <w:u w:val="single"/>
    </w:rPr>
  </w:style>
  <w:style w:type="paragraph" w:customStyle="1" w:styleId="26">
    <w:name w:val="Заголовок 2 дипл"/>
    <w:basedOn w:val="a2"/>
    <w:next w:val="aa"/>
    <w:uiPriority w:val="99"/>
    <w:rsid w:val="00917B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917BC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917BCA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917BCA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917BC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7BCA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917BC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17BCA"/>
    <w:pPr>
      <w:tabs>
        <w:tab w:val="right" w:leader="dot" w:pos="1400"/>
      </w:tabs>
      <w:ind w:firstLine="0"/>
    </w:pPr>
  </w:style>
  <w:style w:type="paragraph" w:styleId="27">
    <w:name w:val="toc 2"/>
    <w:basedOn w:val="a2"/>
    <w:next w:val="a2"/>
    <w:autoRedefine/>
    <w:uiPriority w:val="99"/>
    <w:semiHidden/>
    <w:rsid w:val="00917BC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17BCA"/>
    <w:pPr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917BCA"/>
    <w:pPr>
      <w:ind w:left="958"/>
    </w:pPr>
  </w:style>
  <w:style w:type="table" w:styleId="afc">
    <w:name w:val="Table Grid"/>
    <w:basedOn w:val="a4"/>
    <w:uiPriority w:val="99"/>
    <w:rsid w:val="00917B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917B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7BCA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7BC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17BC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17BCA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917BC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17BCA"/>
    <w:rPr>
      <w:i/>
      <w:iCs/>
    </w:rPr>
  </w:style>
  <w:style w:type="paragraph" w:customStyle="1" w:styleId="afe">
    <w:name w:val="ТАБЛИЦА"/>
    <w:next w:val="a2"/>
    <w:autoRedefine/>
    <w:uiPriority w:val="99"/>
    <w:rsid w:val="00917BCA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917BCA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917BCA"/>
  </w:style>
  <w:style w:type="table" w:customStyle="1" w:styleId="14">
    <w:name w:val="Стиль таблицы1"/>
    <w:basedOn w:val="a4"/>
    <w:uiPriority w:val="99"/>
    <w:rsid w:val="00917B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917BC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917BCA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917B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hosp5</Company>
  <LinksUpToDate>false</LinksUpToDate>
  <CharactersWithSpaces>25534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111</dc:creator>
  <cp:keywords/>
  <dc:description/>
  <cp:lastModifiedBy>admin</cp:lastModifiedBy>
  <cp:revision>2</cp:revision>
  <dcterms:created xsi:type="dcterms:W3CDTF">2014-02-25T09:31:00Z</dcterms:created>
  <dcterms:modified xsi:type="dcterms:W3CDTF">2014-02-25T09:31:00Z</dcterms:modified>
</cp:coreProperties>
</file>