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42" w:rsidRDefault="00CD7642">
      <w:pPr>
        <w:pStyle w:val="21"/>
        <w:rPr>
          <w:rFonts w:ascii="Bookman Old Style" w:hAnsi="Bookman Old Style"/>
          <w:b w:val="0"/>
          <w:bCs/>
          <w:sz w:val="18"/>
        </w:rPr>
      </w:pPr>
      <w:r>
        <w:rPr>
          <w:rFonts w:ascii="Bookman Old Style" w:hAnsi="Bookman Old Style"/>
          <w:b w:val="0"/>
          <w:bCs/>
          <w:sz w:val="18"/>
        </w:rPr>
        <w:t>Санкт-Петербургский Государственный Политехнический Университет</w:t>
      </w:r>
    </w:p>
    <w:p w:rsidR="00CD7642" w:rsidRDefault="00CD7642">
      <w:pPr>
        <w:jc w:val="center"/>
        <w:rPr>
          <w:rFonts w:ascii="Bookman Old Style" w:hAnsi="Bookman Old Style"/>
          <w:bCs/>
          <w:sz w:val="18"/>
          <w:lang w:val="ru-RU"/>
        </w:rPr>
      </w:pPr>
    </w:p>
    <w:p w:rsidR="00CD7642" w:rsidRDefault="00CD7642">
      <w:pPr>
        <w:jc w:val="center"/>
        <w:rPr>
          <w:rFonts w:ascii="Bookman Old Style" w:hAnsi="Bookman Old Style"/>
          <w:bCs/>
          <w:sz w:val="18"/>
          <w:lang w:val="ru-RU"/>
        </w:rPr>
      </w:pPr>
      <w:r>
        <w:rPr>
          <w:rFonts w:ascii="Bookman Old Style" w:hAnsi="Bookman Old Style"/>
          <w:bCs/>
          <w:sz w:val="18"/>
          <w:lang w:val="ru-RU"/>
        </w:rPr>
        <w:t>Факультет Управления и Информационных Технологий</w:t>
      </w:r>
    </w:p>
    <w:p w:rsidR="00CD7642" w:rsidRDefault="00CD7642">
      <w:pPr>
        <w:jc w:val="center"/>
        <w:rPr>
          <w:rFonts w:ascii="Bookman Old Style" w:hAnsi="Bookman Old Style"/>
          <w:b/>
          <w:sz w:val="18"/>
          <w:lang w:val="ru-RU"/>
        </w:rPr>
      </w:pPr>
    </w:p>
    <w:p w:rsidR="00CD7642" w:rsidRDefault="00CD7642">
      <w:pPr>
        <w:pStyle w:val="4"/>
        <w:rPr>
          <w:sz w:val="18"/>
        </w:rPr>
      </w:pPr>
    </w:p>
    <w:p w:rsidR="00CD7642" w:rsidRDefault="00CD7642">
      <w:pPr>
        <w:rPr>
          <w:rFonts w:ascii="Bookman Old Style" w:hAnsi="Bookman Old Style"/>
          <w:lang w:val="ru-RU"/>
        </w:rPr>
      </w:pPr>
    </w:p>
    <w:p w:rsidR="00CD7642" w:rsidRDefault="00CD7642">
      <w:pPr>
        <w:pStyle w:val="a5"/>
        <w:spacing w:before="0" w:beforeAutospacing="0" w:after="0" w:afterAutospacing="0"/>
        <w:rPr>
          <w:rFonts w:ascii="Bookman Old Style" w:eastAsia="Times New Roman" w:hAnsi="Bookman Old Style" w:cs="Times New Roman"/>
          <w:lang w:val="ru-RU"/>
        </w:rPr>
      </w:pPr>
    </w:p>
    <w:p w:rsidR="00CD7642" w:rsidRDefault="00CD7642">
      <w:pPr>
        <w:rPr>
          <w:rFonts w:ascii="Bookman Old Style" w:hAnsi="Bookman Old Style"/>
          <w:lang w:val="ru-RU"/>
        </w:rPr>
      </w:pP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sz w:val="28"/>
          <w:lang w:val="ru-RU"/>
        </w:rPr>
      </w:pPr>
      <w:r>
        <w:rPr>
          <w:rFonts w:ascii="Bookman Old Style" w:hAnsi="Bookman Old Style"/>
          <w:sz w:val="28"/>
          <w:lang w:val="ru-RU"/>
        </w:rPr>
        <w:t>Реферат на тему:</w:t>
      </w:r>
    </w:p>
    <w:p w:rsidR="00CD7642" w:rsidRDefault="00CD7642">
      <w:pPr>
        <w:jc w:val="center"/>
        <w:rPr>
          <w:rFonts w:ascii="Bookman Old Style" w:hAnsi="Bookman Old Style"/>
          <w:sz w:val="28"/>
          <w:lang w:val="ru-RU"/>
        </w:rPr>
      </w:pPr>
    </w:p>
    <w:p w:rsidR="00CD7642" w:rsidRDefault="00CD7642">
      <w:pPr>
        <w:jc w:val="center"/>
        <w:rPr>
          <w:rFonts w:ascii="Bookman Old Style" w:hAnsi="Bookman Old Style"/>
          <w:b/>
          <w:sz w:val="40"/>
          <w:u w:val="single"/>
          <w:lang w:val="ru-RU"/>
        </w:rPr>
      </w:pPr>
      <w:r>
        <w:rPr>
          <w:rFonts w:ascii="Bookman Old Style" w:hAnsi="Bookman Old Style"/>
          <w:b/>
          <w:bCs/>
          <w:sz w:val="32"/>
          <w:lang w:val="ru-RU"/>
        </w:rPr>
        <w:t>Системы государственного лицензирования.</w:t>
      </w: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jc w:val="center"/>
        <w:rPr>
          <w:rFonts w:ascii="Bookman Old Style" w:hAnsi="Bookman Old Style"/>
          <w:b/>
          <w:sz w:val="28"/>
          <w:u w:val="single"/>
          <w:lang w:val="ru-RU"/>
        </w:rPr>
      </w:pPr>
    </w:p>
    <w:p w:rsidR="00CD7642" w:rsidRDefault="00CD7642">
      <w:pPr>
        <w:ind w:left="4320" w:firstLine="720"/>
        <w:rPr>
          <w:rFonts w:ascii="Bookman Old Style" w:hAnsi="Bookman Old Style"/>
          <w:lang w:val="ru-RU"/>
        </w:rPr>
      </w:pPr>
    </w:p>
    <w:p w:rsidR="00CD7642" w:rsidRDefault="00CD7642">
      <w:pPr>
        <w:ind w:left="4320" w:firstLine="720"/>
        <w:rPr>
          <w:rFonts w:ascii="Bookman Old Style" w:hAnsi="Bookman Old Style"/>
          <w:lang w:val="ru-RU"/>
        </w:rPr>
      </w:pPr>
    </w:p>
    <w:p w:rsidR="00CD7642" w:rsidRDefault="00CD7642">
      <w:pPr>
        <w:ind w:left="5040"/>
        <w:rPr>
          <w:rFonts w:ascii="Bookman Old Style" w:hAnsi="Bookman Old Style"/>
          <w:sz w:val="20"/>
        </w:rPr>
      </w:pPr>
    </w:p>
    <w:p w:rsidR="00CD7642" w:rsidRDefault="00CD7642">
      <w:pPr>
        <w:ind w:left="5040"/>
        <w:rPr>
          <w:rFonts w:ascii="Bookman Old Style" w:hAnsi="Bookman Old Style"/>
          <w:sz w:val="20"/>
        </w:rPr>
      </w:pPr>
    </w:p>
    <w:p w:rsidR="00CD7642" w:rsidRDefault="00CD7642">
      <w:pPr>
        <w:ind w:left="5040"/>
        <w:rPr>
          <w:rFonts w:ascii="Bookman Old Style" w:hAnsi="Bookman Old Style"/>
          <w:sz w:val="20"/>
        </w:rPr>
      </w:pPr>
    </w:p>
    <w:p w:rsidR="00CD7642" w:rsidRDefault="00CD7642">
      <w:pPr>
        <w:ind w:left="5040"/>
        <w:rPr>
          <w:rFonts w:ascii="Bookman Old Style" w:hAnsi="Bookman Old Style"/>
          <w:sz w:val="20"/>
        </w:rPr>
      </w:pPr>
    </w:p>
    <w:p w:rsidR="00CD7642" w:rsidRDefault="00CD7642">
      <w:pPr>
        <w:ind w:left="5040"/>
        <w:rPr>
          <w:rFonts w:ascii="Bookman Old Style" w:hAnsi="Bookman Old Style"/>
          <w:sz w:val="20"/>
        </w:rPr>
      </w:pPr>
    </w:p>
    <w:p w:rsidR="00CD7642" w:rsidRDefault="00CD7642">
      <w:pPr>
        <w:ind w:left="5040"/>
        <w:rPr>
          <w:rFonts w:ascii="Bookman Old Style" w:hAnsi="Bookman Old Style"/>
          <w:b/>
          <w:sz w:val="40"/>
        </w:rPr>
      </w:pPr>
    </w:p>
    <w:p w:rsidR="00CD7642" w:rsidRDefault="00CD7642">
      <w:pPr>
        <w:ind w:left="5040"/>
        <w:rPr>
          <w:rFonts w:ascii="Bookman Old Style" w:hAnsi="Bookman Old Style"/>
          <w:b/>
          <w:sz w:val="40"/>
          <w:lang w:val="ru-RU"/>
        </w:rPr>
      </w:pPr>
    </w:p>
    <w:p w:rsidR="00CD7642" w:rsidRDefault="00CD7642">
      <w:pPr>
        <w:ind w:left="5040"/>
        <w:rPr>
          <w:rFonts w:ascii="Bookman Old Style" w:hAnsi="Bookman Old Style"/>
          <w:b/>
          <w:sz w:val="40"/>
          <w:lang w:val="ru-RU"/>
        </w:rPr>
      </w:pPr>
    </w:p>
    <w:p w:rsidR="00CD7642" w:rsidRDefault="00CD7642">
      <w:pPr>
        <w:ind w:left="5040"/>
        <w:rPr>
          <w:rFonts w:ascii="Bookman Old Style" w:hAnsi="Bookman Old Style"/>
          <w:b/>
          <w:sz w:val="40"/>
          <w:lang w:val="ru-RU"/>
        </w:rPr>
      </w:pPr>
    </w:p>
    <w:p w:rsidR="00CD7642" w:rsidRDefault="00CD7642">
      <w:pPr>
        <w:ind w:left="5040"/>
        <w:rPr>
          <w:rFonts w:ascii="Bookman Old Style" w:hAnsi="Bookman Old Style"/>
          <w:b/>
          <w:sz w:val="40"/>
          <w:lang w:val="ru-RU"/>
        </w:rPr>
      </w:pPr>
    </w:p>
    <w:p w:rsidR="00CD7642" w:rsidRDefault="00CD7642">
      <w:pPr>
        <w:pStyle w:val="5"/>
        <w:rPr>
          <w:sz w:val="20"/>
        </w:rPr>
      </w:pPr>
      <w:r>
        <w:rPr>
          <w:sz w:val="20"/>
        </w:rPr>
        <w:t>Санкт-Петербург</w:t>
      </w:r>
    </w:p>
    <w:p w:rsidR="00CD7642" w:rsidRDefault="00CD7642">
      <w:pPr>
        <w:jc w:val="center"/>
        <w:rPr>
          <w:rFonts w:ascii="Bookman Old Style" w:hAnsi="Bookman Old Style"/>
          <w:b/>
          <w:sz w:val="20"/>
          <w:lang w:val="ru-RU"/>
        </w:rPr>
      </w:pPr>
      <w:r>
        <w:rPr>
          <w:rFonts w:ascii="Bookman Old Style" w:hAnsi="Bookman Old Style"/>
          <w:b/>
          <w:sz w:val="20"/>
          <w:lang w:val="ru-RU"/>
        </w:rPr>
        <w:t>2004</w:t>
      </w:r>
    </w:p>
    <w:p w:rsidR="00CD7642" w:rsidRDefault="00CD7642">
      <w:pPr>
        <w:pStyle w:val="20"/>
        <w:ind w:right="-720"/>
        <w:jc w:val="center"/>
      </w:pPr>
    </w:p>
    <w:p w:rsidR="00CD7642" w:rsidRDefault="00CD7642">
      <w:pPr>
        <w:pStyle w:val="20"/>
        <w:ind w:right="-720"/>
        <w:jc w:val="center"/>
      </w:pPr>
    </w:p>
    <w:p w:rsidR="00CD7642" w:rsidRDefault="00CD7642">
      <w:pPr>
        <w:pStyle w:val="20"/>
        <w:ind w:right="-720"/>
        <w:jc w:val="center"/>
      </w:pPr>
    </w:p>
    <w:p w:rsidR="00CD7642" w:rsidRDefault="00CD7642">
      <w:pPr>
        <w:pStyle w:val="20"/>
        <w:ind w:left="0" w:right="-720"/>
      </w:pPr>
    </w:p>
    <w:p w:rsidR="00CD7642" w:rsidRDefault="00CD7642">
      <w:pPr>
        <w:pStyle w:val="20"/>
        <w:ind w:right="-720"/>
        <w:jc w:val="center"/>
      </w:pPr>
      <w:r>
        <w:t>ВВЕДЕНИЕ</w:t>
      </w:r>
    </w:p>
    <w:p w:rsidR="00CD7642" w:rsidRDefault="00CD7642">
      <w:pPr>
        <w:pStyle w:val="20"/>
        <w:ind w:right="-720"/>
      </w:pPr>
      <w:r>
        <w:t xml:space="preserve">Темой данного реферата является государственное лицензирование отдельных видов деятельности. </w:t>
      </w:r>
    </w:p>
    <w:p w:rsidR="00CD7642" w:rsidRDefault="00CD7642">
      <w:pPr>
        <w:pStyle w:val="20"/>
        <w:ind w:right="-720"/>
      </w:pPr>
    </w:p>
    <w:p w:rsidR="00CD7642" w:rsidRDefault="00CD7642">
      <w:pPr>
        <w:pStyle w:val="20"/>
        <w:ind w:right="-720"/>
      </w:pPr>
      <w:r>
        <w:t xml:space="preserve">ЛИЦЕНЗИРОВАНИЕ — </w:t>
      </w:r>
    </w:p>
    <w:p w:rsidR="00CD7642" w:rsidRDefault="00CD7642">
      <w:pPr>
        <w:pStyle w:val="20"/>
        <w:numPr>
          <w:ilvl w:val="0"/>
          <w:numId w:val="22"/>
        </w:numPr>
        <w:ind w:right="-720"/>
        <w:rPr>
          <w:sz w:val="20"/>
        </w:rPr>
      </w:pPr>
      <w:r>
        <w:t xml:space="preserve">выдача разрешения (лицензии) на право проведения тех или иных операций (например, импорта или экспорта каких-либо товаров, осуществления определенных видов деятельности, определенных видов страхования и др.); </w:t>
      </w:r>
    </w:p>
    <w:p w:rsidR="00CD7642" w:rsidRDefault="00CD7642">
      <w:pPr>
        <w:pStyle w:val="20"/>
        <w:numPr>
          <w:ilvl w:val="0"/>
          <w:numId w:val="22"/>
        </w:numPr>
        <w:ind w:right="-720"/>
        <w:rPr>
          <w:sz w:val="20"/>
        </w:rPr>
      </w:pPr>
      <w:r>
        <w:t>договор на передачу одним лицом (лицензиаром) другому лицу (лицензиату) права использовать имя, продукцию, технологию или услуги лицензиара в границах строго определенного рынка. Лицензиары увеличивают свои доходы сбором лицензионных платежей, расширяя в то же время область распространения товара и рынок. Лицензиат получает нужную ему технологию или имидж, связанный с лицензируемым товаром или услугой, обеспечивая себе стабильные доходы.</w:t>
      </w:r>
    </w:p>
    <w:p w:rsidR="00CD7642" w:rsidRDefault="00CD7642">
      <w:pPr>
        <w:rPr>
          <w:rFonts w:ascii="Bookman Old Style" w:hAnsi="Bookman Old Style"/>
          <w:sz w:val="20"/>
          <w:lang w:val="ru-RU"/>
        </w:rPr>
      </w:pPr>
    </w:p>
    <w:p w:rsidR="00CD7642" w:rsidRDefault="00CD7642">
      <w:pPr>
        <w:pStyle w:val="20"/>
        <w:ind w:right="-720"/>
      </w:pPr>
    </w:p>
    <w:p w:rsidR="00CD7642" w:rsidRDefault="00CD7642">
      <w:pPr>
        <w:pStyle w:val="20"/>
        <w:ind w:right="-720"/>
      </w:pPr>
      <w:r>
        <w:t>К основным видам государственных лицензий можном отнести:</w:t>
      </w:r>
    </w:p>
    <w:p w:rsidR="00CD7642" w:rsidRDefault="00CD7642">
      <w:pPr>
        <w:pStyle w:val="20"/>
        <w:ind w:right="-720"/>
      </w:pPr>
    </w:p>
    <w:p w:rsidR="00CD7642" w:rsidRDefault="00CD7642">
      <w:pPr>
        <w:pStyle w:val="20"/>
        <w:numPr>
          <w:ilvl w:val="0"/>
          <w:numId w:val="19"/>
        </w:numPr>
        <w:ind w:right="-720"/>
      </w:pPr>
      <w:r>
        <w:t>ЛИЦЕНЗИРОВАНИЕ ТАМОЖЕННОЙ ДЕЯТЕЛЬНОСТИ;</w:t>
      </w:r>
    </w:p>
    <w:p w:rsidR="00CD7642" w:rsidRDefault="00CD7642">
      <w:pPr>
        <w:pStyle w:val="20"/>
        <w:numPr>
          <w:ilvl w:val="0"/>
          <w:numId w:val="19"/>
        </w:numPr>
        <w:ind w:right="-720"/>
      </w:pPr>
      <w:r>
        <w:t>ЛИЦЕНЗИРОВАНИЕ ПРИ ЭКСПОРТЕ И ИМПОРТЕ ТОВАРОВ;</w:t>
      </w:r>
    </w:p>
    <w:p w:rsidR="00CD7642" w:rsidRDefault="00CD7642">
      <w:pPr>
        <w:pStyle w:val="20"/>
        <w:numPr>
          <w:ilvl w:val="0"/>
          <w:numId w:val="19"/>
        </w:numPr>
        <w:ind w:right="-720"/>
        <w:rPr>
          <w:rFonts w:ascii="Arial" w:hAnsi="Arial"/>
        </w:rPr>
      </w:pPr>
      <w:r>
        <w:t>ЛИЦЕНЗИРОВАНИЕ НА РЫНКЕ ЦЕННЫХ БУМАГ.</w:t>
      </w:r>
    </w:p>
    <w:p w:rsidR="00CD7642" w:rsidRDefault="00CD7642">
      <w:pPr>
        <w:pStyle w:val="20"/>
        <w:numPr>
          <w:ilvl w:val="0"/>
          <w:numId w:val="19"/>
        </w:numPr>
        <w:ind w:right="-720"/>
        <w:rPr>
          <w:rFonts w:ascii="Arial" w:hAnsi="Arial"/>
        </w:rPr>
      </w:pPr>
      <w:r>
        <w:t>ЛИЦЕНЗИРОВАНИЕ ПРЕДПРИЯТИЯ.</w:t>
      </w:r>
    </w:p>
    <w:p w:rsidR="00CD7642" w:rsidRDefault="00CD7642">
      <w:pPr>
        <w:pStyle w:val="20"/>
        <w:ind w:left="0" w:right="-720"/>
      </w:pPr>
    </w:p>
    <w:p w:rsidR="00CD7642" w:rsidRDefault="00CD7642">
      <w:pPr>
        <w:pStyle w:val="20"/>
        <w:ind w:left="0" w:right="-720"/>
      </w:pPr>
      <w:r>
        <w:t>Вышеперечисленные лицензии выдаются по правилам, установленным государственными оргнами РФ, согласно процедуре и условиям, указанным в законах и постановлениях, изучению которых посвящен данный реферат.</w:t>
      </w:r>
    </w:p>
    <w:p w:rsidR="00CD7642" w:rsidRDefault="00CD7642">
      <w:pPr>
        <w:pStyle w:val="20"/>
        <w:ind w:left="0" w:right="-720"/>
        <w:rPr>
          <w:rFonts w:ascii="Arial" w:hAnsi="Arial"/>
        </w:rPr>
      </w:pPr>
    </w:p>
    <w:p w:rsidR="00CD7642" w:rsidRDefault="00CD7642">
      <w:pPr>
        <w:spacing w:line="360" w:lineRule="auto"/>
        <w:ind w:left="-360" w:right="-720"/>
        <w:jc w:val="center"/>
        <w:rPr>
          <w:rFonts w:ascii="Bookman Old Style" w:hAnsi="Bookman Old Style"/>
          <w:sz w:val="28"/>
          <w:lang w:val="ru-RU"/>
        </w:rPr>
      </w:pPr>
    </w:p>
    <w:p w:rsidR="00CD7642" w:rsidRDefault="00CD7642">
      <w:pPr>
        <w:spacing w:line="360" w:lineRule="auto"/>
        <w:ind w:left="-360" w:right="-720"/>
        <w:jc w:val="center"/>
        <w:rPr>
          <w:rFonts w:ascii="Bookman Old Style" w:hAnsi="Bookman Old Style"/>
          <w:sz w:val="28"/>
          <w:lang w:val="ru-RU"/>
        </w:rPr>
      </w:pPr>
    </w:p>
    <w:p w:rsidR="00CD7642" w:rsidRDefault="00CD7642">
      <w:pPr>
        <w:spacing w:line="360" w:lineRule="auto"/>
        <w:ind w:left="-360" w:right="-720"/>
        <w:jc w:val="center"/>
        <w:rPr>
          <w:rFonts w:ascii="Bookman Old Style" w:hAnsi="Bookman Old Style"/>
          <w:sz w:val="28"/>
          <w:lang w:val="ru-RU"/>
        </w:rPr>
      </w:pPr>
    </w:p>
    <w:p w:rsidR="00CD7642" w:rsidRDefault="00CD7642">
      <w:pPr>
        <w:spacing w:line="360" w:lineRule="auto"/>
        <w:ind w:left="-360" w:right="-720"/>
        <w:jc w:val="center"/>
        <w:rPr>
          <w:rFonts w:ascii="Bookman Old Style" w:hAnsi="Bookman Old Style"/>
          <w:sz w:val="28"/>
          <w:lang w:val="ru-RU"/>
        </w:rPr>
      </w:pPr>
    </w:p>
    <w:p w:rsidR="00CD7642" w:rsidRDefault="00CD7642">
      <w:pPr>
        <w:spacing w:line="360" w:lineRule="auto"/>
        <w:ind w:left="-360" w:right="-720"/>
        <w:jc w:val="center"/>
        <w:rPr>
          <w:rFonts w:ascii="Bookman Old Style" w:hAnsi="Bookman Old Style"/>
          <w:sz w:val="28"/>
          <w:lang w:val="ru-RU"/>
        </w:rPr>
      </w:pPr>
    </w:p>
    <w:p w:rsidR="00CD7642" w:rsidRDefault="00CD7642">
      <w:pPr>
        <w:numPr>
          <w:ilvl w:val="0"/>
          <w:numId w:val="2"/>
        </w:numPr>
        <w:tabs>
          <w:tab w:val="clear" w:pos="792"/>
          <w:tab w:val="num" w:pos="0"/>
          <w:tab w:val="left" w:pos="180"/>
        </w:tabs>
        <w:spacing w:line="360" w:lineRule="auto"/>
        <w:ind w:left="-360" w:right="-720"/>
        <w:jc w:val="center"/>
        <w:rPr>
          <w:rFonts w:ascii="Bookman Old Style" w:hAnsi="Bookman Old Style"/>
          <w:lang w:val="ru-RU"/>
        </w:rPr>
      </w:pPr>
      <w:r>
        <w:rPr>
          <w:rFonts w:ascii="Bookman Old Style" w:hAnsi="Bookman Old Style"/>
          <w:lang w:val="ru-RU"/>
        </w:rPr>
        <w:t>ЛИЦЕНЗИРОВАНИЕ ТАМОЖЕННОЙ ДЕЯТЕЛЬНОСТИ</w:t>
      </w:r>
    </w:p>
    <w:p w:rsidR="00CD7642" w:rsidRDefault="00CD7642">
      <w:pPr>
        <w:pStyle w:val="20"/>
        <w:ind w:right="-720"/>
      </w:pPr>
      <w:r>
        <w:t xml:space="preserve">К видам деятельности, лицензируемых таможенными органами, согласно Таможенному кодексу Российской Федерации, относятся: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таможенный склад;</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свободный склад;</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склад временного хранения;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магазин беспошлинной торговли;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переработка товаров на таможенной территории;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переработка товаров вне таможенной территории;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 xml:space="preserve">деятельность в качестве таможенного брокера;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w:t>
      </w:r>
      <w:r>
        <w:rPr>
          <w:rFonts w:ascii="Bookman Old Style" w:hAnsi="Bookman Old Style"/>
          <w:lang w:val="ru-RU"/>
        </w:rPr>
        <w:tab/>
        <w:t>деятельность в качестве таможенного перевозчика.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Ставки сборов за выдачу лицензий на осуществление Перечисленные виды деятельности установлены постановлением Верховного Совета России от 18 июня 1993 г. № 5223-1 "О введении в действие Таможенного кодекса Российской Федерации".</w:t>
      </w:r>
    </w:p>
    <w:p w:rsidR="00CD7642" w:rsidRDefault="00CD7642">
      <w:pPr>
        <w:spacing w:line="360" w:lineRule="auto"/>
        <w:ind w:left="-360" w:right="-720"/>
        <w:rPr>
          <w:rFonts w:ascii="Bookman Old Style" w:hAnsi="Bookman Old Style"/>
          <w:lang w:val="ru-RU"/>
        </w:rPr>
      </w:pPr>
    </w:p>
    <w:p w:rsidR="00CD7642" w:rsidRDefault="00CD7642">
      <w:pPr>
        <w:pStyle w:val="1"/>
        <w:ind w:left="-360" w:right="-720"/>
        <w:rPr>
          <w:b/>
          <w:bCs/>
          <w:spacing w:val="20"/>
          <w:u w:val="none"/>
        </w:rPr>
      </w:pPr>
      <w:r>
        <w:rPr>
          <w:b/>
          <w:bCs/>
          <w:spacing w:val="20"/>
          <w:u w:val="none"/>
        </w:rPr>
        <w:t>Таможенный склад</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Таможенный склад - это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Таможенным кодексом. Таможенный склад может учреждаться </w:t>
      </w:r>
      <w:r>
        <w:rPr>
          <w:rFonts w:ascii="Bookman Old Style" w:hAnsi="Bookman Old Style"/>
          <w:u w:val="single"/>
          <w:lang w:val="ru-RU"/>
        </w:rPr>
        <w:t>при наличии лицензии ГТК России</w:t>
      </w:r>
      <w:r>
        <w:rPr>
          <w:rFonts w:ascii="Bookman Old Style" w:hAnsi="Bookman Old Style"/>
          <w:lang w:val="ru-RU"/>
        </w:rPr>
        <w:t xml:space="preserve">. Лицензия не требуется, если учредителем таможенного склада является таможенный орган Российской Федерации. Основные положения о лицензировании деятельности таможенного склада содержатся в главе 7 (ст.ст. 41 - 51) Таможенного кодекса России. </w:t>
      </w:r>
      <w:r>
        <w:rPr>
          <w:rFonts w:ascii="Bookman Old Style" w:hAnsi="Bookman Old Style"/>
          <w:u w:val="single"/>
          <w:lang w:val="ru-RU"/>
        </w:rPr>
        <w:t>Порядок выдачи лицензии</w:t>
      </w:r>
      <w:r>
        <w:rPr>
          <w:rFonts w:ascii="Bookman Old Style" w:hAnsi="Bookman Old Style"/>
          <w:lang w:val="ru-RU"/>
        </w:rPr>
        <w:t xml:space="preserve"> установлен приказом ГТК России от 10 августа 1993 г. № 314 "Об утверждении Положения о таможенных складах" (зарегистрирован Минюстом РФ 18 августа 1993 г. № 330). В настоящий приказ были внесены изменения приказами ГТК России от 5 июля 1994 г.№ 343, от 25 апреля 1994 г. № 162, от 22 февраля 1994 г. № 72.</w:t>
      </w:r>
    </w:p>
    <w:p w:rsidR="00CD7642" w:rsidRDefault="00CD7642">
      <w:pPr>
        <w:pStyle w:val="1"/>
        <w:ind w:left="-360" w:right="-720"/>
        <w:rPr>
          <w:b/>
          <w:bCs/>
          <w:spacing w:val="20"/>
          <w:u w:val="none"/>
        </w:rPr>
      </w:pPr>
    </w:p>
    <w:p w:rsidR="00CD7642" w:rsidRDefault="00CD7642">
      <w:pPr>
        <w:pStyle w:val="1"/>
        <w:ind w:left="-360" w:right="-720"/>
        <w:rPr>
          <w:b/>
          <w:bCs/>
        </w:rPr>
      </w:pPr>
      <w:r>
        <w:rPr>
          <w:b/>
          <w:bCs/>
          <w:spacing w:val="20"/>
          <w:u w:val="none"/>
        </w:rPr>
        <w:t>Свободный склад</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Свободный склад - таможенный режим, при котором иностранные товары размещаются и используются в соответствующих помещениях (местах) без взимания таможенных пошлин, налогов, а также без применения к указанным товарам мер экономической политики, а российские товары размещаются и используются на условиях, применяемых к вывозу в соответствии с таможенным режимом экспорта. Основные положения о лицензировании свободных складов содержатся в главе 12 (ст.ст. 75 - 86) Таможенного кодекса России. Специальный документ, регулирующий порядок выдачи лицензий на осуществление этого вида деятельности, к настоящему моменту не принят.</w:t>
      </w:r>
    </w:p>
    <w:p w:rsidR="00CD7642" w:rsidRDefault="00CD7642">
      <w:pPr>
        <w:spacing w:line="360" w:lineRule="auto"/>
        <w:ind w:left="-360" w:right="-720"/>
        <w:rPr>
          <w:rFonts w:ascii="Bookman Old Style" w:hAnsi="Bookman Old Style"/>
          <w:lang w:val="ru-RU"/>
        </w:rPr>
      </w:pPr>
    </w:p>
    <w:p w:rsidR="00CD7642" w:rsidRDefault="00CD7642">
      <w:pPr>
        <w:pStyle w:val="1"/>
        <w:ind w:left="-360" w:right="-720"/>
      </w:pPr>
      <w:r>
        <w:rPr>
          <w:b/>
          <w:bCs/>
          <w:spacing w:val="20"/>
          <w:u w:val="none"/>
        </w:rPr>
        <w:t>Склады временного хранения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Склады временного хранения - это места хранения товаров и транспортных средств с момента предоставления таможенному органу Российской Федерации и до их выпуска либо предоставления лицу в распоряжение в соответствии с избранным таможенным режимом. Склад временного хранения может учреждаться при наличии лицензии таможни Российской Федерации. Лицензия не требуется, если учредителем склада временного хранения является таможенный орган Российской Федерации. Основные положения о лицензировании складов временного хранения содержатся в статье 147 Таможенного кодекса России. Порядок выдачи лицензии на учреждение складов временного хранения установлен приказом ГТК России от 7 октября 1993 г. № 388 "Об утверждении Положения о временном хранении (складах временного хранения)"(зарегистрирован Минюстом РФ 18 октября 1995 г. № 368).</w:t>
      </w:r>
    </w:p>
    <w:p w:rsidR="00CD7642" w:rsidRDefault="00CD7642">
      <w:pPr>
        <w:spacing w:line="360" w:lineRule="auto"/>
        <w:ind w:left="-360" w:right="-720"/>
        <w:rPr>
          <w:rFonts w:ascii="Bookman Old Style" w:hAnsi="Bookman Old Style"/>
          <w:lang w:val="ru-RU"/>
        </w:rPr>
      </w:pPr>
    </w:p>
    <w:p w:rsidR="00CD7642" w:rsidRDefault="00CD7642">
      <w:pPr>
        <w:pStyle w:val="1"/>
        <w:ind w:left="-360" w:right="-720"/>
      </w:pPr>
      <w:r>
        <w:rPr>
          <w:b/>
          <w:bCs/>
          <w:spacing w:val="20"/>
          <w:u w:val="none"/>
        </w:rPr>
        <w:t>Магазин беспошлинной торговли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Магазин беспошлинной торговли - таможенный режим, при котором товары реализуются под таможенным контролем на таможенной территории РФ (в аэропортах, портах, открытых для международного сообщения, и иных местах, определяемых таможенными органами РФ), без взимания таможенных пошлин, налогов и без применения к товарам мер экономической политики. Магазин беспошлинной торговли может учреждаться российским лицом при наличии лицензии ГТК России. Основные положения о лицензировании магазинов беспошлинной торговли содержатся в главе 8 (ст.ст. 52 - 57) Таможенного кодекса России. Порядок выдачи лицензии установлен приказом ГТК России от 9 июня 1994 г. № 256 "Об утверждении Положения о магазинах беспошлинной торговли" (зарегистрирован Минюстом РФ 8 июля 1994 г. № 625). В настоящий приказ были внесены изменения приказом ГТК России от 5 июля 1994 г. № 343.</w:t>
      </w:r>
    </w:p>
    <w:p w:rsidR="00CD7642" w:rsidRDefault="00CD7642">
      <w:pPr>
        <w:spacing w:line="360" w:lineRule="auto"/>
        <w:ind w:left="-360" w:right="-720"/>
        <w:rPr>
          <w:rFonts w:ascii="Bookman Old Style" w:hAnsi="Bookman Old Style"/>
          <w:lang w:val="ru-RU"/>
        </w:rPr>
      </w:pPr>
    </w:p>
    <w:p w:rsidR="00CD7642" w:rsidRDefault="00CD7642">
      <w:pPr>
        <w:pStyle w:val="1"/>
        <w:ind w:left="-360" w:right="-720"/>
      </w:pPr>
      <w:r>
        <w:rPr>
          <w:b/>
          <w:bCs/>
          <w:spacing w:val="20"/>
          <w:u w:val="none"/>
        </w:rPr>
        <w:t>Таможенный брокер</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Таможенным брокером (посредником) может быть созданное в соответствии с законодательством РФ предприятие, обладающее правами юридического лица и получившее лицензию Государственного таможенного комитета Российской Федерации на осуществление деятельности в качестве таможенного брокера. Основные положения о лицензировании на осуществление деятельности в качестве таможенного брокера содержатся в статье 158 Таможенного кодекса России. Специальный документ, регулирующий порядок выдачи лицензий на осуществление этого вида деятельности, к настоящему моменту не принят. До принятия положения о таможенных брокерах действует письмо ГТК России от 3 ноября 1994 г. № 01-13/12463 "О декларантах на основе договора и специалистах по таможенному оформлению", а также акты региональных таможенных управлений (в Московском регионе - распоряжение МТУ от 29 июня 1995 г. № 51 "Об утверждении новой редакции Временной технологической схемы выдачи временного свидетельства декларанта товаров").</w:t>
      </w:r>
    </w:p>
    <w:p w:rsidR="00CD7642" w:rsidRDefault="00CD7642">
      <w:pPr>
        <w:spacing w:line="360" w:lineRule="auto"/>
        <w:ind w:left="-360" w:right="-720"/>
        <w:rPr>
          <w:rFonts w:ascii="Bookman Old Style" w:hAnsi="Bookman Old Style"/>
          <w:sz w:val="28"/>
          <w:lang w:val="ru-RU"/>
        </w:rPr>
      </w:pPr>
    </w:p>
    <w:p w:rsidR="00CD7642" w:rsidRDefault="00CD7642">
      <w:pPr>
        <w:numPr>
          <w:ilvl w:val="0"/>
          <w:numId w:val="2"/>
        </w:numPr>
        <w:tabs>
          <w:tab w:val="clear" w:pos="792"/>
          <w:tab w:val="num" w:pos="0"/>
          <w:tab w:val="left" w:pos="180"/>
        </w:tabs>
        <w:spacing w:line="360" w:lineRule="auto"/>
        <w:ind w:left="-360" w:right="-720"/>
        <w:jc w:val="center"/>
        <w:rPr>
          <w:rFonts w:ascii="Bookman Old Style" w:hAnsi="Bookman Old Style"/>
          <w:lang w:val="ru-RU"/>
        </w:rPr>
      </w:pPr>
      <w:r>
        <w:rPr>
          <w:rFonts w:ascii="Bookman Old Style" w:hAnsi="Bookman Old Style"/>
          <w:lang w:val="ru-RU"/>
        </w:rPr>
        <w:t>ЛИЦЕНЗИРОВАНИЕ ПРИ ЭКСПОРТЕ И ИМПОРТЕ ТОВАРОВ</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Лицензирование экспорта и импорта как инструмент государственного регулирования внешнеторговой деятельности имеет свои особенности. Специальное разрешение здесь необходимо не для осуществления самой деятельности, связанной с ввозом или вывозом товаров, а для экспорта или импорта отдельных видов товаров, перечень которых обусловлен экономическими интересами государства. </w:t>
      </w:r>
    </w:p>
    <w:p w:rsidR="00CD7642" w:rsidRDefault="00CD7642">
      <w:pPr>
        <w:pStyle w:val="a4"/>
        <w:ind w:left="-360"/>
      </w:pPr>
      <w:r>
        <w:tab/>
        <w:t>13 октября 1995 года Президентом РФ был подписан Федеральный закон “О государственном регулировании внешнеторговой деятельности". Согласно ст. 13 этого Закона внешнеторговая политика осуществляется посредством таможенно-тарифного и нетарифного регулирования внешнеторговой деятельности.</w:t>
      </w:r>
    </w:p>
    <w:p w:rsidR="00CD7642" w:rsidRDefault="00CD7642">
      <w:pPr>
        <w:pStyle w:val="a4"/>
        <w:ind w:left="-360"/>
      </w:pPr>
      <w:r>
        <w:tab/>
        <w:t xml:space="preserve"> Таможенно-тарифное регулирование внешней торговли заключается в установлении экспортных и импортных пошлин и оно относится к экономическим методам. Нетарифное включает квотирование и лицензирование экспорта и импорта отдельных видов товаров. Квотирование и лицензирование являются административными инструментами регулирования внешней торговли. Суть данного метода заключается в частичном ограничении экспорта и импорта в количественном или стоимостном отношении, а также в применении при этом разрешительной системы (лицензии).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В настоящее время международная практика идет по пути устранения административных инструментов регулирования внешнеторговой деятельности. Нетарифное регулирование, как правило, применяется лишь в исключительных случаях, в основном в целях защиты национальной экономики, а также в целях выполнения международных обязательств. Подобную тенденцию можно наблюдать и у нас в стране.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В Федеральном законе от 13 октября 1995 г. установлено, что количественные ограничения экспорта и импорта (квоты) могут вводиться в исключительных случаях Правительством Российской Федерации. К ним относятся: обеспечение национальной безопасности РФ, выполнение международных обязательств РФ с учетом состояния на внутреннем товарном рынке, защита внутреннего рынка РФ, выполнение международных обязательств РФ и др.</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 Товары, на экспорт и импорт которых необходимо наличие лицензии ,можно разделить на следующие группы: </w:t>
      </w:r>
    </w:p>
    <w:p w:rsidR="00CD7642" w:rsidRDefault="00CD7642">
      <w:pPr>
        <w:spacing w:line="360" w:lineRule="auto"/>
        <w:ind w:left="-360" w:right="-720"/>
        <w:rPr>
          <w:rFonts w:ascii="Bookman Old Style" w:hAnsi="Bookman Old Style"/>
          <w:lang w:val="ru-RU"/>
        </w:rPr>
      </w:pPr>
    </w:p>
    <w:p w:rsidR="00CD7642" w:rsidRDefault="00CD7642">
      <w:pPr>
        <w:numPr>
          <w:ilvl w:val="0"/>
          <w:numId w:val="5"/>
        </w:numPr>
        <w:spacing w:line="360" w:lineRule="auto"/>
        <w:ind w:right="-720"/>
        <w:rPr>
          <w:rFonts w:ascii="Bookman Old Style" w:hAnsi="Bookman Old Style"/>
          <w:lang w:val="ru-RU"/>
        </w:rPr>
      </w:pPr>
      <w:r>
        <w:rPr>
          <w:rFonts w:ascii="Bookman Old Style" w:hAnsi="Bookman Old Style"/>
          <w:lang w:val="ru-RU"/>
        </w:rPr>
        <w:t>товары, лицензии на экспорт которых выдаются в пределах установленных квот (в основном товары, экспортируемые в связи выполнением Россией международных обязательств);</w:t>
      </w:r>
    </w:p>
    <w:p w:rsidR="00CD7642" w:rsidRDefault="00CD7642">
      <w:pPr>
        <w:numPr>
          <w:ilvl w:val="0"/>
          <w:numId w:val="5"/>
        </w:numPr>
        <w:spacing w:line="360" w:lineRule="auto"/>
        <w:ind w:right="-720"/>
        <w:rPr>
          <w:rFonts w:ascii="Bookman Old Style" w:hAnsi="Bookman Old Style"/>
          <w:lang w:val="ru-RU"/>
        </w:rPr>
      </w:pPr>
      <w:r>
        <w:rPr>
          <w:rFonts w:ascii="Bookman Old Style" w:hAnsi="Bookman Old Style"/>
          <w:lang w:val="ru-RU"/>
        </w:rPr>
        <w:t>товары, имеющие специфический характер (товары стратегического назначения: вооружение, товары двойного применения, лекарственное сырье и др.).</w:t>
      </w:r>
    </w:p>
    <w:p w:rsidR="00CD7642" w:rsidRDefault="00CD7642">
      <w:pPr>
        <w:pStyle w:val="a3"/>
        <w:ind w:left="-360" w:right="-720"/>
      </w:pPr>
      <w:r>
        <w:tab/>
        <w:t xml:space="preserve">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Генеральная лицензия оформляется сроком на один календарный год; экспортные или импортные операции по генеральной лицензии могут осуществляться как по одной, так и по нескольким сделкам. Разовая лицензия оформляется сроком до одного года для осуществления экспортных или импортных операций по каждой отдельной сделке.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Приказом Министерства внешних экономических связей РФ (МВЭС РФ) от 9 марта 1994 г. № 107 утверждена Инструкция "О порядке работы по доведению квот, выдаче лицензий и ведению Федерального банка лицензий". В инструкции определены основания выдачи лицензий, порядок выдачи, приостановления действия и аннулирования лицензий, а также установлен порядок экспорта и импорта отдельных видов товаров.</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В соответствии с Положением о порядке лицензирования и квотирования экспорта и импорта товаров (работ, услуг) в Российской Федерации можно выделить общие квоты: для государственных нужд, региональные, для аукционной продажи. Как правило, общие квоты устанавливаются Министерством экономики РФ по согласованию с соответствующими министерствами и ведомствами Российской федерации, а затем распределяются по регионам.</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w:t>
      </w:r>
    </w:p>
    <w:p w:rsidR="00CD7642" w:rsidRDefault="00CD7642">
      <w:pPr>
        <w:pStyle w:val="3"/>
      </w:pPr>
      <w:r>
        <w:t>Экспорт</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Указом Президента РФ от 23 мая 1994 г. № 1007 "Об отмене квотирования и лицензирования поставок товаров и услуг на экспорт" было установлено, что с 1 июля 1994 г. лицензирование и квотирование экспорта товаров и услуг осуществляется только в отношении товаров и услуг, экспортируемых в соответствии с международными обязательствами РФ. Для остальных товаров они отменены. В целях реализации данного Указа постановлением Правительства РФ от 1 июля 1994 г. № 758 "О мерах по совершенствованию государственного регулирования экспорта товаров и услуг" были утверждены:</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Перечень товаров, экспорт которых осуществляется в соответствии с международными обязательствами Российской Федерации; Перечень товаров, по которым сохраняется особый порядок экспорта;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Перечень товаров, экспорт которых осуществляется с 1 июля 1994 г. на основе регистрации контрактов.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К товарам, экспорт которых осуществляется в соответствии с международными обязательствами, относятся: нити и пряжа, ткани, некоторые виды готовой одежды и прочие готовые текстильные изделия. Ограничения на экспорт и импорт указанных товаров установлены с целью выполнения международных обязательств РФ по количественному ограничению экспорта товаров. Так, например, по соглашению между РФ и ЕЭС о торговле текстильной продукцией Россия приняла на себя обязательства не поставлять в страны ЕЭС отдельные виды текстильных товаров. В связи с этим только при экспорте текстиля в страны ЕЭС необходимо наличие лицензии (телеграмма ГТК РФ от 12 августа 1994 г. № Т-42146).</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Минэкономики РФ, МВЭС РФ, ГТК РФ, Роскомметаллургией и Роскомхимнефтепромом был утвержден "Порядок квотирования и лицензирования поставок товаров на экспорт, осуществляемых в соответствии с международными обязательствами Российской Федерации". Международные обязательства действуют в отношении некоторых стран.</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В перечень стратегически важных товаров, экспорт которых осуществляется в особом порядке, утвержденном постановлением Правительства РФ от 1 июля 1994 г. № 758, в настоящее время включены: дикие животные; лекарственное сырье; шифровальные средства; вооружение и военная техника; взрывчатые вещества и средства взрывания; ядерные материалы; драгоценные природные камни и изделия из них; информация о недрах; наркотические и психотропные средства; яды; другие товары, экспорт которых осуществляется также по лицензиям.</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До 25 марта 1995 г. основным условием для выдачи лицензии на экспорт и импорт стратегически важных товаров была регистрация в МВЭС РФ предприятий и организаций-экспортеров. Однако Указом Президента РФ от 6 марта 1995 г. регистрация в МВЭС РФ экспортеров стратегически важных сырьевых товаров была отменена.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 Постановлением Правительства РФ от 1 июля 1994 г. № 758 был также утвержден перечень товаров, экспортируемых при условии регистрации контрактов в МВЭС РФ. В настоящее время в данный перечень включены: рыба, пшеница, семена сои и подсолнечника, спирт этиловый, газ природный, электроэнергия, удобрения, деловая древесина хвойных пород, целлюлоза, нефть сырая (включая газовый конденсат), продукты переработки нефти и другое. Контракты на экспорт указанных товаров регистрируются в соответствии с Порядком регистрации контрактов на экспорт товаров в Российской Федерации, утвержденным МВЭС РФ, Минэкономики РФ и ГТК РФ 18,22 августа 1994 г. № 01-20-8553. При этом выдается сертификат, который впоследствии предъявляется организациями-экспортерами во время таможенного контроля.</w:t>
      </w:r>
    </w:p>
    <w:p w:rsidR="00CD7642" w:rsidRDefault="00CD7642">
      <w:pPr>
        <w:spacing w:line="360" w:lineRule="auto"/>
        <w:ind w:right="-720"/>
        <w:rPr>
          <w:rFonts w:ascii="Bookman Old Style" w:hAnsi="Bookman Old Style"/>
          <w:lang w:val="ru-RU"/>
        </w:rPr>
        <w:sectPr w:rsidR="00CD7642">
          <w:footerReference w:type="even" r:id="rId7"/>
          <w:footerReference w:type="default" r:id="rId8"/>
          <w:pgSz w:w="12242" w:h="15842"/>
          <w:pgMar w:top="1289" w:right="1418" w:bottom="425" w:left="1418" w:header="720" w:footer="720" w:gutter="0"/>
          <w:cols w:space="720"/>
        </w:sectPr>
      </w:pPr>
    </w:p>
    <w:p w:rsidR="00CD7642" w:rsidRDefault="00CD7642">
      <w:pPr>
        <w:spacing w:line="360" w:lineRule="auto"/>
        <w:ind w:right="-720"/>
        <w:rPr>
          <w:rFonts w:ascii="Bookman Old Style" w:hAnsi="Bookman Old Style"/>
          <w:lang w:val="ru-RU"/>
        </w:rPr>
      </w:pPr>
    </w:p>
    <w:p w:rsidR="00CD7642" w:rsidRDefault="00CD7642">
      <w:pPr>
        <w:pStyle w:val="3"/>
      </w:pPr>
      <w:r>
        <w:t xml:space="preserve">Импорт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В отношении импортных товаров в настоящее время квоты не установлены, хотя Законом "О государственном регулировании внешнеторговой деятельности" предусмотрено установление квот в определенных случаях. Лицензирование импорта существует только в отношении специфических товаров и подпадающих под особый режим контроля (вооружение, продукция двойного применения и т.д.). Лицензирование ввоза отдельных товаров осуществляется на основании постановления Правительства РФ от 6 ноября 1992 г. № 854 "О лицензировании и квотировании экспорта и импорта товаров(работ, услуг) на территории Российской Федерации".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Постановлением Правительства РФ от 6 ноября 1992 г. № 854 был утвержден Перечень специфических товаров (работ, услуг), импорт которых осуществляется по лицензиям, а постановлением Правительства РФ от 15 апреля 1994 г. № 331 в него были внесены изменения. В настоящее время перечень включает химические средства защиты растений, промышленные отходы, шифровальные средства (в том числе шифровальную технику, детали для шифровальной техники и пакеты программ для шифрования),нормативно-техническую документацию к шифровальным средствам (включая конструкторскую и эксплуатационную). Согласно указанию ГТК РФ от 28 марта 1995 г. № 01-13/4265, ввоз радиоэлектронных средств осуществляется на основании особого разрешения. Следует добавить, что лицензирование импорта осуществляется на основании правительственных решений.</w:t>
      </w:r>
    </w:p>
    <w:p w:rsidR="00CD7642" w:rsidRDefault="00CD7642">
      <w:pPr>
        <w:spacing w:line="360" w:lineRule="auto"/>
        <w:ind w:left="-360" w:right="-720"/>
        <w:rPr>
          <w:rFonts w:ascii="Bookman Old Style" w:hAnsi="Bookman Old Style"/>
          <w:lang w:val="ru-RU"/>
        </w:rPr>
      </w:pPr>
    </w:p>
    <w:p w:rsidR="00CD7642" w:rsidRDefault="00CD7642">
      <w:pPr>
        <w:numPr>
          <w:ilvl w:val="0"/>
          <w:numId w:val="2"/>
        </w:numPr>
        <w:tabs>
          <w:tab w:val="clear" w:pos="792"/>
          <w:tab w:val="left" w:pos="-540"/>
          <w:tab w:val="num" w:pos="0"/>
        </w:tabs>
        <w:spacing w:line="360" w:lineRule="auto"/>
        <w:ind w:left="-360" w:right="-720"/>
        <w:jc w:val="center"/>
        <w:rPr>
          <w:rFonts w:ascii="Bookman Old Style" w:hAnsi="Bookman Old Style"/>
          <w:lang w:val="ru-RU"/>
        </w:rPr>
      </w:pPr>
      <w:r>
        <w:rPr>
          <w:rFonts w:ascii="Bookman Old Style" w:hAnsi="Bookman Old Style"/>
          <w:lang w:val="ru-RU"/>
        </w:rPr>
        <w:t>ЛИЦЕНЗИРОВАНИЕ НА РЫНКЕ ЦЕННЫХ БУМАГ</w:t>
      </w:r>
    </w:p>
    <w:p w:rsidR="00CD7642" w:rsidRDefault="00CD7642">
      <w:pPr>
        <w:spacing w:line="360" w:lineRule="auto"/>
        <w:ind w:left="-360" w:right="-720"/>
        <w:jc w:val="center"/>
        <w:rPr>
          <w:rFonts w:ascii="Bookman Old Style" w:hAnsi="Bookman Old Style"/>
          <w:u w:val="single"/>
          <w:lang w:val="ru-RU"/>
        </w:rPr>
      </w:pPr>
      <w:r>
        <w:rPr>
          <w:rFonts w:ascii="Bookman Old Style" w:hAnsi="Bookman Old Style"/>
          <w:u w:val="single"/>
          <w:lang w:val="ru-RU"/>
        </w:rPr>
        <w:t>Виды предпринимательской деятельности на рынке ценных бумаг, на осуществление которых необходимо получение лицензии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Согласно Указу Президента России от 4 ноября 1994 г. № 2063 на рынке ценных  бумаг  осуществляются  следующие  виды  предпринимательской деятельности: брокерская, дилерская,  депозитарная, деятельность  по ведению и хранению реестра акционеров, расчетно-клиринговая деятельность по ценным  бумагам,  расчетно-клиринговая  деятельность по денежным средствам, деятельность по организации торговли ценными бумагами.  </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Брокерская деятельность</w:t>
      </w:r>
      <w:r>
        <w:rPr>
          <w:rFonts w:ascii="Bookman Old Style" w:hAnsi="Bookman Old Style"/>
          <w:lang w:val="ru-RU"/>
        </w:rPr>
        <w:t xml:space="preserve"> - совершение гражданско-правовых сделок с ценными бумагами на основании договоров комиссии и/или поручения</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Дилерская деятельность</w:t>
      </w:r>
      <w:r>
        <w:rPr>
          <w:rFonts w:ascii="Bookman Old Style" w:hAnsi="Bookman Old Style"/>
          <w:lang w:val="ru-RU"/>
        </w:rPr>
        <w:t xml:space="preserve"> -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их покупки и продажи по объявленым ценам. </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 xml:space="preserve"> Депозитарная  деятельность</w:t>
      </w:r>
      <w:r>
        <w:rPr>
          <w:rFonts w:ascii="Bookman Old Style" w:hAnsi="Bookman Old Style"/>
          <w:lang w:val="ru-RU"/>
        </w:rPr>
        <w:t xml:space="preserve"> - предоставление услуг по  хранению сертификатов ценных бумаг и/или учету прав на ценные бумаги.</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Деятельность  по  ведению и  хранению  реестра акционеров</w:t>
      </w:r>
      <w:r>
        <w:rPr>
          <w:rFonts w:ascii="Bookman Old Style" w:hAnsi="Bookman Old Style"/>
          <w:lang w:val="ru-RU"/>
        </w:rPr>
        <w:t xml:space="preserve">  - деятельность, которую осуществляет  держатель реестра акционеров  в порядке, установленном законодательством Российской Федерации</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Расчетно-клиринговая деятельность по ценным бумагам</w:t>
      </w:r>
      <w:r>
        <w:rPr>
          <w:rFonts w:ascii="Bookman Old Style" w:hAnsi="Bookman Old Style"/>
          <w:lang w:val="ru-RU"/>
        </w:rPr>
        <w:t xml:space="preserve"> - деятельность по определению взаимных обязательств по поставке (переводу) ценных бумаг участников операций с ценными бумагами</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Расчетно-клиринговая  деятельность  по денежным  средствам</w:t>
      </w:r>
      <w:r>
        <w:rPr>
          <w:rFonts w:ascii="Bookman Old Style" w:hAnsi="Bookman Old Style"/>
          <w:lang w:val="ru-RU"/>
        </w:rPr>
        <w:t xml:space="preserve">  - деятельность по определению  взаимных  обязательств и/или по поставке (переводу) денежных средств в связи с операциями с ценными бумагами</w:t>
      </w:r>
    </w:p>
    <w:p w:rsidR="00CD7642" w:rsidRDefault="00CD7642">
      <w:pPr>
        <w:spacing w:line="360" w:lineRule="auto"/>
        <w:ind w:left="-360" w:right="-720"/>
        <w:rPr>
          <w:rFonts w:ascii="Bookman Old Style" w:hAnsi="Bookman Old Style"/>
          <w:lang w:val="ru-RU"/>
        </w:rPr>
      </w:pPr>
      <w:r>
        <w:rPr>
          <w:rFonts w:ascii="Bookman Old Style" w:hAnsi="Bookman Old Style"/>
          <w:b/>
          <w:bCs/>
          <w:lang w:val="ru-RU"/>
        </w:rPr>
        <w:t>Деятельность  по  организации  торговли  ценными  бумагами</w:t>
      </w:r>
      <w:r>
        <w:rPr>
          <w:rFonts w:ascii="Bookman Old Style" w:hAnsi="Bookman Old Style"/>
          <w:lang w:val="ru-RU"/>
        </w:rPr>
        <w:t xml:space="preserve">  - предоставление услуг, способствующих заключению сделок с ценными бумагами между профессиональными  участниками  рынка  ценных  бумаг  включая деятельность фондовых бирж</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Все перечисленные виды деятельности на рынке ценных бумаг лицензируются </w:t>
      </w:r>
      <w:r>
        <w:rPr>
          <w:rFonts w:ascii="Bookman Old Style" w:hAnsi="Bookman Old Style"/>
          <w:u w:val="single"/>
          <w:lang w:val="ru-RU"/>
        </w:rPr>
        <w:t>Федеральной комиссией по ценным бумагам</w:t>
      </w:r>
      <w:r>
        <w:rPr>
          <w:rFonts w:ascii="Bookman Old Style" w:hAnsi="Bookman Old Style"/>
          <w:lang w:val="ru-RU"/>
        </w:rPr>
        <w:t xml:space="preserve"> и фондовому рынку при Правительстве Российской Федерации (Указом Президента РФ от 27 февраля 1995 г. № 202 статус Федеральной комиссии приравнен к статусу федерального министерства). Указом Президента РФ от 4 ноября 1994 г. № 2063 Федеральной комиссии было предписано в трехмесячный срок установить новый порядок лицензирования профессиональной деятельности на рынке ценных бумаг, а также порядок квалификации всех финансовых инструментов и определения их видов. К настоящему моменту Федеральной </w:t>
      </w:r>
      <w:r>
        <w:rPr>
          <w:rFonts w:ascii="Bookman Old Style" w:hAnsi="Bookman Old Style"/>
          <w:u w:val="single"/>
          <w:lang w:val="ru-RU"/>
        </w:rPr>
        <w:t>комиссией по ценным бумагам и фондовому рынку при Правительстве Российской Федерации</w:t>
      </w:r>
      <w:r>
        <w:rPr>
          <w:rFonts w:ascii="Bookman Old Style" w:hAnsi="Bookman Old Style"/>
          <w:lang w:val="ru-RU"/>
        </w:rPr>
        <w:t xml:space="preserve"> издано три документа, посвященных лицензированию профессиональной деятельности на рынке ценных бумаг:</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Временный порядок лицензирования деятельности по ведению реестра владельцев  именных  ценных бумаг  (утвержден  постановлением Федеральной комиссии по ценным бумагам и фондовому рынку от 30 августа 1995 г. № 6); </w:t>
      </w:r>
    </w:p>
    <w:p w:rsidR="00CD7642" w:rsidRDefault="00CD7642">
      <w:pPr>
        <w:spacing w:line="360" w:lineRule="auto"/>
        <w:ind w:left="-360" w:right="-720"/>
        <w:jc w:val="center"/>
        <w:rPr>
          <w:rFonts w:ascii="Bookman Old Style" w:hAnsi="Bookman Old Style"/>
          <w:b/>
          <w:bCs/>
          <w:lang w:val="ru-RU"/>
        </w:rPr>
      </w:pPr>
      <w:r>
        <w:rPr>
          <w:rFonts w:ascii="Bookman Old Style" w:hAnsi="Bookman Old Style"/>
          <w:b/>
          <w:bCs/>
          <w:lang w:val="ru-RU"/>
        </w:rPr>
        <w:t>К организациям, уполномоченным проводить квалификационные экзамены ФКЦБ России относятся: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(в ред. распоряжений ФКЦБ РФ от 25.03.2003 N 03-560/р, от 29.08.2003 N 03-1830/р)</w:t>
      </w:r>
    </w:p>
    <w:p w:rsidR="00CD7642" w:rsidRDefault="00CD7642">
      <w:pPr>
        <w:numPr>
          <w:ilvl w:val="0"/>
          <w:numId w:val="8"/>
        </w:numPr>
        <w:spacing w:line="360" w:lineRule="auto"/>
        <w:ind w:right="-720"/>
        <w:rPr>
          <w:rFonts w:ascii="Bookman Old Style" w:hAnsi="Bookman Old Style"/>
          <w:lang w:val="ru-RU"/>
        </w:rPr>
      </w:pPr>
      <w:r>
        <w:rPr>
          <w:rFonts w:ascii="Bookman Old Style" w:hAnsi="Bookman Old Style"/>
          <w:lang w:val="ru-RU"/>
        </w:rPr>
        <w:t xml:space="preserve">Региональное отделение ФКЦБ России в Центральном федеральном округе - проводит базовый квалификационный экзамен и квалификационные экзамены серий 1.0; 2.0; 3.0; 4.0; 5.0; 6.0 </w:t>
      </w:r>
    </w:p>
    <w:p w:rsidR="00CD7642" w:rsidRDefault="00CD7642">
      <w:pPr>
        <w:numPr>
          <w:ilvl w:val="0"/>
          <w:numId w:val="8"/>
        </w:numPr>
        <w:spacing w:line="360" w:lineRule="auto"/>
        <w:ind w:right="-720"/>
        <w:rPr>
          <w:rFonts w:ascii="Bookman Old Style" w:hAnsi="Bookman Old Style"/>
          <w:lang w:val="ru-RU"/>
        </w:rPr>
      </w:pPr>
      <w:r>
        <w:rPr>
          <w:rFonts w:ascii="Bookman Old Style" w:hAnsi="Bookman Old Style"/>
          <w:lang w:val="ru-RU"/>
        </w:rPr>
        <w:t xml:space="preserve">Региональное отделение ФКЦБ России в Северо-Западном федеральном округе </w:t>
      </w:r>
    </w:p>
    <w:p w:rsidR="00CD7642" w:rsidRDefault="00CD7642">
      <w:pPr>
        <w:numPr>
          <w:ilvl w:val="0"/>
          <w:numId w:val="8"/>
        </w:numPr>
        <w:spacing w:line="360" w:lineRule="auto"/>
        <w:ind w:right="-720"/>
        <w:rPr>
          <w:rFonts w:ascii="Bookman Old Style" w:hAnsi="Bookman Old Style"/>
          <w:lang w:val="ru-RU"/>
        </w:rPr>
      </w:pPr>
      <w:r>
        <w:rPr>
          <w:rFonts w:ascii="Bookman Old Style" w:hAnsi="Bookman Old Style"/>
          <w:lang w:val="ru-RU"/>
        </w:rPr>
        <w:t xml:space="preserve">Региональное отделение ФКЦБ России в Уральском федеральном округе </w:t>
      </w:r>
    </w:p>
    <w:p w:rsidR="00CD7642" w:rsidRDefault="00CD7642">
      <w:pPr>
        <w:numPr>
          <w:ilvl w:val="0"/>
          <w:numId w:val="8"/>
        </w:numPr>
        <w:spacing w:line="360" w:lineRule="auto"/>
        <w:ind w:right="-720"/>
        <w:rPr>
          <w:rFonts w:ascii="Bookman Old Style" w:hAnsi="Bookman Old Style"/>
          <w:lang w:val="ru-RU"/>
        </w:rPr>
      </w:pPr>
      <w:r>
        <w:rPr>
          <w:rFonts w:ascii="Bookman Old Style" w:hAnsi="Bookman Old Style"/>
          <w:lang w:val="ru-RU"/>
        </w:rPr>
        <w:t>Омское региональное отделение ФКЦБ России</w:t>
      </w:r>
    </w:p>
    <w:p w:rsidR="00CD7642" w:rsidRDefault="00CD7642">
      <w:pPr>
        <w:numPr>
          <w:ilvl w:val="0"/>
          <w:numId w:val="8"/>
        </w:numPr>
        <w:spacing w:line="360" w:lineRule="auto"/>
        <w:ind w:right="-720"/>
        <w:rPr>
          <w:rFonts w:ascii="Bookman Old Style" w:hAnsi="Bookman Old Style"/>
          <w:lang w:val="ru-RU"/>
        </w:rPr>
      </w:pPr>
      <w:r>
        <w:rPr>
          <w:rFonts w:ascii="Bookman Old Style" w:hAnsi="Bookman Old Style"/>
          <w:lang w:val="ru-RU"/>
        </w:rPr>
        <w:t>Региональное отделение ФКЦБ России в Сибирском федеральном округе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И т.д.</w:t>
      </w:r>
    </w:p>
    <w:p w:rsidR="00CD7642" w:rsidRDefault="00CD7642">
      <w:pPr>
        <w:numPr>
          <w:ilvl w:val="0"/>
          <w:numId w:val="10"/>
        </w:numPr>
        <w:spacing w:line="360" w:lineRule="auto"/>
        <w:ind w:right="-720"/>
        <w:rPr>
          <w:rFonts w:ascii="Bookman Old Style" w:hAnsi="Bookman Old Style"/>
          <w:lang w:val="ru-RU"/>
        </w:rPr>
      </w:pPr>
      <w:r>
        <w:rPr>
          <w:rFonts w:ascii="Bookman Old Style" w:hAnsi="Bookman Old Style"/>
          <w:lang w:val="ru-RU"/>
        </w:rPr>
        <w:t>Саморегулируемая организация «Национальная Ассоциация Участников Фондового Рынка”, г. Москва</w:t>
      </w:r>
    </w:p>
    <w:p w:rsidR="00CD7642" w:rsidRDefault="00CD7642">
      <w:pPr>
        <w:numPr>
          <w:ilvl w:val="0"/>
          <w:numId w:val="10"/>
        </w:numPr>
        <w:spacing w:line="360" w:lineRule="auto"/>
        <w:ind w:right="-720"/>
        <w:rPr>
          <w:rFonts w:ascii="Bookman Old Style" w:hAnsi="Bookman Old Style"/>
          <w:lang w:val="ru-RU"/>
        </w:rPr>
      </w:pPr>
      <w:r>
        <w:rPr>
          <w:rFonts w:ascii="Bookman Old Style" w:hAnsi="Bookman Old Style"/>
          <w:lang w:val="ru-RU"/>
        </w:rPr>
        <w:t>Саморегулируемая организация "Национальная фондовая ассоциация"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          г. Москва </w:t>
      </w:r>
    </w:p>
    <w:p w:rsidR="00CD7642" w:rsidRDefault="00CD7642">
      <w:pPr>
        <w:numPr>
          <w:ilvl w:val="0"/>
          <w:numId w:val="13"/>
        </w:numPr>
        <w:spacing w:line="360" w:lineRule="auto"/>
        <w:ind w:right="-720"/>
        <w:rPr>
          <w:rFonts w:ascii="Bookman Old Style" w:hAnsi="Bookman Old Style"/>
          <w:lang w:val="ru-RU"/>
        </w:rPr>
      </w:pPr>
      <w:r>
        <w:rPr>
          <w:rFonts w:ascii="Bookman Old Style" w:hAnsi="Bookman Old Style"/>
          <w:lang w:val="ru-RU"/>
        </w:rPr>
        <w:t>Фонд "Институт фондового рынка и управления"</w:t>
      </w:r>
    </w:p>
    <w:p w:rsidR="00CD7642" w:rsidRDefault="00CD7642">
      <w:pPr>
        <w:pStyle w:val="5"/>
        <w:ind w:left="0"/>
        <w:jc w:val="left"/>
        <w:rPr>
          <w:b w:val="0"/>
          <w:bCs w:val="0"/>
          <w:lang w:val="en-US"/>
        </w:rPr>
      </w:pPr>
    </w:p>
    <w:p w:rsidR="00CD7642" w:rsidRDefault="00CD7642"/>
    <w:p w:rsidR="00CD7642" w:rsidRDefault="00CD7642"/>
    <w:p w:rsidR="00CD7642" w:rsidRDefault="00CD7642">
      <w:pPr>
        <w:pStyle w:val="5"/>
        <w:rPr>
          <w:lang w:val="en-US"/>
        </w:rPr>
      </w:pPr>
    </w:p>
    <w:p w:rsidR="00CD7642" w:rsidRDefault="00CD7642">
      <w:pPr>
        <w:pStyle w:val="5"/>
        <w:rPr>
          <w:b w:val="0"/>
          <w:bCs w:val="0"/>
        </w:rPr>
      </w:pPr>
      <w:r>
        <w:rPr>
          <w:b w:val="0"/>
          <w:bCs w:val="0"/>
        </w:rPr>
        <w:t>КВАЛИФИКАЦИОННЫЕ ЭКЗАМЕНЫ ФКЦБ РОССИИ</w:t>
      </w:r>
    </w:p>
    <w:p w:rsidR="00CD7642" w:rsidRDefault="00CD7642">
      <w:pPr>
        <w:spacing w:line="360" w:lineRule="auto"/>
        <w:ind w:right="-720"/>
        <w:rPr>
          <w:rFonts w:ascii="Bookman Old Style" w:hAnsi="Bookman Old Style"/>
        </w:rPr>
      </w:pPr>
      <w:r>
        <w:rPr>
          <w:rFonts w:ascii="Bookman Old Style" w:hAnsi="Bookman Old Style"/>
          <w:lang w:val="ru-RU"/>
        </w:rPr>
        <w:t xml:space="preserve"> Общие положения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Экзамены можно сдавать в любом региональном отделении Федеральной комиссии по рынку ценных бумаг независимо от места прописки по достижении 18-летнего возраста.</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Основанием для отказа в допуске ко всем видам экзаменов являются: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выявление фактов недостоверной информации в представленной анкете;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при допуске лица к специализированному экзамену - отсутствие успешного прохождения базового квалификационного экзамена или прошествие более двух лет с даты успешного прохождения базового квалификационного экзамена, за исключением случая наличия у соискателя квалификационного аттестата ФКЦБ России.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Квалификационный минимум для сдачи базового квалификационного экзамена:</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Содержание и объем базового квалификационного экзамена определены квалификационным минимумом, утвержденным Распоряжением ФКЦБ России № 03-1405/р от 09.07.2003 (см. раздел "Нормативные документы)</w:t>
      </w:r>
    </w:p>
    <w:p w:rsidR="00CD7642" w:rsidRDefault="00CD7642">
      <w:pPr>
        <w:spacing w:line="360" w:lineRule="auto"/>
        <w:ind w:right="-720"/>
        <w:rPr>
          <w:rFonts w:ascii="Bookman Old Style" w:hAnsi="Bookman Old Style"/>
        </w:rPr>
      </w:pPr>
    </w:p>
    <w:p w:rsidR="00CD7642" w:rsidRDefault="00CD7642">
      <w:pPr>
        <w:spacing w:line="360" w:lineRule="auto"/>
        <w:ind w:left="-360" w:right="-720"/>
        <w:rPr>
          <w:rFonts w:ascii="Bookman Old Style" w:hAnsi="Bookman Old Style"/>
          <w:lang w:val="ru-RU"/>
        </w:rPr>
      </w:pPr>
    </w:p>
    <w:p w:rsidR="00CD7642" w:rsidRDefault="00CD7642">
      <w:pPr>
        <w:pStyle w:val="4"/>
      </w:pPr>
      <w:r>
        <w:t>Банковские операции с ценными бумагами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Среди субъектов предпринимательской деятельности на рынке ценных бумаг следует выделить банки и другие кредитные учреждения. Согласно статье 5 Закона РСФСР от 2 декабря 1990 г. “О банках и банковской деятельности в РСФСР" организации, имеющие банковскую лицензию, среди прочих могут производить следующие операции и сделки:  выпускать, покупать, продавать и хранить  платежные  документы и ценные  бумаги (чеки, аккредитивы, векселя, акции, облигации и другие документы), осуществлять иные операции с ними;  привлекать и  размещать средства и управлять ценными  бумагами по  поручению клиентов  (доверительные (трастовые) операции); оказывать брокерские и консультационные услуги; производить другие операции и сделки по разрешению ЦБР, выдаваемому в пределах его компетенции.  </w:t>
      </w:r>
      <w:r>
        <w:rPr>
          <w:rFonts w:ascii="Bookman Old Style" w:hAnsi="Bookman Old Style"/>
          <w:lang w:val="ru-RU"/>
        </w:rPr>
        <w:tab/>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 xml:space="preserve">Для осуществления банками депозитарной деятельности и дилерской деятельности  на  рынке ГКО необходима  специальная регистрация  в Центральном банке России. </w:t>
      </w:r>
    </w:p>
    <w:p w:rsidR="00CD7642" w:rsidRDefault="00CD7642">
      <w:pPr>
        <w:pStyle w:val="3"/>
      </w:pPr>
      <w:r>
        <w:t xml:space="preserve"> Депозитарная  деятельность</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ab/>
        <w:t>Объектом депозитарных операций  банков  могут быть  только ценные  бумаги, эмитированные резидентами  Российской Федерации  в соответствии  с требованиями  действующего законодательства, а  также  ценные бумаги, эмитированные  нерезидентами, допущенные к обращению на  территории России. Порядок выдачи свидетельств о  регистрации банка в  качестве депозитария  установлен  письмом  ЦБР от  10 мая  1995 г. № 167. Регистрация  банков в  качестве  депозитариев осуществляется главными территориальными управлениями (национальными банками) Банка  России по месту нахождения банка. Телеграммой ЦБР от 22 мая 1995 г. № 66-95 сообщено, что обязанности по регистрации банков в качестве депозитариев возложены на подразделения по работе с ценными бумагами территориальных управлений ЦБР.</w:t>
      </w:r>
    </w:p>
    <w:p w:rsidR="00CD7642" w:rsidRDefault="00CD7642">
      <w:pPr>
        <w:pStyle w:val="3"/>
      </w:pPr>
      <w:r>
        <w:t>Дилерская  деятельность</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Дилерская деятельность  банков  на  рынке  ГКО  осуществляется  на основании заключенного с Центральным  банком договора. Условия заключения таких договоров установлены приказом ЦБР от 6 апреля 1995 г. № 02-86 "О порядке заключения Банком России договоров о выполнении функций дилера на рынке государственных краткосрочных бескупонных облигаций".</w:t>
      </w:r>
    </w:p>
    <w:p w:rsidR="00CD7642" w:rsidRDefault="00CD7642">
      <w:pPr>
        <w:numPr>
          <w:ilvl w:val="0"/>
          <w:numId w:val="2"/>
        </w:numPr>
        <w:tabs>
          <w:tab w:val="clear" w:pos="792"/>
          <w:tab w:val="left" w:pos="-540"/>
          <w:tab w:val="num" w:pos="0"/>
        </w:tabs>
        <w:spacing w:line="360" w:lineRule="auto"/>
        <w:ind w:left="-360" w:right="-720"/>
        <w:jc w:val="center"/>
        <w:rPr>
          <w:rFonts w:ascii="Bookman Old Style" w:hAnsi="Bookman Old Style"/>
          <w:lang w:val="ru-RU"/>
        </w:rPr>
      </w:pPr>
      <w:r>
        <w:rPr>
          <w:rFonts w:ascii="Bookman Old Style" w:hAnsi="Bookman Old Style"/>
          <w:lang w:val="ru-RU"/>
        </w:rPr>
        <w:t xml:space="preserve"> ЛИЦЕНЗИРОВАНИЕ ПРЕДПРИЯТИЯ.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В российском праве понятие «лицензирование предпринимательской деятельности» едва ли не впервые появилось 2 декабря 1990 г., когда были приняты Законы РСФСР «О банках и банковской деятельности» и «О Цен</w:t>
      </w:r>
      <w:r>
        <w:rPr>
          <w:rFonts w:ascii="Bookman Old Style" w:hAnsi="Bookman Old Style"/>
          <w:lang w:val="ru-RU"/>
        </w:rPr>
        <w:softHyphen/>
        <w:t xml:space="preserve">тральном банке РСФСР (Банке России)». Несколько позже (25 декабря) общая норма, предусматривающая лицензирование предпринимательской деятельности, появилась в п. 4 ст. 21 Закона РСФСР «О предприятиях и предпринимательской деятельности». Эта норма устанавливала, что </w:t>
      </w:r>
      <w:r>
        <w:rPr>
          <w:rFonts w:ascii="Bookman Old Style" w:hAnsi="Bookman Old Style"/>
          <w:u w:val="single"/>
          <w:lang w:val="ru-RU"/>
        </w:rPr>
        <w:t>от</w:t>
      </w:r>
      <w:r>
        <w:rPr>
          <w:rFonts w:ascii="Bookman Old Style" w:hAnsi="Bookman Old Style"/>
          <w:u w:val="single"/>
          <w:lang w:val="ru-RU"/>
        </w:rPr>
        <w:softHyphen/>
        <w:t>дельные виды предпринимательской деятельности могут осуществляться только на основании специального разрешения</w:t>
      </w:r>
      <w:r>
        <w:rPr>
          <w:rFonts w:ascii="Bookman Old Style" w:hAnsi="Bookman Old Style"/>
          <w:lang w:val="ru-RU"/>
        </w:rPr>
        <w:t xml:space="preserve"> (лицензии). Пред</w:t>
      </w:r>
      <w:r>
        <w:rPr>
          <w:rFonts w:ascii="Bookman Old Style" w:hAnsi="Bookman Old Style"/>
          <w:lang w:val="ru-RU"/>
        </w:rPr>
        <w:softHyphen/>
        <w:t>полагалось, что перечень видов деятельности будет определен Правитель</w:t>
      </w:r>
      <w:r>
        <w:rPr>
          <w:rFonts w:ascii="Bookman Old Style" w:hAnsi="Bookman Old Style"/>
          <w:lang w:val="ru-RU"/>
        </w:rPr>
        <w:softHyphen/>
        <w:t>ством РФ или Правительствами входящих в нее республик.</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Новым шагом в правовом регулировании лицензирования предпринима</w:t>
      </w:r>
      <w:r>
        <w:rPr>
          <w:rFonts w:ascii="Bookman Old Style" w:hAnsi="Bookman Old Style"/>
          <w:lang w:val="ru-RU"/>
        </w:rPr>
        <w:softHyphen/>
        <w:t xml:space="preserve">тельской деятельности стал Федеральный закон от 15 сентября 1998 г. «О лицензировании отдельных видов деятельности» (с изменениями от 26 ноября 1998 г.). </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Закон провозгласил </w:t>
      </w:r>
      <w:r>
        <w:rPr>
          <w:rFonts w:ascii="Bookman Old Style" w:hAnsi="Bookman Old Style"/>
          <w:u w:val="single"/>
          <w:lang w:val="ru-RU"/>
        </w:rPr>
        <w:t>основные принципы осуществления лицензирова</w:t>
      </w:r>
      <w:r>
        <w:rPr>
          <w:rFonts w:ascii="Bookman Old Style" w:hAnsi="Bookman Old Style"/>
          <w:u w:val="single"/>
          <w:lang w:val="ru-RU"/>
        </w:rPr>
        <w:softHyphen/>
        <w:t>ния</w:t>
      </w:r>
      <w:r>
        <w:rPr>
          <w:rFonts w:ascii="Bookman Old Style" w:hAnsi="Bookman Old Style"/>
          <w:lang w:val="ru-RU"/>
        </w:rPr>
        <w:t>:</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защита свобод, прав, законных интересов, нравственности и здоровья граждан, обеспечение обороны страны и безопасности государства;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обеспечение единства экономического пространства на территории Российской Федерации;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утверждение единого перечня лицензируемых видов деятельности и единого порядка лицензирования на территории Российской Федера</w:t>
      </w:r>
      <w:r>
        <w:rPr>
          <w:rFonts w:ascii="Bookman Old Style" w:hAnsi="Bookman Old Style"/>
          <w:lang w:val="ru-RU"/>
        </w:rPr>
        <w:softHyphen/>
        <w:t>ции;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гласность и открытость лицензирования;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Т.о. прослеживаются два параллельных на</w:t>
      </w:r>
      <w:r>
        <w:rPr>
          <w:rFonts w:ascii="Bookman Old Style" w:hAnsi="Bookman Old Style"/>
          <w:lang w:val="ru-RU"/>
        </w:rPr>
        <w:softHyphen/>
        <w:t>правления: выдача лицензий и контроль за соблюдением лицензионных требований и условий.</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Под </w:t>
      </w:r>
      <w:r>
        <w:rPr>
          <w:rFonts w:ascii="Bookman Old Style" w:hAnsi="Bookman Old Style"/>
          <w:b/>
          <w:bCs/>
          <w:lang w:val="ru-RU"/>
        </w:rPr>
        <w:t>лицензией</w:t>
      </w:r>
      <w:r>
        <w:rPr>
          <w:rFonts w:ascii="Bookman Old Style" w:hAnsi="Bookman Old Style"/>
          <w:lang w:val="ru-RU"/>
        </w:rPr>
        <w:t xml:space="preserve"> понимается разрешение (право) на осуществление ли</w:t>
      </w:r>
      <w:r>
        <w:rPr>
          <w:rFonts w:ascii="Bookman Old Style" w:hAnsi="Bookman Old Style"/>
          <w:lang w:val="ru-RU"/>
        </w:rPr>
        <w:softHyphen/>
        <w:t>цензируемого вида деятельности при обязательном соблюдении лицензи</w:t>
      </w:r>
      <w:r>
        <w:rPr>
          <w:rFonts w:ascii="Bookman Old Style" w:hAnsi="Bookman Old Style"/>
          <w:lang w:val="ru-RU"/>
        </w:rPr>
        <w:softHyphen/>
        <w:t>онных требований и условий, выданное лицензирующим органом юриди</w:t>
      </w:r>
      <w:r>
        <w:rPr>
          <w:rFonts w:ascii="Bookman Old Style" w:hAnsi="Bookman Old Style"/>
          <w:lang w:val="ru-RU"/>
        </w:rPr>
        <w:softHyphen/>
        <w:t>ческому лицу или индивидуальному предпринимателю. Лицензия выда</w:t>
      </w:r>
      <w:r>
        <w:rPr>
          <w:rFonts w:ascii="Bookman Old Style" w:hAnsi="Bookman Old Style"/>
          <w:lang w:val="ru-RU"/>
        </w:rPr>
        <w:softHyphen/>
        <w:t>ется отдельно на каждый лицензируемый вид деятельности. Вид деятель</w:t>
      </w:r>
      <w:r>
        <w:rPr>
          <w:rFonts w:ascii="Bookman Old Style" w:hAnsi="Bookman Old Style"/>
          <w:lang w:val="ru-RU"/>
        </w:rPr>
        <w:softHyphen/>
        <w:t>ности, на осуществление которого получена лицензия, может выполнять</w:t>
      </w:r>
      <w:r>
        <w:rPr>
          <w:rFonts w:ascii="Bookman Old Style" w:hAnsi="Bookman Old Style"/>
          <w:lang w:val="ru-RU"/>
        </w:rPr>
        <w:softHyphen/>
        <w:t>ся только получившим лицензию юридическим лицом или индивидуаль</w:t>
      </w:r>
      <w:r>
        <w:rPr>
          <w:rFonts w:ascii="Bookman Old Style" w:hAnsi="Bookman Old Style"/>
          <w:lang w:val="ru-RU"/>
        </w:rPr>
        <w:softHyphen/>
        <w:t xml:space="preserve">ным предпринимателем. </w:t>
      </w:r>
    </w:p>
    <w:p w:rsidR="00CD7642" w:rsidRDefault="00CD7642">
      <w:pPr>
        <w:spacing w:line="360" w:lineRule="auto"/>
        <w:ind w:left="-360" w:right="-720"/>
        <w:rPr>
          <w:rFonts w:ascii="Bookman Old Style" w:hAnsi="Bookman Old Style"/>
          <w:u w:val="single"/>
          <w:lang w:val="ru-RU"/>
        </w:rPr>
      </w:pPr>
      <w:r>
        <w:rPr>
          <w:rFonts w:ascii="Bookman Old Style" w:hAnsi="Bookman Old Style"/>
          <w:u w:val="single"/>
          <w:lang w:val="ru-RU"/>
        </w:rPr>
        <w:t>Лицензия должна содержать следующие реквизиты:</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наименование органа, выдавшего ее;</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наименование, юридический адрес и регистрационные реквизиты ее владельца;</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разрешенный вид деятельности;</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область действия лицензии;</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особые условия осуществления лицензируемой деятельности (в случае необходимости);</w:t>
      </w:r>
    </w:p>
    <w:p w:rsidR="00CD7642" w:rsidRDefault="00CD7642">
      <w:pPr>
        <w:numPr>
          <w:ilvl w:val="0"/>
          <w:numId w:val="17"/>
        </w:numPr>
        <w:spacing w:line="360" w:lineRule="auto"/>
        <w:ind w:right="-720"/>
        <w:rPr>
          <w:rFonts w:ascii="Bookman Old Style" w:hAnsi="Bookman Old Style"/>
          <w:lang w:val="ru-RU"/>
        </w:rPr>
      </w:pPr>
      <w:r>
        <w:rPr>
          <w:rFonts w:ascii="Bookman Old Style" w:hAnsi="Bookman Old Style"/>
          <w:lang w:val="ru-RU"/>
        </w:rPr>
        <w:t>регистрационный номер, дату и сроки начала и окончания дейст</w:t>
      </w:r>
      <w:r>
        <w:rPr>
          <w:rFonts w:ascii="Bookman Old Style" w:hAnsi="Bookman Old Style"/>
          <w:lang w:val="ru-RU"/>
        </w:rPr>
        <w:softHyphen/>
        <w:t>вия лицензии.</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Содержанием последней является перечень полномочий, со</w:t>
      </w:r>
      <w:r>
        <w:rPr>
          <w:rFonts w:ascii="Bookman Old Style" w:hAnsi="Bookman Old Style"/>
          <w:lang w:val="ru-RU"/>
        </w:rPr>
        <w:softHyphen/>
        <w:t>ставляющих компетенцию хозяйствующего субъекта. Его определение вызывает некоторые вопросы. В частности, нуждаются в уточнении пределы усмотрения органов управления в установлении этого перечня. Известно, что должностные лица по собственному разумению вычер</w:t>
      </w:r>
      <w:r>
        <w:rPr>
          <w:rFonts w:ascii="Bookman Old Style" w:hAnsi="Bookman Old Style"/>
          <w:lang w:val="ru-RU"/>
        </w:rPr>
        <w:softHyphen/>
        <w:t>кивают или вписывают в выдаваемую лицензию отдельные направле</w:t>
      </w:r>
      <w:r>
        <w:rPr>
          <w:rFonts w:ascii="Bookman Old Style" w:hAnsi="Bookman Old Style"/>
          <w:lang w:val="ru-RU"/>
        </w:rPr>
        <w:softHyphen/>
        <w:t>ния деятельности. Это представляется недопустимым. Полагаем, что в лицензию должны включаться по просьбе хозяйствующего субъекта все виды не запрещенных законом операций в пределах данного на</w:t>
      </w:r>
      <w:r>
        <w:rPr>
          <w:rFonts w:ascii="Bookman Old Style" w:hAnsi="Bookman Old Style"/>
          <w:lang w:val="ru-RU"/>
        </w:rPr>
        <w:softHyphen/>
        <w:t>правления деятельности, для ведения которых этот субъект представил необходимые обоснования.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Деятельность, на осуществление которой лицензия выдана феде</w:t>
      </w:r>
      <w:r>
        <w:rPr>
          <w:rFonts w:ascii="Bookman Old Style" w:hAnsi="Bookman Old Style"/>
          <w:lang w:val="ru-RU"/>
        </w:rPr>
        <w:softHyphen/>
        <w:t>ральными органами государственной власти, может осуществляться на всей территории Российской Федерации. Деятельность, на осуществление которой лицензия выдана лицензирующим органом субъекта РФ, может осуществляться на территории данного субъекта РФ. На территориях иных субъектов Российской Федерации такая деятельность может осуществ</w:t>
      </w:r>
      <w:r>
        <w:rPr>
          <w:rFonts w:ascii="Bookman Old Style" w:hAnsi="Bookman Old Style"/>
          <w:lang w:val="ru-RU"/>
        </w:rPr>
        <w:softHyphen/>
        <w:t>ляться при условии уведомления лицензиатом лицензирующих органов соответствующих субъектов РФ, если иное не установлено федеральными законами, вступившими в силу до момента вступления и силу Федерально</w:t>
      </w:r>
      <w:r>
        <w:rPr>
          <w:rFonts w:ascii="Bookman Old Style" w:hAnsi="Bookman Old Style"/>
          <w:lang w:val="ru-RU"/>
        </w:rPr>
        <w:softHyphen/>
        <w:t>го закона от 25 сентября 1998 г.</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Срок действия лицензии устанавливается положением о ли</w:t>
      </w:r>
      <w:r>
        <w:rPr>
          <w:rFonts w:ascii="Bookman Old Style" w:hAnsi="Bookman Old Style"/>
          <w:lang w:val="ru-RU"/>
        </w:rPr>
        <w:softHyphen/>
        <w:t>цензировании конкретного вида деятельности, но не может быть менее чем три года. Федеральными законами и положениями о лицензировании кон</w:t>
      </w:r>
      <w:r>
        <w:rPr>
          <w:rFonts w:ascii="Bookman Old Style" w:hAnsi="Bookman Old Style"/>
          <w:lang w:val="ru-RU"/>
        </w:rPr>
        <w:softHyphen/>
        <w:t>кретных видов деятельности может быть предусмотрено бессрочное дей</w:t>
      </w:r>
      <w:r>
        <w:rPr>
          <w:rFonts w:ascii="Bookman Old Style" w:hAnsi="Bookman Old Style"/>
          <w:lang w:val="ru-RU"/>
        </w:rPr>
        <w:softHyphen/>
        <w:t>ствие лицензии. Правда, по заявлению соискателя лицензии она может быть выдана и на срок менее чем три года.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xml:space="preserve">Сама </w:t>
      </w:r>
      <w:r>
        <w:rPr>
          <w:rFonts w:ascii="Bookman Old Style" w:hAnsi="Bookman Old Style"/>
          <w:u w:val="single"/>
          <w:lang w:val="ru-RU"/>
        </w:rPr>
        <w:t>процедура выдачи лицензии</w:t>
      </w:r>
      <w:r>
        <w:rPr>
          <w:rFonts w:ascii="Bookman Old Style" w:hAnsi="Bookman Old Style"/>
          <w:lang w:val="ru-RU"/>
        </w:rPr>
        <w:t xml:space="preserve"> состоит из нескольких этапов в зави</w:t>
      </w:r>
      <w:r>
        <w:rPr>
          <w:rFonts w:ascii="Bookman Old Style" w:hAnsi="Bookman Old Style"/>
          <w:lang w:val="ru-RU"/>
        </w:rPr>
        <w:softHyphen/>
        <w:t>симости от разрешительного или заявительного порядка. В наиболее раз</w:t>
      </w:r>
      <w:r>
        <w:rPr>
          <w:rFonts w:ascii="Bookman Old Style" w:hAnsi="Bookman Old Style"/>
          <w:lang w:val="ru-RU"/>
        </w:rPr>
        <w:softHyphen/>
        <w:t xml:space="preserve">вернутом виде можно выделить </w:t>
      </w:r>
      <w:r>
        <w:rPr>
          <w:rFonts w:ascii="Bookman Old Style" w:hAnsi="Bookman Old Style"/>
          <w:u w:val="single"/>
          <w:lang w:val="ru-RU"/>
        </w:rPr>
        <w:t>четыре этапа</w:t>
      </w:r>
      <w:r>
        <w:rPr>
          <w:rFonts w:ascii="Bookman Old Style" w:hAnsi="Bookman Old Style"/>
          <w:lang w:val="ru-RU"/>
        </w:rPr>
        <w:t>:</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а) подача предпринимателем соответствующих документов;</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б) экспертиза поданных документов специалистами, которая практи</w:t>
      </w:r>
      <w:r>
        <w:rPr>
          <w:rFonts w:ascii="Bookman Old Style" w:hAnsi="Bookman Old Style"/>
          <w:lang w:val="ru-RU"/>
        </w:rPr>
        <w:softHyphen/>
        <w:t>чески не регламентируется и полностью зависит от привлекаемых или используемых специалистов, более того, в некоторых территориальных актах предусматривается возможность отказа по квалификационному несоответствию, хотя критериев такого соответствия нормативные акты не предусматривают;</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в) выдача лицензии или отказ в выдаче, осуществляемые по определен</w:t>
      </w:r>
      <w:r>
        <w:rPr>
          <w:rFonts w:ascii="Bookman Old Style" w:hAnsi="Bookman Old Style"/>
          <w:lang w:val="ru-RU"/>
        </w:rPr>
        <w:softHyphen/>
        <w:t>ным правилам, предусматривающим, в частности, внесение лицензион</w:t>
      </w:r>
      <w:r>
        <w:rPr>
          <w:rFonts w:ascii="Bookman Old Style" w:hAnsi="Bookman Old Style"/>
          <w:lang w:val="ru-RU"/>
        </w:rPr>
        <w:softHyphen/>
        <w:t>ного сбора;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г) обжалование принятого решения предпринимателем, который вправе сделать это в судебно-арбитражном или административном порядке.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Лицензирование предпринимательской деятельности, как уже было сказано, предполагает последующий контроль за соблюдением лицензион</w:t>
      </w:r>
      <w:r>
        <w:rPr>
          <w:rFonts w:ascii="Bookman Old Style" w:hAnsi="Bookman Old Style"/>
          <w:lang w:val="ru-RU"/>
        </w:rPr>
        <w:softHyphen/>
        <w:t>ных условий и требований. Надзор за соблюдением лицензиатом лицензионных требований и условий осуществляется государственными надзор</w:t>
      </w:r>
      <w:r>
        <w:rPr>
          <w:rFonts w:ascii="Bookman Old Style" w:hAnsi="Bookman Old Style"/>
          <w:lang w:val="ru-RU"/>
        </w:rPr>
        <w:softHyphen/>
        <w:t>ными и контрольными органами, лицензирующими органами в пределах их компетенции.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Лицензирующие органы имеют право:</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проводить проверки деятельности лицензиата на предмет соответствия осуществляемой им деятельности лицензионным требованиям и усло</w:t>
      </w:r>
      <w:r>
        <w:rPr>
          <w:rFonts w:ascii="Bookman Old Style" w:hAnsi="Bookman Old Style"/>
          <w:lang w:val="ru-RU"/>
        </w:rPr>
        <w:softHyphen/>
        <w:t>виям;</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запрашивать и получать от лицензиата необходимые объяснения и справки по вопросам, возникающим при проведении проверок;</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составлять на основании результатов проверок акты (протоколы) с ука</w:t>
      </w:r>
      <w:r>
        <w:rPr>
          <w:rFonts w:ascii="Bookman Old Style" w:hAnsi="Bookman Old Style"/>
          <w:lang w:val="ru-RU"/>
        </w:rPr>
        <w:softHyphen/>
        <w:t>занием конкретных нарушений;</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выносить решения, обязывающие лицензиата устранить выявленные нарушения, устанавливать сроки их устранения;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выносить предупреждение лицензиату;</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осуществлять иные предусмотренные законодательством РФ полномо</w:t>
      </w:r>
      <w:r>
        <w:rPr>
          <w:rFonts w:ascii="Bookman Old Style" w:hAnsi="Bookman Old Style"/>
          <w:lang w:val="ru-RU"/>
        </w:rPr>
        <w:softHyphen/>
        <w:t>чия.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О выявлении нарушений лицензионных требований и условий госу</w:t>
      </w:r>
      <w:r>
        <w:rPr>
          <w:rFonts w:ascii="Bookman Old Style" w:hAnsi="Bookman Old Style"/>
          <w:lang w:val="ru-RU"/>
        </w:rPr>
        <w:softHyphen/>
        <w:t>дарственные органы обязаны сообщать лицензирующему органу, выдав</w:t>
      </w:r>
      <w:r>
        <w:rPr>
          <w:rFonts w:ascii="Bookman Old Style" w:hAnsi="Bookman Old Style"/>
          <w:lang w:val="ru-RU"/>
        </w:rPr>
        <w:softHyphen/>
        <w:t>шему лицензию. Порядок осуществления лицензирующими органами над</w:t>
      </w:r>
      <w:r>
        <w:rPr>
          <w:rFonts w:ascii="Bookman Old Style" w:hAnsi="Bookman Old Style"/>
          <w:lang w:val="ru-RU"/>
        </w:rPr>
        <w:softHyphen/>
        <w:t>зорных полномочий, в том числе взаимодействия с государственными над</w:t>
      </w:r>
      <w:r>
        <w:rPr>
          <w:rFonts w:ascii="Bookman Old Style" w:hAnsi="Bookman Old Style"/>
          <w:lang w:val="ru-RU"/>
        </w:rPr>
        <w:softHyphen/>
        <w:t>зорными и контрольными органами устанавливается законодательством РФ и положениями о лицензировании конкретных видов деятельности.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Основанием для рассмотрения дел о приостановлении действия или лишении, аннулировании лицензии являются представления о нару</w:t>
      </w:r>
      <w:r>
        <w:rPr>
          <w:rFonts w:ascii="Bookman Old Style" w:hAnsi="Bookman Old Style"/>
          <w:lang w:val="ru-RU"/>
        </w:rPr>
        <w:softHyphen/>
        <w:t>шении лицензионных условии: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органов государственного контроля (финансовой и торговой инспекций, санитарного, экологического, пожарного контроля, управлений ценовой политики, внутренних дел, антимонопольной политики и др.);</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отраслевых департаментов, комитетов, управлении;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префектур административных округов:</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Контрольного управления Московской лицензионной пала. ты или кон</w:t>
      </w:r>
      <w:r>
        <w:rPr>
          <w:rFonts w:ascii="Bookman Old Style" w:hAnsi="Bookman Old Style"/>
          <w:lang w:val="ru-RU"/>
        </w:rPr>
        <w:softHyphen/>
        <w:t>трольного подразделения органа лицензирования на основании прове</w:t>
      </w:r>
      <w:r>
        <w:rPr>
          <w:rFonts w:ascii="Bookman Old Style" w:hAnsi="Bookman Old Style"/>
          <w:lang w:val="ru-RU"/>
        </w:rPr>
        <w:softHyphen/>
        <w:t>денных проверок или выявленных фактов недостоверности данных и документов, представленных лицензиатом при получении лицензии;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лицензионных органов других субъектов Российской Федерации, на территории которых лицензиат нарушил лицензионные условия.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Материалы представленные для рассмотрения, должны содержать необходимые данные о юридическом лице или гражданине;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факты о нарушении лицензионных условий - законодательства, норма</w:t>
      </w:r>
      <w:r>
        <w:rPr>
          <w:rFonts w:ascii="Bookman Old Style" w:hAnsi="Bookman Old Style"/>
          <w:lang w:val="ru-RU"/>
        </w:rPr>
        <w:softHyphen/>
        <w:t>тивных актов, регламентирующих данный вид деятельности наложении взысканий городскими или территориальными контролирующими ор</w:t>
      </w:r>
      <w:r>
        <w:rPr>
          <w:rFonts w:ascii="Bookman Old Style" w:hAnsi="Bookman Old Style"/>
          <w:lang w:val="ru-RU"/>
        </w:rPr>
        <w:softHyphen/>
        <w:t>ганами за выявленные нарушения;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предлагаемую меру воздействия.</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Руководитель лицензионного органа принимает решение: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 направлении материалов в Экспертный совет (комиссию) для рас</w:t>
      </w:r>
      <w:r>
        <w:rPr>
          <w:rFonts w:ascii="Bookman Old Style" w:hAnsi="Bookman Old Style"/>
          <w:lang w:val="ru-RU"/>
        </w:rPr>
        <w:softHyphen/>
        <w:t>смотрения дела по существу;</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 затребовании дополнительной информации или проведении дополни</w:t>
      </w:r>
      <w:r>
        <w:rPr>
          <w:rFonts w:ascii="Bookman Old Style" w:hAnsi="Bookman Old Style"/>
          <w:lang w:val="ru-RU"/>
        </w:rPr>
        <w:softHyphen/>
        <w:t>тельной экспертизы;</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о прекращении дела.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Рассмотрение дела на Экспертном совете (комиссии) осуществляется коллегиально в присутствии органа, направившего прел. старение о рас</w:t>
      </w:r>
      <w:r>
        <w:rPr>
          <w:rFonts w:ascii="Bookman Old Style" w:hAnsi="Bookman Old Style"/>
          <w:lang w:val="ru-RU"/>
        </w:rPr>
        <w:softHyphen/>
        <w:t>смотрении дела, и лица. действие лицензии которого рассматривается. В заседании могут участвовать представители органов управления админи</w:t>
      </w:r>
      <w:r>
        <w:rPr>
          <w:rFonts w:ascii="Bookman Old Style" w:hAnsi="Bookman Old Style"/>
          <w:lang w:val="ru-RU"/>
        </w:rPr>
        <w:softHyphen/>
        <w:t>стративного (муниципального) округа, на территории которого лицензи</w:t>
      </w:r>
      <w:r>
        <w:rPr>
          <w:rFonts w:ascii="Bookman Old Style" w:hAnsi="Bookman Old Style"/>
          <w:lang w:val="ru-RU"/>
        </w:rPr>
        <w:softHyphen/>
        <w:t>ат осуществляет свою деятельность.</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Экспертный совет (комиссия) может вынести заключение о:</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закрытии дела;</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приостановлении действия лицензии;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лишении лицензии;</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 аннулировании лицензии.</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Bookman Old Style" w:hAnsi="Bookman Old Style"/>
          <w:lang w:val="ru-RU"/>
        </w:rPr>
        <w:t>Орган лицензирования, принявший решение о приостановлении или лишении, аннулировании регистрации лицензии, выданной лицензионным органом другого субъекта Российской Федерации, передает эти сведения в лицензионный орган, выдавший лицензию, в установленном порядке.</w:t>
      </w:r>
    </w:p>
    <w:p w:rsidR="00CD7642" w:rsidRDefault="00CD7642">
      <w:pPr>
        <w:spacing w:line="360" w:lineRule="auto"/>
        <w:ind w:left="-360" w:right="-720"/>
        <w:rPr>
          <w:rFonts w:ascii="Bookman Old Style" w:hAnsi="Bookman Old Style"/>
          <w:lang w:val="ru-RU"/>
        </w:rPr>
      </w:pPr>
      <w:r>
        <w:rPr>
          <w:rFonts w:ascii="Bookman Old Style" w:hAnsi="Bookman Old Style"/>
          <w:lang w:val="ru-RU"/>
        </w:rPr>
        <w:t>Но законодательство не предусматривает развернутой ответственно</w:t>
      </w:r>
      <w:r>
        <w:rPr>
          <w:rFonts w:ascii="Bookman Old Style" w:hAnsi="Bookman Old Style"/>
          <w:lang w:val="ru-RU"/>
        </w:rPr>
        <w:softHyphen/>
        <w:t>сти должностных лиц органов государственного контроля. Очевидно, здесь можно применять общие нормы, позволяющие ставить вопрос о возмещении ущерба. Однако этого явно недостаточно. Более того, необхо</w:t>
      </w:r>
      <w:r>
        <w:rPr>
          <w:rFonts w:ascii="Bookman Old Style" w:hAnsi="Bookman Old Style"/>
          <w:lang w:val="ru-RU"/>
        </w:rPr>
        <w:softHyphen/>
        <w:t>димо не столько регламентировать саму ответственность, сколько воз</w:t>
      </w:r>
      <w:r>
        <w:rPr>
          <w:rFonts w:ascii="Bookman Old Style" w:hAnsi="Bookman Old Style"/>
          <w:lang w:val="ru-RU"/>
        </w:rPr>
        <w:softHyphen/>
        <w:t>можности вмешательства в саму предпринимательскую деятельность.</w:t>
      </w:r>
    </w:p>
    <w:p w:rsidR="00CD7642" w:rsidRDefault="00CD7642">
      <w:pPr>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tabs>
          <w:tab w:val="left" w:pos="-540"/>
        </w:tabs>
        <w:spacing w:line="360" w:lineRule="auto"/>
        <w:ind w:left="-360" w:right="-720"/>
        <w:rPr>
          <w:rFonts w:ascii="Bookman Old Style" w:hAnsi="Bookman Old Style"/>
          <w:lang w:val="ru-RU"/>
        </w:rPr>
      </w:pPr>
    </w:p>
    <w:p w:rsidR="00CD7642" w:rsidRDefault="00CD7642">
      <w:pPr>
        <w:numPr>
          <w:ilvl w:val="0"/>
          <w:numId w:val="2"/>
        </w:numPr>
        <w:tabs>
          <w:tab w:val="clear" w:pos="792"/>
          <w:tab w:val="left" w:pos="-540"/>
          <w:tab w:val="num" w:pos="0"/>
        </w:tabs>
        <w:spacing w:line="360" w:lineRule="auto"/>
        <w:ind w:left="-1080" w:right="-720"/>
        <w:jc w:val="center"/>
        <w:rPr>
          <w:rFonts w:ascii="Bookman Old Style" w:hAnsi="Bookman Old Style"/>
          <w:lang w:val="ru-RU"/>
        </w:rPr>
      </w:pPr>
      <w:r>
        <w:rPr>
          <w:rFonts w:ascii="Bookman Old Style" w:hAnsi="Bookman Old Style"/>
          <w:lang w:val="ru-RU"/>
        </w:rPr>
        <w:t xml:space="preserve">ЗАКЛЮЧЕНИЕ. </w:t>
      </w:r>
    </w:p>
    <w:p w:rsidR="00CD7642" w:rsidRDefault="00CD7642">
      <w:pPr>
        <w:tabs>
          <w:tab w:val="left" w:pos="-540"/>
        </w:tabs>
        <w:spacing w:line="360" w:lineRule="auto"/>
        <w:ind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r>
        <w:rPr>
          <w:rFonts w:ascii="Arial" w:hAnsi="Arial"/>
          <w:lang w:val="ru-RU"/>
        </w:rPr>
        <w:t xml:space="preserve">В </w:t>
      </w:r>
      <w:r>
        <w:rPr>
          <w:rFonts w:ascii="Bookman Old Style" w:hAnsi="Bookman Old Style"/>
          <w:lang w:val="ru-RU"/>
        </w:rPr>
        <w:t>заключении необходимо отметить, что само положение, когда свободные предприниматели получают выход на  рынки, которые ранее контролировались исключительно государством, вызывает оптимизм. Государственное регулирование, без сомнения, необходимо, весь вопрос состоит в том, какие формы примет такое регулирование. Наивно было бы полагать, что функционирование столь важных отраслей экономики может обойтись без непосредственного участия государства, да этого  и  не требуется. Однако, если ранее государство просто не разрешало какую-либо деятельность  на таких рынках, то сейчас регулирование принимает цивилизованные формы - формы лицензирования, что принято во всем мире. Такое положение  вещей доказывает, что коренная перестройка экономики действительно происходит, а это скорее всего самое важное на данный момент.</w:t>
      </w: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rPr>
          <w:rFonts w:ascii="Bookman Old Style" w:hAnsi="Bookman Old Style"/>
          <w:lang w:val="ru-RU"/>
        </w:rPr>
      </w:pPr>
    </w:p>
    <w:p w:rsidR="00CD7642" w:rsidRDefault="00CD7642">
      <w:pPr>
        <w:spacing w:line="360" w:lineRule="auto"/>
        <w:ind w:left="-360" w:right="-720"/>
        <w:jc w:val="center"/>
        <w:rPr>
          <w:rFonts w:ascii="Bookman Old Style" w:hAnsi="Bookman Old Style"/>
          <w:lang w:val="ru-RU"/>
        </w:rPr>
      </w:pPr>
      <w:r>
        <w:rPr>
          <w:rFonts w:ascii="Bookman Old Style" w:hAnsi="Bookman Old Style"/>
          <w:lang w:val="ru-RU"/>
        </w:rPr>
        <w:t>ЛИТЕРАТУРА</w:t>
      </w:r>
    </w:p>
    <w:p w:rsidR="00CD7642" w:rsidRDefault="00CD7642">
      <w:pPr>
        <w:spacing w:line="360" w:lineRule="auto"/>
        <w:ind w:left="-360" w:right="-720"/>
        <w:jc w:val="center"/>
        <w:rPr>
          <w:rFonts w:ascii="Bookman Old Style" w:hAnsi="Bookman Old Style"/>
          <w:lang w:val="ru-RU"/>
        </w:rPr>
      </w:pPr>
    </w:p>
    <w:p w:rsidR="00CD7642" w:rsidRDefault="00CD7642">
      <w:pPr>
        <w:numPr>
          <w:ilvl w:val="0"/>
          <w:numId w:val="23"/>
        </w:numPr>
        <w:spacing w:line="360" w:lineRule="auto"/>
        <w:jc w:val="both"/>
        <w:rPr>
          <w:rFonts w:ascii="Bookman Old Style" w:hAnsi="Bookman Old Style"/>
          <w:lang w:val="ru-RU"/>
        </w:rPr>
      </w:pPr>
      <w:r>
        <w:rPr>
          <w:rFonts w:ascii="Bookman Old Style" w:hAnsi="Bookman Old Style"/>
          <w:lang w:val="ru-RU"/>
        </w:rPr>
        <w:t>Письмо ГТК России от 3 ноября 1994 г. № 01-13/12463 "О декларантах на основе договора и специалистах по таможенному оформлению".</w:t>
      </w:r>
    </w:p>
    <w:p w:rsidR="00CD7642" w:rsidRDefault="00CD7642">
      <w:pPr>
        <w:numPr>
          <w:ilvl w:val="0"/>
          <w:numId w:val="23"/>
        </w:numPr>
        <w:spacing w:line="360" w:lineRule="auto"/>
        <w:jc w:val="both"/>
        <w:rPr>
          <w:rFonts w:ascii="Arial" w:hAnsi="Arial"/>
          <w:lang w:val="ru-RU"/>
        </w:rPr>
      </w:pPr>
      <w:r>
        <w:rPr>
          <w:rFonts w:ascii="Bookman Old Style" w:hAnsi="Bookman Old Style"/>
          <w:lang w:val="ru-RU"/>
        </w:rPr>
        <w:t>Письмо ГТК России от 5 декабря 1994 г. № 01-13/13754 "О выдаче разрешений на ввоз отдельных товаров в Российскую Федерацию для переработки".</w:t>
      </w:r>
    </w:p>
    <w:p w:rsidR="00CD7642" w:rsidRDefault="00CD7642">
      <w:pPr>
        <w:numPr>
          <w:ilvl w:val="0"/>
          <w:numId w:val="23"/>
        </w:numPr>
        <w:spacing w:line="360" w:lineRule="auto"/>
        <w:jc w:val="both"/>
        <w:rPr>
          <w:rFonts w:ascii="Bookman Old Style" w:hAnsi="Bookman Old Style"/>
          <w:lang w:val="ru-RU"/>
        </w:rPr>
      </w:pPr>
      <w:r>
        <w:rPr>
          <w:rFonts w:ascii="Bookman Old Style" w:hAnsi="Bookman Old Style"/>
          <w:lang w:val="ru-RU"/>
        </w:rPr>
        <w:t>www.fedcom.ru</w:t>
      </w:r>
    </w:p>
    <w:p w:rsidR="00CD7642" w:rsidRDefault="00CD7642">
      <w:pPr>
        <w:numPr>
          <w:ilvl w:val="0"/>
          <w:numId w:val="23"/>
        </w:numPr>
        <w:spacing w:line="360" w:lineRule="auto"/>
        <w:jc w:val="both"/>
        <w:rPr>
          <w:rFonts w:ascii="Bookman Old Style" w:hAnsi="Bookman Old Style"/>
          <w:lang w:val="ru-RU"/>
        </w:rPr>
      </w:pPr>
      <w:r>
        <w:rPr>
          <w:rFonts w:ascii="Bookman Old Style" w:hAnsi="Bookman Old Style"/>
          <w:lang w:val="ru-RU"/>
        </w:rPr>
        <w:t>www.sbcinfo.ru</w:t>
      </w:r>
    </w:p>
    <w:p w:rsidR="00CD7642" w:rsidRDefault="00CD7642">
      <w:pPr>
        <w:numPr>
          <w:ilvl w:val="0"/>
          <w:numId w:val="23"/>
        </w:numPr>
        <w:spacing w:line="360" w:lineRule="auto"/>
        <w:jc w:val="both"/>
        <w:rPr>
          <w:rFonts w:ascii="Arial" w:hAnsi="Arial"/>
          <w:lang w:val="ru-RU"/>
        </w:rPr>
      </w:pPr>
      <w:r>
        <w:rPr>
          <w:rFonts w:ascii="Bookman Old Style" w:hAnsi="Bookman Old Style"/>
          <w:lang w:val="ru-RU"/>
        </w:rPr>
        <w:t>www.infoport.ru</w:t>
      </w:r>
    </w:p>
    <w:p w:rsidR="00CD7642" w:rsidRDefault="00CD7642">
      <w:pPr>
        <w:spacing w:line="360" w:lineRule="auto"/>
        <w:ind w:left="-360" w:right="-720"/>
        <w:jc w:val="center"/>
        <w:rPr>
          <w:rFonts w:ascii="Bookman Old Style" w:hAnsi="Bookman Old Style"/>
          <w:lang w:val="ru-RU"/>
        </w:rPr>
      </w:pPr>
    </w:p>
    <w:p w:rsidR="00CD7642" w:rsidRDefault="00CD7642">
      <w:pPr>
        <w:spacing w:line="360" w:lineRule="auto"/>
        <w:ind w:left="-360" w:right="-720"/>
        <w:rPr>
          <w:rFonts w:ascii="Bookman Old Style" w:hAnsi="Bookman Old Style"/>
          <w:lang w:val="ru-RU"/>
        </w:rPr>
      </w:pPr>
      <w:bookmarkStart w:id="0" w:name="_GoBack"/>
      <w:bookmarkEnd w:id="0"/>
    </w:p>
    <w:sectPr w:rsidR="00CD7642">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42" w:rsidRDefault="00CD7642">
      <w:r>
        <w:separator/>
      </w:r>
    </w:p>
  </w:endnote>
  <w:endnote w:type="continuationSeparator" w:id="0">
    <w:p w:rsidR="00CD7642" w:rsidRDefault="00CD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ZapfDingbats">
    <w:panose1 w:val="00000000000000000000"/>
    <w:charset w:val="02"/>
    <w:family w:val="decorative"/>
    <w:notTrueType/>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42" w:rsidRDefault="00CD7642">
    <w:pPr>
      <w:pStyle w:val="a7"/>
      <w:framePr w:wrap="around" w:vAnchor="text" w:hAnchor="margin" w:xAlign="right" w:y="1"/>
      <w:rPr>
        <w:rStyle w:val="a8"/>
      </w:rPr>
    </w:pPr>
  </w:p>
  <w:p w:rsidR="00CD7642" w:rsidRDefault="00CD76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42" w:rsidRDefault="006E42C2">
    <w:pPr>
      <w:pStyle w:val="a7"/>
      <w:framePr w:wrap="around" w:vAnchor="text" w:hAnchor="margin" w:xAlign="right" w:y="1"/>
      <w:rPr>
        <w:rStyle w:val="a8"/>
      </w:rPr>
    </w:pPr>
    <w:r>
      <w:rPr>
        <w:rStyle w:val="a8"/>
        <w:noProof/>
      </w:rPr>
      <w:t>1</w:t>
    </w:r>
  </w:p>
  <w:p w:rsidR="00CD7642" w:rsidRDefault="00CD764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42" w:rsidRDefault="00CD7642">
      <w:r>
        <w:separator/>
      </w:r>
    </w:p>
  </w:footnote>
  <w:footnote w:type="continuationSeparator" w:id="0">
    <w:p w:rsidR="00CD7642" w:rsidRDefault="00CD7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E45E60"/>
    <w:lvl w:ilvl="0">
      <w:numFmt w:val="decimal"/>
      <w:lvlText w:val="*"/>
      <w:lvlJc w:val="left"/>
    </w:lvl>
  </w:abstractNum>
  <w:abstractNum w:abstractNumId="1">
    <w:nsid w:val="008A4F2A"/>
    <w:multiLevelType w:val="hybridMultilevel"/>
    <w:tmpl w:val="A874EA22"/>
    <w:lvl w:ilvl="0" w:tplc="9808D3F0">
      <w:start w:val="1"/>
      <w:numFmt w:val="bullet"/>
      <w:lvlText w:val=""/>
      <w:lvlJc w:val="left"/>
      <w:pPr>
        <w:tabs>
          <w:tab w:val="num" w:pos="720"/>
        </w:tabs>
        <w:ind w:left="720" w:hanging="360"/>
      </w:pPr>
      <w:rPr>
        <w:rFonts w:ascii="Wingdings" w:hAnsi="Wingdings" w:hint="default"/>
        <w:sz w:val="20"/>
      </w:rPr>
    </w:lvl>
    <w:lvl w:ilvl="1" w:tplc="2C621116" w:tentative="1">
      <w:start w:val="1"/>
      <w:numFmt w:val="bullet"/>
      <w:lvlText w:val=""/>
      <w:lvlJc w:val="left"/>
      <w:pPr>
        <w:tabs>
          <w:tab w:val="num" w:pos="1440"/>
        </w:tabs>
        <w:ind w:left="1440" w:hanging="360"/>
      </w:pPr>
      <w:rPr>
        <w:rFonts w:ascii="Wingdings" w:hAnsi="Wingdings" w:hint="default"/>
        <w:sz w:val="20"/>
      </w:rPr>
    </w:lvl>
    <w:lvl w:ilvl="2" w:tplc="DD06ABB4" w:tentative="1">
      <w:start w:val="1"/>
      <w:numFmt w:val="bullet"/>
      <w:lvlText w:val=""/>
      <w:lvlJc w:val="left"/>
      <w:pPr>
        <w:tabs>
          <w:tab w:val="num" w:pos="2160"/>
        </w:tabs>
        <w:ind w:left="2160" w:hanging="360"/>
      </w:pPr>
      <w:rPr>
        <w:rFonts w:ascii="Wingdings" w:hAnsi="Wingdings" w:hint="default"/>
        <w:sz w:val="20"/>
      </w:rPr>
    </w:lvl>
    <w:lvl w:ilvl="3" w:tplc="9D4AA04C" w:tentative="1">
      <w:start w:val="1"/>
      <w:numFmt w:val="bullet"/>
      <w:lvlText w:val=""/>
      <w:lvlJc w:val="left"/>
      <w:pPr>
        <w:tabs>
          <w:tab w:val="num" w:pos="2880"/>
        </w:tabs>
        <w:ind w:left="2880" w:hanging="360"/>
      </w:pPr>
      <w:rPr>
        <w:rFonts w:ascii="Wingdings" w:hAnsi="Wingdings" w:hint="default"/>
        <w:sz w:val="20"/>
      </w:rPr>
    </w:lvl>
    <w:lvl w:ilvl="4" w:tplc="1D9EBECE" w:tentative="1">
      <w:start w:val="1"/>
      <w:numFmt w:val="bullet"/>
      <w:lvlText w:val=""/>
      <w:lvlJc w:val="left"/>
      <w:pPr>
        <w:tabs>
          <w:tab w:val="num" w:pos="3600"/>
        </w:tabs>
        <w:ind w:left="3600" w:hanging="360"/>
      </w:pPr>
      <w:rPr>
        <w:rFonts w:ascii="Wingdings" w:hAnsi="Wingdings" w:hint="default"/>
        <w:sz w:val="20"/>
      </w:rPr>
    </w:lvl>
    <w:lvl w:ilvl="5" w:tplc="798A390E" w:tentative="1">
      <w:start w:val="1"/>
      <w:numFmt w:val="bullet"/>
      <w:lvlText w:val=""/>
      <w:lvlJc w:val="left"/>
      <w:pPr>
        <w:tabs>
          <w:tab w:val="num" w:pos="4320"/>
        </w:tabs>
        <w:ind w:left="4320" w:hanging="360"/>
      </w:pPr>
      <w:rPr>
        <w:rFonts w:ascii="Wingdings" w:hAnsi="Wingdings" w:hint="default"/>
        <w:sz w:val="20"/>
      </w:rPr>
    </w:lvl>
    <w:lvl w:ilvl="6" w:tplc="348433FE" w:tentative="1">
      <w:start w:val="1"/>
      <w:numFmt w:val="bullet"/>
      <w:lvlText w:val=""/>
      <w:lvlJc w:val="left"/>
      <w:pPr>
        <w:tabs>
          <w:tab w:val="num" w:pos="5040"/>
        </w:tabs>
        <w:ind w:left="5040" w:hanging="360"/>
      </w:pPr>
      <w:rPr>
        <w:rFonts w:ascii="Wingdings" w:hAnsi="Wingdings" w:hint="default"/>
        <w:sz w:val="20"/>
      </w:rPr>
    </w:lvl>
    <w:lvl w:ilvl="7" w:tplc="07E086DE" w:tentative="1">
      <w:start w:val="1"/>
      <w:numFmt w:val="bullet"/>
      <w:lvlText w:val=""/>
      <w:lvlJc w:val="left"/>
      <w:pPr>
        <w:tabs>
          <w:tab w:val="num" w:pos="5760"/>
        </w:tabs>
        <w:ind w:left="5760" w:hanging="360"/>
      </w:pPr>
      <w:rPr>
        <w:rFonts w:ascii="Wingdings" w:hAnsi="Wingdings" w:hint="default"/>
        <w:sz w:val="20"/>
      </w:rPr>
    </w:lvl>
    <w:lvl w:ilvl="8" w:tplc="7032A5EE"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A6942"/>
    <w:multiLevelType w:val="hybridMultilevel"/>
    <w:tmpl w:val="0F488A2A"/>
    <w:lvl w:ilvl="0" w:tplc="04090009">
      <w:start w:val="1"/>
      <w:numFmt w:val="bullet"/>
      <w:lvlText w:val=""/>
      <w:lvlJc w:val="left"/>
      <w:pPr>
        <w:tabs>
          <w:tab w:val="num" w:pos="144"/>
        </w:tabs>
        <w:ind w:left="144"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942A04"/>
    <w:multiLevelType w:val="hybridMultilevel"/>
    <w:tmpl w:val="16A89BA8"/>
    <w:lvl w:ilvl="0" w:tplc="3FA89732">
      <w:start w:val="11"/>
      <w:numFmt w:val="bullet"/>
      <w:lvlText w:val="-"/>
      <w:lvlJc w:val="left"/>
      <w:pPr>
        <w:tabs>
          <w:tab w:val="num" w:pos="360"/>
        </w:tabs>
        <w:ind w:left="0" w:firstLine="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1F32C4"/>
    <w:multiLevelType w:val="hybridMultilevel"/>
    <w:tmpl w:val="749013E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ECF1263"/>
    <w:multiLevelType w:val="hybridMultilevel"/>
    <w:tmpl w:val="488A5636"/>
    <w:lvl w:ilvl="0" w:tplc="C25857B2">
      <w:start w:val="1"/>
      <w:numFmt w:val="decimal"/>
      <w:lvlText w:val="%1."/>
      <w:lvlJc w:val="left"/>
      <w:pPr>
        <w:tabs>
          <w:tab w:val="num" w:pos="720"/>
        </w:tabs>
        <w:ind w:left="720" w:hanging="360"/>
      </w:pPr>
    </w:lvl>
    <w:lvl w:ilvl="1" w:tplc="A516A5F4">
      <w:start w:val="1"/>
      <w:numFmt w:val="bullet"/>
      <w:lvlText w:val=""/>
      <w:lvlJc w:val="left"/>
      <w:pPr>
        <w:tabs>
          <w:tab w:val="num" w:pos="1440"/>
        </w:tabs>
        <w:ind w:left="1440" w:hanging="360"/>
      </w:pPr>
      <w:rPr>
        <w:rFonts w:ascii="Wingdings" w:hAnsi="Wingdings" w:hint="default"/>
        <w:sz w:val="20"/>
      </w:rPr>
    </w:lvl>
    <w:lvl w:ilvl="2" w:tplc="07164498" w:tentative="1">
      <w:start w:val="1"/>
      <w:numFmt w:val="decimal"/>
      <w:lvlText w:val="%3."/>
      <w:lvlJc w:val="left"/>
      <w:pPr>
        <w:tabs>
          <w:tab w:val="num" w:pos="2160"/>
        </w:tabs>
        <w:ind w:left="2160" w:hanging="360"/>
      </w:pPr>
    </w:lvl>
    <w:lvl w:ilvl="3" w:tplc="D0748D40" w:tentative="1">
      <w:start w:val="1"/>
      <w:numFmt w:val="decimal"/>
      <w:lvlText w:val="%4."/>
      <w:lvlJc w:val="left"/>
      <w:pPr>
        <w:tabs>
          <w:tab w:val="num" w:pos="2880"/>
        </w:tabs>
        <w:ind w:left="2880" w:hanging="360"/>
      </w:pPr>
    </w:lvl>
    <w:lvl w:ilvl="4" w:tplc="6630AA5A" w:tentative="1">
      <w:start w:val="1"/>
      <w:numFmt w:val="decimal"/>
      <w:lvlText w:val="%5."/>
      <w:lvlJc w:val="left"/>
      <w:pPr>
        <w:tabs>
          <w:tab w:val="num" w:pos="3600"/>
        </w:tabs>
        <w:ind w:left="3600" w:hanging="360"/>
      </w:pPr>
    </w:lvl>
    <w:lvl w:ilvl="5" w:tplc="DF709084" w:tentative="1">
      <w:start w:val="1"/>
      <w:numFmt w:val="decimal"/>
      <w:lvlText w:val="%6."/>
      <w:lvlJc w:val="left"/>
      <w:pPr>
        <w:tabs>
          <w:tab w:val="num" w:pos="4320"/>
        </w:tabs>
        <w:ind w:left="4320" w:hanging="360"/>
      </w:pPr>
    </w:lvl>
    <w:lvl w:ilvl="6" w:tplc="9FD63FCC" w:tentative="1">
      <w:start w:val="1"/>
      <w:numFmt w:val="decimal"/>
      <w:lvlText w:val="%7."/>
      <w:lvlJc w:val="left"/>
      <w:pPr>
        <w:tabs>
          <w:tab w:val="num" w:pos="5040"/>
        </w:tabs>
        <w:ind w:left="5040" w:hanging="360"/>
      </w:pPr>
    </w:lvl>
    <w:lvl w:ilvl="7" w:tplc="E11C8390" w:tentative="1">
      <w:start w:val="1"/>
      <w:numFmt w:val="decimal"/>
      <w:lvlText w:val="%8."/>
      <w:lvlJc w:val="left"/>
      <w:pPr>
        <w:tabs>
          <w:tab w:val="num" w:pos="5760"/>
        </w:tabs>
        <w:ind w:left="5760" w:hanging="360"/>
      </w:pPr>
    </w:lvl>
    <w:lvl w:ilvl="8" w:tplc="8F7284B2" w:tentative="1">
      <w:start w:val="1"/>
      <w:numFmt w:val="decimal"/>
      <w:lvlText w:val="%9."/>
      <w:lvlJc w:val="left"/>
      <w:pPr>
        <w:tabs>
          <w:tab w:val="num" w:pos="6480"/>
        </w:tabs>
        <w:ind w:left="6480" w:hanging="360"/>
      </w:pPr>
    </w:lvl>
  </w:abstractNum>
  <w:abstractNum w:abstractNumId="6">
    <w:nsid w:val="230F3503"/>
    <w:multiLevelType w:val="hybridMultilevel"/>
    <w:tmpl w:val="02F86306"/>
    <w:lvl w:ilvl="0" w:tplc="B5CCE352">
      <w:start w:val="1"/>
      <w:numFmt w:val="decimal"/>
      <w:lvlText w:val="%1."/>
      <w:lvlJc w:val="left"/>
      <w:pPr>
        <w:tabs>
          <w:tab w:val="num" w:pos="432"/>
        </w:tabs>
        <w:ind w:left="-360" w:firstLine="432"/>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C025F9"/>
    <w:multiLevelType w:val="hybridMultilevel"/>
    <w:tmpl w:val="BC882BA2"/>
    <w:lvl w:ilvl="0" w:tplc="B5CCE352">
      <w:start w:val="1"/>
      <w:numFmt w:val="decimal"/>
      <w:lvlText w:val="%1."/>
      <w:lvlJc w:val="left"/>
      <w:pPr>
        <w:tabs>
          <w:tab w:val="num" w:pos="144"/>
        </w:tabs>
        <w:ind w:left="-648" w:firstLine="432"/>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593A8A"/>
    <w:multiLevelType w:val="hybridMultilevel"/>
    <w:tmpl w:val="16A89BA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163810"/>
    <w:multiLevelType w:val="hybridMultilevel"/>
    <w:tmpl w:val="0F488A2A"/>
    <w:lvl w:ilvl="0" w:tplc="3FA89732">
      <w:start w:val="11"/>
      <w:numFmt w:val="bullet"/>
      <w:lvlText w:val="-"/>
      <w:lvlJc w:val="left"/>
      <w:pPr>
        <w:tabs>
          <w:tab w:val="num" w:pos="144"/>
        </w:tabs>
        <w:ind w:left="-216" w:firstLine="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3B61C97"/>
    <w:multiLevelType w:val="hybridMultilevel"/>
    <w:tmpl w:val="0F769260"/>
    <w:lvl w:ilvl="0" w:tplc="B5CCE352">
      <w:start w:val="1"/>
      <w:numFmt w:val="decimal"/>
      <w:lvlText w:val="%1."/>
      <w:lvlJc w:val="left"/>
      <w:pPr>
        <w:tabs>
          <w:tab w:val="num" w:pos="792"/>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0C2ACB"/>
    <w:multiLevelType w:val="singleLevel"/>
    <w:tmpl w:val="93FC913E"/>
    <w:lvl w:ilvl="0">
      <w:start w:val="1"/>
      <w:numFmt w:val="decimal"/>
      <w:lvlText w:val="%1."/>
      <w:legacy w:legacy="1" w:legacySpace="0" w:legacyIndent="360"/>
      <w:lvlJc w:val="left"/>
      <w:pPr>
        <w:ind w:left="360" w:hanging="360"/>
      </w:pPr>
    </w:lvl>
  </w:abstractNum>
  <w:abstractNum w:abstractNumId="12">
    <w:nsid w:val="3A5E6348"/>
    <w:multiLevelType w:val="hybridMultilevel"/>
    <w:tmpl w:val="15A6FDAA"/>
    <w:lvl w:ilvl="0" w:tplc="B5CCE352">
      <w:start w:val="1"/>
      <w:numFmt w:val="decimal"/>
      <w:lvlText w:val="%1."/>
      <w:lvlJc w:val="left"/>
      <w:pPr>
        <w:tabs>
          <w:tab w:val="num" w:pos="792"/>
        </w:tabs>
        <w:ind w:left="0" w:firstLine="432"/>
      </w:pPr>
      <w:rPr>
        <w:rFonts w:hint="default"/>
      </w:r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3">
    <w:nsid w:val="3DAF16C5"/>
    <w:multiLevelType w:val="singleLevel"/>
    <w:tmpl w:val="93FC913E"/>
    <w:lvl w:ilvl="0">
      <w:start w:val="1"/>
      <w:numFmt w:val="decimal"/>
      <w:lvlText w:val="%1."/>
      <w:legacy w:legacy="1" w:legacySpace="0" w:legacyIndent="360"/>
      <w:lvlJc w:val="left"/>
      <w:pPr>
        <w:ind w:left="360" w:hanging="360"/>
      </w:pPr>
    </w:lvl>
  </w:abstractNum>
  <w:abstractNum w:abstractNumId="14">
    <w:nsid w:val="3EE766F4"/>
    <w:multiLevelType w:val="hybridMultilevel"/>
    <w:tmpl w:val="B3A2EDC4"/>
    <w:lvl w:ilvl="0" w:tplc="04090009">
      <w:start w:val="1"/>
      <w:numFmt w:val="bullet"/>
      <w:lvlText w:val=""/>
      <w:lvlJc w:val="left"/>
      <w:pPr>
        <w:tabs>
          <w:tab w:val="num" w:pos="360"/>
        </w:tabs>
        <w:ind w:left="360" w:hanging="360"/>
      </w:pPr>
      <w:rPr>
        <w:rFonts w:ascii="Wingdings" w:hAnsi="Wingdings" w:hint="default"/>
      </w:rPr>
    </w:lvl>
    <w:lvl w:ilvl="1" w:tplc="B5CCE352">
      <w:start w:val="1"/>
      <w:numFmt w:val="decimal"/>
      <w:lvlText w:val="%2."/>
      <w:lvlJc w:val="left"/>
      <w:pPr>
        <w:tabs>
          <w:tab w:val="num" w:pos="1080"/>
        </w:tabs>
        <w:ind w:left="288" w:firstLine="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5D01140"/>
    <w:multiLevelType w:val="hybridMultilevel"/>
    <w:tmpl w:val="E5D0FF9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386F51"/>
    <w:multiLevelType w:val="hybridMultilevel"/>
    <w:tmpl w:val="A99AF9E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CE7662"/>
    <w:multiLevelType w:val="singleLevel"/>
    <w:tmpl w:val="18B40888"/>
    <w:lvl w:ilvl="0">
      <w:start w:val="1"/>
      <w:numFmt w:val="bullet"/>
      <w:lvlText w:val=""/>
      <w:lvlJc w:val="left"/>
      <w:pPr>
        <w:tabs>
          <w:tab w:val="num" w:pos="360"/>
        </w:tabs>
        <w:ind w:left="360" w:hanging="360"/>
      </w:pPr>
      <w:rPr>
        <w:rFonts w:ascii="ZapfDingbats" w:hAnsi="ZapfDingbats" w:hint="default"/>
      </w:rPr>
    </w:lvl>
  </w:abstractNum>
  <w:abstractNum w:abstractNumId="18">
    <w:nsid w:val="57966C8D"/>
    <w:multiLevelType w:val="singleLevel"/>
    <w:tmpl w:val="3BFA4C1C"/>
    <w:lvl w:ilvl="0">
      <w:start w:val="1"/>
      <w:numFmt w:val="decimal"/>
      <w:lvlText w:val="%1."/>
      <w:legacy w:legacy="1" w:legacySpace="0" w:legacyIndent="360"/>
      <w:lvlJc w:val="left"/>
      <w:pPr>
        <w:ind w:left="360" w:hanging="360"/>
      </w:pPr>
    </w:lvl>
  </w:abstractNum>
  <w:abstractNum w:abstractNumId="19">
    <w:nsid w:val="6AB449D2"/>
    <w:multiLevelType w:val="hybridMultilevel"/>
    <w:tmpl w:val="809447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F9A427E"/>
    <w:multiLevelType w:val="singleLevel"/>
    <w:tmpl w:val="25AEF91C"/>
    <w:lvl w:ilvl="0">
      <w:start w:val="1"/>
      <w:numFmt w:val="decimal"/>
      <w:lvlText w:val="%1."/>
      <w:legacy w:legacy="1" w:legacySpace="0" w:legacyIndent="283"/>
      <w:lvlJc w:val="left"/>
      <w:pPr>
        <w:ind w:left="283" w:hanging="283"/>
      </w:pPr>
    </w:lvl>
  </w:abstractNum>
  <w:abstractNum w:abstractNumId="21">
    <w:nsid w:val="70BB10ED"/>
    <w:multiLevelType w:val="hybridMultilevel"/>
    <w:tmpl w:val="BC882BA2"/>
    <w:lvl w:ilvl="0" w:tplc="3FA89732">
      <w:start w:val="11"/>
      <w:numFmt w:val="bullet"/>
      <w:lvlText w:val="-"/>
      <w:lvlJc w:val="left"/>
      <w:pPr>
        <w:tabs>
          <w:tab w:val="num" w:pos="144"/>
        </w:tabs>
        <w:ind w:left="-216" w:firstLine="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51154AB"/>
    <w:multiLevelType w:val="hybridMultilevel"/>
    <w:tmpl w:val="BC882BA2"/>
    <w:lvl w:ilvl="0" w:tplc="3FA89732">
      <w:start w:val="11"/>
      <w:numFmt w:val="bullet"/>
      <w:lvlText w:val="-"/>
      <w:lvlJc w:val="left"/>
      <w:pPr>
        <w:tabs>
          <w:tab w:val="num" w:pos="144"/>
        </w:tabs>
        <w:ind w:left="-216" w:firstLine="0"/>
      </w:pPr>
      <w:rPr>
        <w:rFonts w:ascii="Times New Roman" w:eastAsia="Arial Unicode MS"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2">
    <w:abstractNumId w:val="12"/>
  </w:num>
  <w:num w:numId="3">
    <w:abstractNumId w:val="20"/>
  </w:num>
  <w:num w:numId="4">
    <w:abstractNumId w:val="9"/>
  </w:num>
  <w:num w:numId="5">
    <w:abstractNumId w:val="2"/>
  </w:num>
  <w:num w:numId="6">
    <w:abstractNumId w:val="11"/>
  </w:num>
  <w:num w:numId="7">
    <w:abstractNumId w:val="13"/>
  </w:num>
  <w:num w:numId="8">
    <w:abstractNumId w:val="15"/>
  </w:num>
  <w:num w:numId="9">
    <w:abstractNumId w:val="16"/>
  </w:num>
  <w:num w:numId="10">
    <w:abstractNumId w:val="14"/>
  </w:num>
  <w:num w:numId="11">
    <w:abstractNumId w:val="4"/>
  </w:num>
  <w:num w:numId="12">
    <w:abstractNumId w:val="19"/>
  </w:num>
  <w:num w:numId="13">
    <w:abstractNumId w:val="8"/>
  </w:num>
  <w:num w:numId="14">
    <w:abstractNumId w:val="1"/>
  </w:num>
  <w:num w:numId="15">
    <w:abstractNumId w:val="5"/>
  </w:num>
  <w:num w:numId="16">
    <w:abstractNumId w:val="17"/>
  </w:num>
  <w:num w:numId="17">
    <w:abstractNumId w:val="3"/>
  </w:num>
  <w:num w:numId="18">
    <w:abstractNumId w:val="6"/>
  </w:num>
  <w:num w:numId="19">
    <w:abstractNumId w:val="10"/>
  </w:num>
  <w:num w:numId="20">
    <w:abstractNumId w:val="22"/>
  </w:num>
  <w:num w:numId="21">
    <w:abstractNumId w:val="7"/>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2C2"/>
    <w:rsid w:val="0005201C"/>
    <w:rsid w:val="0060284D"/>
    <w:rsid w:val="006E42C2"/>
    <w:rsid w:val="00CD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991282-39FC-405E-B906-50E15EC8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360" w:lineRule="auto"/>
      <w:outlineLvl w:val="0"/>
    </w:pPr>
    <w:rPr>
      <w:rFonts w:ascii="Bookman Old Style" w:hAnsi="Bookman Old Style"/>
      <w:u w:val="single"/>
      <w:lang w:val="ru-RU"/>
    </w:rPr>
  </w:style>
  <w:style w:type="paragraph" w:styleId="2">
    <w:name w:val="heading 2"/>
    <w:basedOn w:val="a"/>
    <w:next w:val="a"/>
    <w:qFormat/>
    <w:pPr>
      <w:keepNext/>
      <w:spacing w:line="360" w:lineRule="auto"/>
      <w:outlineLvl w:val="1"/>
    </w:pPr>
    <w:rPr>
      <w:rFonts w:ascii="Bookman Old Style" w:hAnsi="Bookman Old Style"/>
      <w:b/>
      <w:bCs/>
      <w:lang w:val="ru-RU"/>
    </w:rPr>
  </w:style>
  <w:style w:type="paragraph" w:styleId="3">
    <w:name w:val="heading 3"/>
    <w:basedOn w:val="a"/>
    <w:next w:val="a"/>
    <w:qFormat/>
    <w:pPr>
      <w:keepNext/>
      <w:spacing w:line="360" w:lineRule="auto"/>
      <w:ind w:left="-360" w:right="-720"/>
      <w:outlineLvl w:val="2"/>
    </w:pPr>
    <w:rPr>
      <w:rFonts w:ascii="Bookman Old Style" w:hAnsi="Bookman Old Style"/>
      <w:u w:val="single"/>
      <w:lang w:val="ru-RU"/>
    </w:rPr>
  </w:style>
  <w:style w:type="paragraph" w:styleId="4">
    <w:name w:val="heading 4"/>
    <w:basedOn w:val="a"/>
    <w:next w:val="a"/>
    <w:qFormat/>
    <w:pPr>
      <w:keepNext/>
      <w:spacing w:line="360" w:lineRule="auto"/>
      <w:ind w:left="-360" w:right="-720"/>
      <w:jc w:val="center"/>
      <w:outlineLvl w:val="3"/>
    </w:pPr>
    <w:rPr>
      <w:rFonts w:ascii="Bookman Old Style" w:hAnsi="Bookman Old Style"/>
      <w:u w:val="single"/>
      <w:lang w:val="ru-RU"/>
    </w:rPr>
  </w:style>
  <w:style w:type="paragraph" w:styleId="5">
    <w:name w:val="heading 5"/>
    <w:basedOn w:val="a"/>
    <w:next w:val="a"/>
    <w:qFormat/>
    <w:pPr>
      <w:keepNext/>
      <w:spacing w:line="360" w:lineRule="auto"/>
      <w:ind w:left="-360" w:right="-720"/>
      <w:jc w:val="center"/>
      <w:outlineLvl w:val="4"/>
    </w:pPr>
    <w:rPr>
      <w:rFonts w:ascii="Bookman Old Style" w:hAnsi="Bookman Old Style"/>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900"/>
    </w:pPr>
    <w:rPr>
      <w:rFonts w:ascii="Bookman Old Style" w:hAnsi="Bookman Old Style"/>
      <w:lang w:val="ru-RU"/>
    </w:rPr>
  </w:style>
  <w:style w:type="paragraph" w:styleId="a4">
    <w:name w:val="Block Text"/>
    <w:basedOn w:val="a"/>
    <w:semiHidden/>
    <w:pPr>
      <w:spacing w:line="360" w:lineRule="auto"/>
      <w:ind w:left="-900" w:right="-720"/>
    </w:pPr>
    <w:rPr>
      <w:rFonts w:ascii="Bookman Old Style" w:hAnsi="Bookman Old Style"/>
      <w:lang w:val="ru-RU"/>
    </w:rPr>
  </w:style>
  <w:style w:type="paragraph" w:styleId="20">
    <w:name w:val="Body Text Indent 2"/>
    <w:basedOn w:val="a"/>
    <w:semiHidden/>
    <w:pPr>
      <w:spacing w:line="360" w:lineRule="auto"/>
      <w:ind w:left="-360"/>
    </w:pPr>
    <w:rPr>
      <w:rFonts w:ascii="Bookman Old Style" w:hAnsi="Bookman Old Style"/>
      <w:lang w:val="ru-RU"/>
    </w:rPr>
  </w:style>
  <w:style w:type="paragraph" w:styleId="a5">
    <w:name w:val="Normal (Web)"/>
    <w:basedOn w:val="a"/>
    <w:semiHidden/>
    <w:pPr>
      <w:spacing w:before="100" w:beforeAutospacing="1" w:after="100" w:afterAutospacing="1"/>
      <w:jc w:val="both"/>
    </w:pPr>
    <w:rPr>
      <w:rFonts w:ascii="Arial" w:eastAsia="Arial Unicode MS" w:hAnsi="Arial" w:cs="Arial"/>
      <w:sz w:val="20"/>
      <w:szCs w:val="20"/>
    </w:rPr>
  </w:style>
  <w:style w:type="paragraph" w:styleId="21">
    <w:name w:val="Body Text 2"/>
    <w:basedOn w:val="a"/>
    <w:semiHidden/>
    <w:pPr>
      <w:jc w:val="center"/>
    </w:pPr>
    <w:rPr>
      <w:b/>
      <w:sz w:val="36"/>
      <w:szCs w:val="20"/>
      <w:lang w:val="ru-RU"/>
    </w:rPr>
  </w:style>
  <w:style w:type="character" w:customStyle="1" w:styleId="sel">
    <w:name w:val="sel"/>
    <w:rPr>
      <w:color w:val="FFFFFF"/>
      <w:shd w:val="clear" w:color="auto" w:fill="ABA9BA"/>
    </w:rPr>
  </w:style>
  <w:style w:type="character" w:styleId="a6">
    <w:name w:val="Hyperlink"/>
    <w:semiHidden/>
    <w:rPr>
      <w:color w:val="0000FF"/>
      <w:u w:val="single"/>
    </w:rPr>
  </w:style>
  <w:style w:type="paragraph" w:styleId="a7">
    <w:name w:val="footer"/>
    <w:basedOn w:val="a"/>
    <w:semiHidden/>
    <w:pPr>
      <w:tabs>
        <w:tab w:val="center" w:pos="4320"/>
        <w:tab w:val="right" w:pos="8640"/>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27144</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Системы государственной аттестации – лицензирование</vt:lpstr>
      <vt:lpstr>Системы государственной аттестации – лицензирование</vt:lpstr>
    </vt:vector>
  </TitlesOfParts>
  <Company>OCIO</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государственной аттестации – лицензирование</dc:title>
  <dc:subject/>
  <dc:creator>Guest Stpetersburg</dc:creator>
  <cp:keywords/>
  <dc:description/>
  <cp:lastModifiedBy>admin</cp:lastModifiedBy>
  <cp:revision>2</cp:revision>
  <cp:lastPrinted>2004-01-16T13:42:00Z</cp:lastPrinted>
  <dcterms:created xsi:type="dcterms:W3CDTF">2014-02-13T12:05:00Z</dcterms:created>
  <dcterms:modified xsi:type="dcterms:W3CDTF">2014-02-13T12:05:00Z</dcterms:modified>
</cp:coreProperties>
</file>