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02" w:rsidRDefault="00021B02" w:rsidP="00021B02">
      <w:pPr>
        <w:pStyle w:val="aff2"/>
      </w:pPr>
    </w:p>
    <w:p w:rsidR="00021B02" w:rsidRDefault="00021B02" w:rsidP="00021B02">
      <w:pPr>
        <w:pStyle w:val="aff2"/>
      </w:pPr>
    </w:p>
    <w:p w:rsidR="00021B02" w:rsidRDefault="00021B02" w:rsidP="00021B02">
      <w:pPr>
        <w:pStyle w:val="aff2"/>
      </w:pPr>
    </w:p>
    <w:p w:rsidR="00021B02" w:rsidRDefault="00021B02" w:rsidP="00021B02">
      <w:pPr>
        <w:pStyle w:val="aff2"/>
      </w:pPr>
    </w:p>
    <w:p w:rsidR="00021B02" w:rsidRDefault="00021B02" w:rsidP="00021B02">
      <w:pPr>
        <w:pStyle w:val="aff2"/>
      </w:pPr>
    </w:p>
    <w:p w:rsidR="00021B02" w:rsidRDefault="00021B02" w:rsidP="00021B02">
      <w:pPr>
        <w:pStyle w:val="aff2"/>
      </w:pPr>
    </w:p>
    <w:p w:rsidR="00021B02" w:rsidRDefault="00021B02" w:rsidP="00021B02">
      <w:pPr>
        <w:pStyle w:val="aff2"/>
      </w:pPr>
    </w:p>
    <w:p w:rsidR="00021B02" w:rsidRDefault="00021B02" w:rsidP="00021B02">
      <w:pPr>
        <w:pStyle w:val="aff2"/>
      </w:pPr>
    </w:p>
    <w:p w:rsidR="00021B02" w:rsidRDefault="00021B02" w:rsidP="00021B02">
      <w:pPr>
        <w:pStyle w:val="aff2"/>
      </w:pPr>
    </w:p>
    <w:p w:rsidR="00D13680" w:rsidRPr="00021B02" w:rsidRDefault="00021B02" w:rsidP="00021B02">
      <w:pPr>
        <w:pStyle w:val="aff2"/>
      </w:pPr>
      <w:r w:rsidRPr="00021B02">
        <w:t>Реферат</w:t>
      </w:r>
    </w:p>
    <w:p w:rsidR="00021B02" w:rsidRDefault="00D13680" w:rsidP="00021B02">
      <w:pPr>
        <w:pStyle w:val="aff2"/>
      </w:pPr>
      <w:r w:rsidRPr="00021B02">
        <w:t>по дисциплине</w:t>
      </w:r>
      <w:r w:rsidR="00021B02">
        <w:t xml:space="preserve"> "</w:t>
      </w:r>
      <w:r w:rsidRPr="00021B02">
        <w:t>Интернет-маркетинг</w:t>
      </w:r>
      <w:r w:rsidR="00021B02">
        <w:t>"</w:t>
      </w:r>
    </w:p>
    <w:p w:rsidR="00021B02" w:rsidRDefault="00D13680" w:rsidP="00021B02">
      <w:pPr>
        <w:pStyle w:val="aff2"/>
      </w:pPr>
      <w:r w:rsidRPr="00021B02">
        <w:t>по теме</w:t>
      </w:r>
      <w:r w:rsidR="00021B02">
        <w:t xml:space="preserve"> "</w:t>
      </w:r>
      <w:r w:rsidR="007834FA" w:rsidRPr="00021B02">
        <w:t>Системы образования, банкинга и страхования в Интернете</w:t>
      </w:r>
      <w:r w:rsidR="00021B02">
        <w:t>"</w:t>
      </w:r>
    </w:p>
    <w:p w:rsidR="00021B02" w:rsidRDefault="00021B02" w:rsidP="00021B02">
      <w:pPr>
        <w:pStyle w:val="afa"/>
      </w:pPr>
      <w:r>
        <w:br w:type="page"/>
        <w:t>Содеражание</w:t>
      </w:r>
    </w:p>
    <w:p w:rsidR="00021B02" w:rsidRDefault="00021B02" w:rsidP="00021B02">
      <w:pPr>
        <w:pStyle w:val="afa"/>
      </w:pPr>
    </w:p>
    <w:p w:rsidR="00021B02" w:rsidRDefault="00021B02">
      <w:pPr>
        <w:pStyle w:val="22"/>
        <w:rPr>
          <w:smallCaps w:val="0"/>
          <w:noProof/>
          <w:sz w:val="24"/>
          <w:szCs w:val="24"/>
          <w:lang w:eastAsia="ru-RU"/>
        </w:rPr>
      </w:pPr>
      <w:r w:rsidRPr="00854B5A">
        <w:rPr>
          <w:rStyle w:val="a6"/>
          <w:noProof/>
        </w:rPr>
        <w:t>1. Образовательные системы</w:t>
      </w:r>
    </w:p>
    <w:p w:rsidR="00021B02" w:rsidRDefault="00021B02">
      <w:pPr>
        <w:pStyle w:val="22"/>
        <w:rPr>
          <w:smallCaps w:val="0"/>
          <w:noProof/>
          <w:sz w:val="24"/>
          <w:szCs w:val="24"/>
          <w:lang w:eastAsia="ru-RU"/>
        </w:rPr>
      </w:pPr>
      <w:r w:rsidRPr="00854B5A">
        <w:rPr>
          <w:rStyle w:val="a6"/>
          <w:noProof/>
        </w:rPr>
        <w:t>2. Системы Интернет-банкинга и трейдинга</w:t>
      </w:r>
    </w:p>
    <w:p w:rsidR="00021B02" w:rsidRDefault="00021B02">
      <w:pPr>
        <w:pStyle w:val="22"/>
        <w:rPr>
          <w:smallCaps w:val="0"/>
          <w:noProof/>
          <w:sz w:val="24"/>
          <w:szCs w:val="24"/>
          <w:lang w:eastAsia="ru-RU"/>
        </w:rPr>
      </w:pPr>
      <w:r w:rsidRPr="00854B5A">
        <w:rPr>
          <w:rStyle w:val="a6"/>
          <w:noProof/>
        </w:rPr>
        <w:t>3. Системы Интернет-страхования</w:t>
      </w:r>
    </w:p>
    <w:p w:rsidR="00021B02" w:rsidRDefault="00021B02" w:rsidP="00021B02">
      <w:pPr>
        <w:pStyle w:val="22"/>
      </w:pPr>
      <w:r w:rsidRPr="00854B5A">
        <w:rPr>
          <w:rStyle w:val="a6"/>
          <w:noProof/>
        </w:rPr>
        <w:t>Список использованной литературы и Интернет-ресурсов</w:t>
      </w:r>
    </w:p>
    <w:p w:rsidR="00021B02" w:rsidRPr="00021B02" w:rsidRDefault="00021B02" w:rsidP="00021B02">
      <w:pPr>
        <w:pStyle w:val="2"/>
      </w:pPr>
      <w:r>
        <w:br w:type="page"/>
      </w:r>
      <w:bookmarkStart w:id="0" w:name="_Toc273034692"/>
      <w:r w:rsidR="007834FA" w:rsidRPr="00021B02">
        <w:t>1</w:t>
      </w:r>
      <w:r w:rsidRPr="00021B02">
        <w:t xml:space="preserve">. </w:t>
      </w:r>
      <w:r w:rsidR="00A1692C" w:rsidRPr="00021B02">
        <w:t>Образовательные системы</w:t>
      </w:r>
      <w:bookmarkEnd w:id="0"/>
    </w:p>
    <w:p w:rsidR="00021B02" w:rsidRDefault="00021B02" w:rsidP="00021B02">
      <w:pPr>
        <w:ind w:firstLine="709"/>
        <w:rPr>
          <w:lang w:eastAsia="en-US"/>
        </w:rPr>
      </w:pP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Ведущими разработчиками программного обеспечения для систем дистанционного образования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СДО</w:t>
      </w:r>
      <w:r w:rsidR="00021B02" w:rsidRPr="00021B02">
        <w:rPr>
          <w:lang w:eastAsia="en-US"/>
        </w:rPr>
        <w:t xml:space="preserve">) </w:t>
      </w:r>
      <w:r w:rsidRPr="00021B02">
        <w:rPr>
          <w:lang w:eastAsia="en-US"/>
        </w:rPr>
        <w:t>являются компании Docent, Hyperwave, Compaq Global Services, Datatel, PlaNet Software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На российском рынке СДО доминировали известные западные бренды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IBM, Cisco, Oracle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Однако системы, предлагаемые западными брендами, слишком дороги большинству российских заказчиков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к примеру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бюджетным вузам</w:t>
      </w:r>
      <w:r w:rsidR="00021B02" w:rsidRPr="00021B02">
        <w:rPr>
          <w:lang w:eastAsia="en-US"/>
        </w:rPr>
        <w:t xml:space="preserve">) </w:t>
      </w:r>
      <w:r w:rsidRPr="00021B02">
        <w:rPr>
          <w:lang w:eastAsia="en-US"/>
        </w:rPr>
        <w:t>и требуют доработки для системы отечественного образования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К 2002 г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на рынке СДО появились следующие отечественные разработки</w:t>
      </w:r>
      <w:r w:rsidR="00021B02" w:rsidRPr="00021B02">
        <w:rPr>
          <w:lang w:eastAsia="en-US"/>
        </w:rPr>
        <w:t>:</w:t>
      </w:r>
    </w:p>
    <w:p w:rsidR="00021B02" w:rsidRDefault="00021B02" w:rsidP="00021B0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1692C" w:rsidRPr="00021B02">
        <w:rPr>
          <w:lang w:eastAsia="en-US"/>
        </w:rPr>
        <w:t>Прометей</w:t>
      </w:r>
      <w:r>
        <w:rPr>
          <w:lang w:eastAsia="en-US"/>
        </w:rPr>
        <w:t xml:space="preserve">". </w:t>
      </w:r>
      <w:r w:rsidR="00A1692C" w:rsidRPr="00021B02">
        <w:rPr>
          <w:lang w:eastAsia="en-US"/>
        </w:rPr>
        <w:t>Наиболее популярная система, представляющая собой программную оболочку, обеспечивающую дистанционное обучение и тестирование слушателей и позволяющую управлять деятельностью виртуального учебного заведения, СДО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Прометей</w:t>
      </w:r>
      <w:r>
        <w:rPr>
          <w:lang w:eastAsia="en-US"/>
        </w:rPr>
        <w:t xml:space="preserve">" </w:t>
      </w:r>
      <w:r w:rsidR="00A1692C" w:rsidRPr="00021B02">
        <w:rPr>
          <w:lang w:eastAsia="en-US"/>
        </w:rPr>
        <w:t>выпускается негосударственным образовательным учреждением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Институт виртуальных технологий в образовании</w:t>
      </w:r>
      <w:r>
        <w:rPr>
          <w:lang w:eastAsia="en-US"/>
        </w:rPr>
        <w:t xml:space="preserve">". </w:t>
      </w:r>
      <w:r w:rsidR="00A1692C" w:rsidRPr="00021B02">
        <w:rPr>
          <w:lang w:eastAsia="en-US"/>
        </w:rPr>
        <w:t>Система имеет интерфейс на четырех языках</w:t>
      </w:r>
      <w:r>
        <w:rPr>
          <w:lang w:eastAsia="en-US"/>
        </w:rPr>
        <w:t xml:space="preserve"> (</w:t>
      </w:r>
      <w:r w:rsidR="00A1692C" w:rsidRPr="00021B02">
        <w:rPr>
          <w:lang w:eastAsia="en-US"/>
        </w:rPr>
        <w:t>помимо русского</w:t>
      </w:r>
      <w:r w:rsidRPr="00021B02">
        <w:rPr>
          <w:lang w:eastAsia="en-US"/>
        </w:rPr>
        <w:t xml:space="preserve"> - </w:t>
      </w:r>
      <w:r w:rsidR="00A1692C" w:rsidRPr="00021B02">
        <w:rPr>
          <w:lang w:eastAsia="en-US"/>
        </w:rPr>
        <w:t>украинский, казахский, английский и испанский</w:t>
      </w:r>
      <w:r w:rsidRPr="00021B02">
        <w:rPr>
          <w:lang w:eastAsia="en-US"/>
        </w:rPr>
        <w:t>),</w:t>
      </w:r>
      <w:r w:rsidR="00A1692C" w:rsidRPr="00021B02">
        <w:rPr>
          <w:lang w:eastAsia="en-US"/>
        </w:rPr>
        <w:t xml:space="preserve"> формат HTML, отличается простотой в освоении, возможностью встраивания готовых электронных курсов, гибкую систему тестирования, невысокие требования к компьютерам, наличие централизованной базы данных и множество других возможностей</w:t>
      </w:r>
      <w:r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 xml:space="preserve">Институт виртуальных технологий в образовании имеет сайт </w:t>
      </w:r>
      <w:r w:rsidR="00021B02" w:rsidRPr="00854B5A">
        <w:rPr>
          <w:lang w:eastAsia="en-US"/>
        </w:rPr>
        <w:t>www.</w:t>
      </w:r>
      <w:r w:rsidRPr="00854B5A">
        <w:rPr>
          <w:lang w:eastAsia="en-US"/>
        </w:rPr>
        <w:t>ecourses</w:t>
      </w:r>
      <w:r w:rsidR="00021B02" w:rsidRPr="00854B5A">
        <w:rPr>
          <w:lang w:eastAsia="en-US"/>
        </w:rPr>
        <w:t>.ru</w:t>
      </w:r>
      <w:r w:rsidRPr="00021B02">
        <w:rPr>
          <w:lang w:eastAsia="en-US"/>
        </w:rPr>
        <w:t xml:space="preserve">, предназначенный для бесплатного размещения предложений о продаже и покупке электронных курсов, демоверсия системы размещена на сервере </w:t>
      </w:r>
      <w:r w:rsidR="00021B02" w:rsidRPr="00854B5A">
        <w:rPr>
          <w:lang w:eastAsia="en-US"/>
        </w:rPr>
        <w:t>www.</w:t>
      </w:r>
      <w:r w:rsidRPr="00854B5A">
        <w:rPr>
          <w:lang w:eastAsia="en-US"/>
        </w:rPr>
        <w:t>prometeus</w:t>
      </w:r>
      <w:r w:rsidR="00021B02" w:rsidRPr="00854B5A">
        <w:rPr>
          <w:lang w:eastAsia="en-US"/>
        </w:rPr>
        <w:t>.ru</w:t>
      </w:r>
      <w:r w:rsidR="00021B02" w:rsidRPr="00021B02">
        <w:rPr>
          <w:lang w:eastAsia="en-US"/>
        </w:rPr>
        <w:t>;</w:t>
      </w:r>
    </w:p>
    <w:p w:rsidR="00021B02" w:rsidRDefault="00021B02" w:rsidP="00021B0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1692C" w:rsidRPr="00021B02">
        <w:rPr>
          <w:lang w:eastAsia="en-US"/>
        </w:rPr>
        <w:t>Микрогест</w:t>
      </w:r>
      <w:r>
        <w:rPr>
          <w:lang w:eastAsia="en-US"/>
        </w:rPr>
        <w:t xml:space="preserve">". </w:t>
      </w:r>
      <w:r w:rsidR="00A1692C" w:rsidRPr="00021B02">
        <w:rPr>
          <w:lang w:eastAsia="en-US"/>
        </w:rPr>
        <w:t>Одной из IT-компаний, наиболее активна развивающей направление дистанционного обучения как составную часть интеграционных прое</w:t>
      </w:r>
      <w:r w:rsidR="0004341B">
        <w:rPr>
          <w:lang w:eastAsia="en-US"/>
        </w:rPr>
        <w:t>ктов и предлагающей уст</w:t>
      </w:r>
      <w:r w:rsidR="00A1692C" w:rsidRPr="00021B02">
        <w:rPr>
          <w:lang w:eastAsia="en-US"/>
        </w:rPr>
        <w:t>луги в этой области своим заказчикам, является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Микротест</w:t>
      </w:r>
      <w:r>
        <w:rPr>
          <w:lang w:eastAsia="en-US"/>
        </w:rPr>
        <w:t xml:space="preserve">", </w:t>
      </w:r>
      <w:r w:rsidR="00A1692C" w:rsidRPr="00021B02">
        <w:rPr>
          <w:lang w:eastAsia="en-US"/>
        </w:rPr>
        <w:t>Технология, разработанная специалистами этого системного интегратора, была опробована в рамках реализации проектов в Министерстве путей сообщения</w:t>
      </w:r>
      <w:r>
        <w:rPr>
          <w:lang w:eastAsia="en-US"/>
        </w:rPr>
        <w:t xml:space="preserve"> (</w:t>
      </w:r>
      <w:r w:rsidR="00A1692C" w:rsidRPr="00021B02">
        <w:rPr>
          <w:lang w:eastAsia="en-US"/>
        </w:rPr>
        <w:t>МПС</w:t>
      </w:r>
      <w:r w:rsidRPr="00021B02">
        <w:rPr>
          <w:lang w:eastAsia="en-US"/>
        </w:rPr>
        <w:t xml:space="preserve">). </w:t>
      </w:r>
      <w:r w:rsidR="00A1692C" w:rsidRPr="00021B02">
        <w:rPr>
          <w:lang w:eastAsia="en-US"/>
        </w:rPr>
        <w:t>Систему дистанционного обучения собственной разработки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Микротест</w:t>
      </w:r>
      <w:r>
        <w:rPr>
          <w:lang w:eastAsia="en-US"/>
        </w:rPr>
        <w:t xml:space="preserve">" </w:t>
      </w:r>
      <w:r w:rsidR="00A1692C" w:rsidRPr="00021B02">
        <w:rPr>
          <w:lang w:eastAsia="en-US"/>
        </w:rPr>
        <w:t>использует и для подготовки своих сотрудников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 xml:space="preserve">Такая система развернута на Интернет-сайте компании </w:t>
      </w:r>
      <w:r w:rsidRPr="00854B5A">
        <w:rPr>
          <w:lang w:eastAsia="en-US"/>
        </w:rPr>
        <w:t>www.</w:t>
      </w:r>
      <w:r w:rsidR="00A1692C" w:rsidRPr="00854B5A">
        <w:rPr>
          <w:lang w:eastAsia="en-US"/>
        </w:rPr>
        <w:t>microtest</w:t>
      </w:r>
      <w:r w:rsidRPr="00854B5A">
        <w:rPr>
          <w:lang w:eastAsia="en-US"/>
        </w:rPr>
        <w:t>.ru</w:t>
      </w:r>
      <w:r w:rsidRPr="00021B02">
        <w:rPr>
          <w:lang w:eastAsia="en-US"/>
        </w:rPr>
        <w:t>;</w:t>
      </w:r>
    </w:p>
    <w:p w:rsidR="00021B02" w:rsidRDefault="00021B02" w:rsidP="00021B0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1692C" w:rsidRPr="00021B02">
        <w:rPr>
          <w:lang w:eastAsia="en-US"/>
        </w:rPr>
        <w:t>СТ Курс</w:t>
      </w:r>
      <w:r>
        <w:rPr>
          <w:lang w:eastAsia="en-US"/>
        </w:rPr>
        <w:t xml:space="preserve">" </w:t>
      </w:r>
      <w:r w:rsidRPr="00021B02">
        <w:rPr>
          <w:lang w:eastAsia="en-US"/>
        </w:rPr>
        <w:t xml:space="preserve">- </w:t>
      </w:r>
      <w:r w:rsidR="00A1692C" w:rsidRPr="00021B02">
        <w:rPr>
          <w:lang w:eastAsia="en-US"/>
        </w:rPr>
        <w:t>система разработана российской компанией Cognitive Technologies</w:t>
      </w:r>
      <w:r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Содержание курсов и программу обучения заказчик этого продукта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равно как и многих других СДО</w:t>
      </w:r>
      <w:r w:rsidR="00021B02" w:rsidRPr="00021B02">
        <w:rPr>
          <w:lang w:eastAsia="en-US"/>
        </w:rPr>
        <w:t xml:space="preserve">) </w:t>
      </w:r>
      <w:r w:rsidRPr="00021B02">
        <w:rPr>
          <w:lang w:eastAsia="en-US"/>
        </w:rPr>
        <w:t>будет определять и размещать в системе самостоятельно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 качестве возможных направлений применения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СТ Курса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 xml:space="preserve">Cognitive рассматривает общее бизнес-образование, специализированное обучение, мониторинг уровня знаний персонала, сертификацию клиентов и </w:t>
      </w:r>
      <w:r w:rsidR="00021B02">
        <w:rPr>
          <w:lang w:eastAsia="en-US"/>
        </w:rPr>
        <w:t>т.п.</w:t>
      </w:r>
      <w:r w:rsidR="00021B02" w:rsidRPr="00021B02">
        <w:rPr>
          <w:lang w:eastAsia="en-US"/>
        </w:rPr>
        <w:t xml:space="preserve"> </w:t>
      </w:r>
      <w:r w:rsidRPr="00021B02">
        <w:rPr>
          <w:lang w:eastAsia="en-US"/>
        </w:rPr>
        <w:t>К особенностям технической стороны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СТ Курса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можно отнести высокую скорость обработки запросов пользователей и небольшой объем передаваемых данных, что позволяет комфортно работать обладателям низкоскоростных линий связи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 режиме самостоятельного обучения слушатели и преподаватели курса работают с СДО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СТ Курс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в любое удобное время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в лекционном режиме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участники курса в определенные дня и часы недели находятся в виртуальном классе и взаимодействуют друг с другом в интерактивном режиме посредством чатов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 качестве дополнительных возможностей для учащегося разработчики отмечают словарь, список л</w:t>
      </w:r>
      <w:r w:rsidR="007834FA" w:rsidRPr="00021B02">
        <w:rPr>
          <w:lang w:eastAsia="en-US"/>
        </w:rPr>
        <w:t>итературы, графические иллюстрац</w:t>
      </w:r>
      <w:r w:rsidRPr="00021B02">
        <w:rPr>
          <w:lang w:eastAsia="en-US"/>
        </w:rPr>
        <w:t>ии, аудиозаписи, видеоролики, а также средства самоко</w:t>
      </w:r>
      <w:r w:rsidR="0004341B">
        <w:rPr>
          <w:lang w:eastAsia="en-US"/>
        </w:rPr>
        <w:t>н</w:t>
      </w:r>
      <w:r w:rsidRPr="00021B02">
        <w:rPr>
          <w:lang w:eastAsia="en-US"/>
        </w:rPr>
        <w:t>троля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 xml:space="preserve">Кроме того, посетитель сайта </w:t>
      </w:r>
      <w:r w:rsidR="00021B02" w:rsidRPr="00854B5A">
        <w:rPr>
          <w:lang w:eastAsia="en-US"/>
        </w:rPr>
        <w:t>www.</w:t>
      </w:r>
      <w:r w:rsidRPr="00854B5A">
        <w:rPr>
          <w:lang w:eastAsia="en-US"/>
        </w:rPr>
        <w:t>ctkurs</w:t>
      </w:r>
      <w:r w:rsidR="00021B02" w:rsidRPr="00854B5A">
        <w:rPr>
          <w:lang w:eastAsia="en-US"/>
        </w:rPr>
        <w:t>.ru</w:t>
      </w:r>
      <w:r w:rsidRPr="00021B02">
        <w:rPr>
          <w:lang w:eastAsia="en-US"/>
        </w:rPr>
        <w:t xml:space="preserve"> им</w:t>
      </w:r>
      <w:r w:rsidR="007834FA" w:rsidRPr="00021B02">
        <w:rPr>
          <w:lang w:eastAsia="en-US"/>
        </w:rPr>
        <w:t>еет</w:t>
      </w:r>
      <w:r w:rsidRPr="00021B02">
        <w:rPr>
          <w:lang w:eastAsia="en-US"/>
        </w:rPr>
        <w:t xml:space="preserve"> возможность пройти ознакомительное обучение, </w:t>
      </w:r>
      <w:r w:rsidR="007834FA" w:rsidRPr="00021B02">
        <w:rPr>
          <w:lang w:eastAsia="en-US"/>
        </w:rPr>
        <w:t>зарегистрировавшись</w:t>
      </w:r>
      <w:r w:rsidRPr="00021B02">
        <w:rPr>
          <w:lang w:eastAsia="en-US"/>
        </w:rPr>
        <w:t xml:space="preserve"> в качестве гостя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Cognitive продает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СТ Курс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в виде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коробочного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продукта, так и на правах аренды Application Service Providing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ASP</w:t>
      </w:r>
      <w:r w:rsidR="00021B02" w:rsidRPr="00021B02">
        <w:rPr>
          <w:lang w:eastAsia="en-US"/>
        </w:rPr>
        <w:t xml:space="preserve">). </w:t>
      </w:r>
      <w:r w:rsidRPr="00021B02">
        <w:rPr>
          <w:lang w:eastAsia="en-US"/>
        </w:rPr>
        <w:t>По мнению эксперта</w:t>
      </w:r>
      <w:r w:rsidR="00021B02" w:rsidRPr="00021B02">
        <w:rPr>
          <w:lang w:eastAsia="en-US"/>
        </w:rPr>
        <w:t xml:space="preserve">. </w:t>
      </w:r>
      <w:r w:rsidRPr="00854B5A">
        <w:rPr>
          <w:lang w:eastAsia="en-US"/>
        </w:rPr>
        <w:t>CNews</w:t>
      </w:r>
      <w:r w:rsidR="00021B02" w:rsidRPr="00854B5A">
        <w:rPr>
          <w:lang w:eastAsia="en-US"/>
        </w:rPr>
        <w:t>.ru</w:t>
      </w:r>
      <w:r w:rsidRPr="00021B02">
        <w:rPr>
          <w:lang w:eastAsia="en-US"/>
        </w:rPr>
        <w:t>, на российском рынке СДО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СТ Курс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конкур</w:t>
      </w:r>
      <w:r w:rsidR="007834FA" w:rsidRPr="00021B02">
        <w:rPr>
          <w:lang w:eastAsia="en-US"/>
        </w:rPr>
        <w:t>ирует</w:t>
      </w:r>
      <w:r w:rsidRPr="00021B02">
        <w:rPr>
          <w:lang w:eastAsia="en-US"/>
        </w:rPr>
        <w:t xml:space="preserve"> лишь с двумя продуктами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зарубежным LearningSpacr IBM Lotus и отечественным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Прометеем</w:t>
      </w:r>
      <w:r w:rsidR="00021B02">
        <w:rPr>
          <w:lang w:eastAsia="en-US"/>
        </w:rPr>
        <w:t xml:space="preserve">". </w:t>
      </w:r>
      <w:r w:rsidRPr="00021B02">
        <w:rPr>
          <w:lang w:eastAsia="en-US"/>
        </w:rPr>
        <w:t>Однако, если первый продукт для российского пользователя слишком дор</w:t>
      </w:r>
      <w:r w:rsidR="007834FA" w:rsidRPr="00021B02">
        <w:rPr>
          <w:lang w:eastAsia="en-US"/>
        </w:rPr>
        <w:t>ог</w:t>
      </w:r>
      <w:r w:rsidRPr="00021B02">
        <w:rPr>
          <w:lang w:eastAsia="en-US"/>
        </w:rPr>
        <w:t xml:space="preserve"> и требует адаптации, то второй из перечисленных </w:t>
      </w:r>
      <w:r w:rsidR="007834FA" w:rsidRPr="00021B02">
        <w:rPr>
          <w:lang w:eastAsia="en-US"/>
        </w:rPr>
        <w:t>уступает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СТ Курсу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по другой причине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он менее функционален</w:t>
      </w:r>
      <w:r w:rsidR="00021B02" w:rsidRPr="00021B02">
        <w:rPr>
          <w:lang w:eastAsia="en-US"/>
        </w:rPr>
        <w:t>.</w:t>
      </w:r>
    </w:p>
    <w:p w:rsidR="00021B02" w:rsidRDefault="00021B02" w:rsidP="00021B0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1692C" w:rsidRPr="00021B02">
        <w:rPr>
          <w:lang w:eastAsia="en-US"/>
        </w:rPr>
        <w:t>ИнтраЗнание</w:t>
      </w:r>
      <w:r>
        <w:rPr>
          <w:lang w:eastAsia="en-US"/>
        </w:rPr>
        <w:t xml:space="preserve">" </w:t>
      </w:r>
      <w:r w:rsidRPr="00021B02">
        <w:rPr>
          <w:lang w:eastAsia="en-US"/>
        </w:rPr>
        <w:t xml:space="preserve">- </w:t>
      </w:r>
      <w:r w:rsidR="00A1692C" w:rsidRPr="00021B02">
        <w:rPr>
          <w:lang w:eastAsia="en-US"/>
        </w:rPr>
        <w:t>разработчиком является компании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Город-Инфо</w:t>
      </w:r>
      <w:r>
        <w:rPr>
          <w:lang w:eastAsia="en-US"/>
        </w:rPr>
        <w:t xml:space="preserve">". </w:t>
      </w:r>
      <w:r w:rsidR="00A1692C" w:rsidRPr="00021B02">
        <w:rPr>
          <w:lang w:eastAsia="en-US"/>
        </w:rPr>
        <w:t>Система предназначена для самостоятелен и обучения сотрудников предприятий навыкам работы с оф</w:t>
      </w:r>
      <w:r w:rsidR="007834FA" w:rsidRPr="00021B02">
        <w:rPr>
          <w:lang w:eastAsia="en-US"/>
        </w:rPr>
        <w:t>ис</w:t>
      </w:r>
      <w:r w:rsidR="00A1692C" w:rsidRPr="00021B02">
        <w:rPr>
          <w:lang w:eastAsia="en-US"/>
        </w:rPr>
        <w:t xml:space="preserve">ными приложениями, а также для проведения других </w:t>
      </w:r>
      <w:r w:rsidR="007834FA" w:rsidRPr="00021B02">
        <w:rPr>
          <w:lang w:eastAsia="en-US"/>
        </w:rPr>
        <w:t>обучающих</w:t>
      </w:r>
      <w:r w:rsidR="00A1692C" w:rsidRPr="00021B02">
        <w:rPr>
          <w:lang w:eastAsia="en-US"/>
        </w:rPr>
        <w:t xml:space="preserve"> курсов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 xml:space="preserve">Версия с расширенным функционалом </w:t>
      </w:r>
      <w:r w:rsidR="007834FA" w:rsidRPr="00021B02">
        <w:rPr>
          <w:lang w:eastAsia="en-US"/>
        </w:rPr>
        <w:t>включает</w:t>
      </w:r>
      <w:r w:rsidR="00A1692C" w:rsidRPr="00021B02">
        <w:rPr>
          <w:lang w:eastAsia="en-US"/>
        </w:rPr>
        <w:t xml:space="preserve"> в себя модуль дистанционного обучения</w:t>
      </w:r>
      <w:r w:rsidRPr="00021B02">
        <w:rPr>
          <w:lang w:eastAsia="en-US"/>
        </w:rPr>
        <w:t xml:space="preserve"> - </w:t>
      </w:r>
      <w:r w:rsidR="00A1692C" w:rsidRPr="00021B02">
        <w:rPr>
          <w:lang w:eastAsia="en-US"/>
        </w:rPr>
        <w:t>электронные учебники</w:t>
      </w:r>
      <w:r w:rsidRPr="00021B02">
        <w:rPr>
          <w:lang w:eastAsia="en-US"/>
        </w:rPr>
        <w:t xml:space="preserve">; </w:t>
      </w:r>
      <w:r w:rsidR="00A1692C" w:rsidRPr="00021B02">
        <w:rPr>
          <w:lang w:eastAsia="en-US"/>
        </w:rPr>
        <w:t>модуль практических интерактивных тренингов по пройденным курсам и модуль аттестации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Система строите</w:t>
      </w:r>
      <w:r>
        <w:rPr>
          <w:lang w:eastAsia="en-US"/>
        </w:rPr>
        <w:t xml:space="preserve">" </w:t>
      </w:r>
      <w:r w:rsidR="00A1692C" w:rsidRPr="00021B02">
        <w:rPr>
          <w:lang w:eastAsia="en-US"/>
        </w:rPr>
        <w:t>на</w:t>
      </w:r>
      <w:r w:rsidRPr="00021B02">
        <w:rPr>
          <w:lang w:eastAsia="en-US"/>
        </w:rPr>
        <w:t xml:space="preserve"> </w:t>
      </w:r>
      <w:r w:rsidR="00A1692C" w:rsidRPr="00021B02">
        <w:rPr>
          <w:lang w:eastAsia="en-US"/>
        </w:rPr>
        <w:t>основе</w:t>
      </w:r>
      <w:r w:rsidRPr="00021B02">
        <w:rPr>
          <w:lang w:eastAsia="en-US"/>
        </w:rPr>
        <w:t xml:space="preserve"> </w:t>
      </w:r>
      <w:r w:rsidR="00A1692C" w:rsidRPr="00021B02">
        <w:rPr>
          <w:lang w:eastAsia="en-US"/>
        </w:rPr>
        <w:t>Web-технологий и использует интерактивные Shock wave-ролики, разработанные фирмой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Город Интер</w:t>
      </w:r>
      <w:r w:rsidR="007834FA" w:rsidRPr="00021B02">
        <w:rPr>
          <w:lang w:eastAsia="en-US"/>
        </w:rPr>
        <w:t>а</w:t>
      </w:r>
      <w:r w:rsidR="00A1692C" w:rsidRPr="00021B02">
        <w:rPr>
          <w:lang w:eastAsia="en-US"/>
        </w:rPr>
        <w:t>ктив</w:t>
      </w:r>
      <w:r>
        <w:rPr>
          <w:lang w:eastAsia="en-US"/>
        </w:rPr>
        <w:t>" (</w:t>
      </w:r>
      <w:r w:rsidR="00A1692C" w:rsidRPr="00021B02">
        <w:rPr>
          <w:lang w:eastAsia="en-US"/>
        </w:rPr>
        <w:t>дочернее подразделение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Город-Инфо</w:t>
      </w:r>
      <w:r>
        <w:rPr>
          <w:lang w:eastAsia="en-US"/>
        </w:rPr>
        <w:t>"</w:t>
      </w:r>
      <w:r w:rsidRPr="00021B02">
        <w:rPr>
          <w:lang w:eastAsia="en-US"/>
        </w:rPr>
        <w:t xml:space="preserve">). </w:t>
      </w:r>
      <w:r w:rsidR="00A1692C" w:rsidRPr="00021B02">
        <w:rPr>
          <w:lang w:eastAsia="en-US"/>
        </w:rPr>
        <w:t>Визуальные и звуковые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подсказки</w:t>
      </w:r>
      <w:r>
        <w:rPr>
          <w:lang w:eastAsia="en-US"/>
        </w:rPr>
        <w:t xml:space="preserve">" </w:t>
      </w:r>
      <w:r w:rsidR="00A1692C" w:rsidRPr="00021B02">
        <w:rPr>
          <w:lang w:eastAsia="en-US"/>
        </w:rPr>
        <w:t>обеспечивают наглядность и эффективность обучения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Данные о результатах тестирования и уровне квалификации сотрудников доступны для просмотри как администратору системы, так и руководству компании В качестве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клиентского</w:t>
      </w:r>
      <w:r>
        <w:rPr>
          <w:lang w:eastAsia="en-US"/>
        </w:rPr>
        <w:t xml:space="preserve">" </w:t>
      </w:r>
      <w:r w:rsidR="00A1692C" w:rsidRPr="00021B02">
        <w:rPr>
          <w:lang w:eastAsia="en-US"/>
        </w:rPr>
        <w:t>приложения используется стандартный Web-браузер, что избавляет от необходимости уст</w:t>
      </w:r>
      <w:r w:rsidR="007834FA" w:rsidRPr="00021B02">
        <w:rPr>
          <w:lang w:eastAsia="en-US"/>
        </w:rPr>
        <w:t>а</w:t>
      </w:r>
      <w:r w:rsidR="00A1692C" w:rsidRPr="00021B02">
        <w:rPr>
          <w:lang w:eastAsia="en-US"/>
        </w:rPr>
        <w:t>навливать программу на каждое рабочее место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 xml:space="preserve">Система </w:t>
      </w:r>
      <w:r w:rsidR="007834FA" w:rsidRPr="00021B02">
        <w:rPr>
          <w:lang w:eastAsia="en-US"/>
        </w:rPr>
        <w:t>яв</w:t>
      </w:r>
      <w:r w:rsidR="00A1692C" w:rsidRPr="00021B02">
        <w:rPr>
          <w:lang w:eastAsia="en-US"/>
        </w:rPr>
        <w:t>ляется открытой, заказчик может расширять ее, добав</w:t>
      </w:r>
      <w:r w:rsidR="007834FA" w:rsidRPr="00021B02">
        <w:rPr>
          <w:lang w:eastAsia="en-US"/>
        </w:rPr>
        <w:t>ить</w:t>
      </w:r>
      <w:r w:rsidR="00A1692C" w:rsidRPr="00021B02">
        <w:rPr>
          <w:lang w:eastAsia="en-US"/>
        </w:rPr>
        <w:t xml:space="preserve"> новые учебные курсы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Специалисты компании считают, чти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ИнтраЗнание</w:t>
      </w:r>
      <w:r>
        <w:rPr>
          <w:lang w:eastAsia="en-US"/>
        </w:rPr>
        <w:t xml:space="preserve">" </w:t>
      </w:r>
      <w:r w:rsidR="00A1692C" w:rsidRPr="00021B02">
        <w:rPr>
          <w:lang w:eastAsia="en-US"/>
        </w:rPr>
        <w:t>как корпоративная система управления знаниями сотрудников конкурирует только с Oracle iLearning и Cisco Learning Environment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Демонстрационная версия сист</w:t>
      </w:r>
      <w:r w:rsidR="007834FA" w:rsidRPr="00021B02">
        <w:rPr>
          <w:lang w:eastAsia="en-US"/>
        </w:rPr>
        <w:t>е</w:t>
      </w:r>
      <w:r w:rsidR="00A1692C" w:rsidRPr="00021B02">
        <w:rPr>
          <w:lang w:eastAsia="en-US"/>
        </w:rPr>
        <w:t xml:space="preserve">мы находится на сервере </w:t>
      </w:r>
      <w:r w:rsidRPr="00854B5A">
        <w:rPr>
          <w:lang w:eastAsia="en-US"/>
        </w:rPr>
        <w:t>www.</w:t>
      </w:r>
      <w:r w:rsidR="00A1692C" w:rsidRPr="00854B5A">
        <w:rPr>
          <w:lang w:eastAsia="en-US"/>
        </w:rPr>
        <w:t>intraznanie</w:t>
      </w:r>
      <w:r w:rsidRPr="00854B5A">
        <w:rPr>
          <w:lang w:eastAsia="en-US"/>
        </w:rPr>
        <w:t xml:space="preserve">. </w:t>
      </w:r>
      <w:r w:rsidR="00A1692C" w:rsidRPr="00854B5A">
        <w:rPr>
          <w:lang w:eastAsia="en-US"/>
        </w:rPr>
        <w:t>gorod</w:t>
      </w:r>
      <w:r w:rsidRPr="00854B5A">
        <w:rPr>
          <w:lang w:eastAsia="en-US"/>
        </w:rPr>
        <w:t>.ru</w:t>
      </w:r>
      <w:r w:rsidRPr="00021B02">
        <w:rPr>
          <w:lang w:eastAsia="en-US"/>
        </w:rPr>
        <w:t>.</w:t>
      </w:r>
    </w:p>
    <w:p w:rsidR="00021B02" w:rsidRDefault="00021B02" w:rsidP="00021B0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1692C" w:rsidRPr="00021B02">
        <w:rPr>
          <w:lang w:eastAsia="en-US"/>
        </w:rPr>
        <w:t>Батисфера</w:t>
      </w:r>
      <w:r>
        <w:rPr>
          <w:lang w:eastAsia="en-US"/>
        </w:rPr>
        <w:t xml:space="preserve">" </w:t>
      </w:r>
      <w:r w:rsidRPr="00021B02">
        <w:rPr>
          <w:lang w:eastAsia="en-US"/>
        </w:rPr>
        <w:t xml:space="preserve">- </w:t>
      </w:r>
      <w:r w:rsidR="00A1692C" w:rsidRPr="00021B02">
        <w:rPr>
          <w:lang w:eastAsia="en-US"/>
        </w:rPr>
        <w:t>вариант реализации учебных курсов на компьютерах, связанных в локальные вычислительные Сети организации, и распространения учебных материалов на магнитных носителях и CD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Одним из сторонников такой формы изучения является компания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Информпроект</w:t>
      </w:r>
      <w:r>
        <w:rPr>
          <w:lang w:eastAsia="en-US"/>
        </w:rPr>
        <w:t xml:space="preserve">" </w:t>
      </w:r>
      <w:r w:rsidRPr="00021B02">
        <w:rPr>
          <w:lang w:eastAsia="en-US"/>
        </w:rPr>
        <w:t xml:space="preserve">- </w:t>
      </w:r>
      <w:r w:rsidR="00A1692C" w:rsidRPr="00021B02">
        <w:rPr>
          <w:lang w:eastAsia="en-US"/>
        </w:rPr>
        <w:t>разработчик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Программы для проектирования и выполнения мультимедийных обучающих работ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Батисфера</w:t>
      </w:r>
      <w:r>
        <w:rPr>
          <w:lang w:eastAsia="en-US"/>
        </w:rPr>
        <w:t xml:space="preserve">", </w:t>
      </w:r>
      <w:r w:rsidR="00A1692C" w:rsidRPr="00021B02">
        <w:rPr>
          <w:lang w:eastAsia="en-US"/>
        </w:rPr>
        <w:t>ориентированной ни учебные заведения разного уровня и профиля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По утверждению разработчиков,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Батисфера</w:t>
      </w:r>
      <w:r>
        <w:rPr>
          <w:lang w:eastAsia="en-US"/>
        </w:rPr>
        <w:t xml:space="preserve">" </w:t>
      </w:r>
      <w:r w:rsidR="00A1692C" w:rsidRPr="00021B02">
        <w:rPr>
          <w:lang w:eastAsia="en-US"/>
        </w:rPr>
        <w:t>отличается от известных систем дистанционного обучения необходимой степенью ндиптации к российской системе образования</w:t>
      </w:r>
      <w:r w:rsidRPr="00021B02">
        <w:rPr>
          <w:lang w:eastAsia="en-US"/>
        </w:rPr>
        <w:t xml:space="preserve">: </w:t>
      </w:r>
      <w:r w:rsidR="00A1692C" w:rsidRPr="00021B02">
        <w:rPr>
          <w:lang w:eastAsia="en-US"/>
        </w:rPr>
        <w:t>требования к Техническому оснащению максимально приближены к российским реалиям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Кроме того, данную систему отличает возможность сборки в единой обучающей среде готовых учебных материалов, выполненных в разных программных средах, а также вариативность ее использования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 xml:space="preserve">Так, один из </w:t>
      </w:r>
      <w:r w:rsidR="007834FA" w:rsidRPr="00021B02">
        <w:rPr>
          <w:lang w:eastAsia="en-US"/>
        </w:rPr>
        <w:t>ва</w:t>
      </w:r>
      <w:r w:rsidR="00A1692C" w:rsidRPr="00021B02">
        <w:rPr>
          <w:lang w:eastAsia="en-US"/>
        </w:rPr>
        <w:t>риантов предполагает возможность передачи учебных материалов слушателям по электронной почте или на дискетах</w:t>
      </w:r>
      <w:r w:rsidRPr="00021B02">
        <w:rPr>
          <w:lang w:eastAsia="en-US"/>
        </w:rPr>
        <w:t>.</w:t>
      </w:r>
    </w:p>
    <w:p w:rsidR="00021B02" w:rsidRDefault="00021B02" w:rsidP="00021B0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1692C" w:rsidRPr="00021B02">
        <w:rPr>
          <w:lang w:eastAsia="en-US"/>
        </w:rPr>
        <w:t>Батисфера</w:t>
      </w:r>
      <w:r>
        <w:rPr>
          <w:lang w:eastAsia="en-US"/>
        </w:rPr>
        <w:t xml:space="preserve">" </w:t>
      </w:r>
      <w:r w:rsidR="00A1692C" w:rsidRPr="00021B02">
        <w:rPr>
          <w:lang w:eastAsia="en-US"/>
        </w:rPr>
        <w:t>состоит</w:t>
      </w:r>
      <w:r w:rsidR="007834FA" w:rsidRPr="00021B02">
        <w:rPr>
          <w:lang w:eastAsia="en-US"/>
        </w:rPr>
        <w:t xml:space="preserve"> из двух блоков</w:t>
      </w:r>
      <w:r w:rsidRPr="00021B02">
        <w:rPr>
          <w:lang w:eastAsia="en-US"/>
        </w:rPr>
        <w:t xml:space="preserve">. </w:t>
      </w:r>
      <w:r w:rsidR="007834FA" w:rsidRPr="00021B02">
        <w:rPr>
          <w:lang w:eastAsia="en-US"/>
        </w:rPr>
        <w:t xml:space="preserve">Первый из них </w:t>
      </w:r>
      <w:r w:rsidR="00A1692C" w:rsidRPr="00021B02">
        <w:rPr>
          <w:lang w:eastAsia="en-US"/>
        </w:rPr>
        <w:t>Tutor</w:t>
      </w:r>
      <w:r w:rsidRPr="00021B02">
        <w:rPr>
          <w:lang w:eastAsia="en-US"/>
        </w:rPr>
        <w:t xml:space="preserve"> - </w:t>
      </w:r>
      <w:r w:rsidR="00A1692C" w:rsidRPr="00021B02">
        <w:rPr>
          <w:lang w:eastAsia="en-US"/>
        </w:rPr>
        <w:t>это средство разработки курса, который преподаватель устанавливает на своем компьютере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Tutor позволяет создавать учебный материал любых типов и форм</w:t>
      </w:r>
      <w:r w:rsidRPr="00021B02">
        <w:rPr>
          <w:lang w:eastAsia="en-US"/>
        </w:rPr>
        <w:t xml:space="preserve">: </w:t>
      </w:r>
      <w:r w:rsidR="00A1692C" w:rsidRPr="00021B02">
        <w:rPr>
          <w:lang w:eastAsia="en-US"/>
        </w:rPr>
        <w:t>лекции, домашние задания, лабораторные и контрольные работы, тесты, интерактивные зачеты, экзамены, электронные учебники</w:t>
      </w:r>
      <w:r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 xml:space="preserve">Причем преподаватель может при желании </w:t>
      </w:r>
      <w:r w:rsidR="007834FA" w:rsidRPr="00021B02">
        <w:rPr>
          <w:lang w:eastAsia="en-US"/>
        </w:rPr>
        <w:t>регламентировать</w:t>
      </w:r>
      <w:r w:rsidRPr="00021B02">
        <w:rPr>
          <w:lang w:eastAsia="en-US"/>
        </w:rPr>
        <w:t xml:space="preserve"> время выполнения проверочной работы и устанавливать порядок допуска к следующему заданию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Второй блок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Reader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прокатчик курса</w:t>
      </w:r>
      <w:r w:rsidR="00021B02" w:rsidRPr="00021B02">
        <w:rPr>
          <w:lang w:eastAsia="en-US"/>
        </w:rPr>
        <w:t xml:space="preserve">) - </w:t>
      </w:r>
      <w:r w:rsidRPr="00021B02">
        <w:rPr>
          <w:lang w:eastAsia="en-US"/>
        </w:rPr>
        <w:t>предназначен для учащихся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Он позволяет прослушать лекцию, выполнить лабораторную и контрольную работу, домашнее задание, сдать зачет и экзамен в интерактивном режиме, занести реиультаты тестирования в текстовый файл, отправить его по электронной почте или распечатать</w:t>
      </w:r>
      <w:r w:rsidR="00021B02" w:rsidRPr="00021B02">
        <w:rPr>
          <w:lang w:eastAsia="en-US"/>
        </w:rPr>
        <w:t>.</w:t>
      </w:r>
    </w:p>
    <w:p w:rsidR="00021B02" w:rsidRDefault="00021B02" w:rsidP="00021B02">
      <w:pPr>
        <w:ind w:firstLine="709"/>
        <w:rPr>
          <w:lang w:eastAsia="en-US"/>
        </w:rPr>
      </w:pPr>
    </w:p>
    <w:p w:rsidR="00021B02" w:rsidRPr="00021B02" w:rsidRDefault="007834FA" w:rsidP="00021B02">
      <w:pPr>
        <w:pStyle w:val="2"/>
      </w:pPr>
      <w:bookmarkStart w:id="1" w:name="_Toc273034693"/>
      <w:r w:rsidRPr="00021B02">
        <w:t>2</w:t>
      </w:r>
      <w:r w:rsidR="00021B02" w:rsidRPr="00021B02">
        <w:t xml:space="preserve">. </w:t>
      </w:r>
      <w:r w:rsidR="00A1692C" w:rsidRPr="00021B02">
        <w:t>Системы Интернет-банкинга и трейдинга</w:t>
      </w:r>
      <w:bookmarkEnd w:id="1"/>
    </w:p>
    <w:p w:rsidR="00021B02" w:rsidRDefault="00021B02" w:rsidP="00021B02">
      <w:pPr>
        <w:ind w:firstLine="709"/>
        <w:rPr>
          <w:lang w:eastAsia="en-US"/>
        </w:rPr>
      </w:pP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 США почти все крупнейшие банки оказывают услугу Интернет-банкинга, в том числе Citicorp, Bank of America, Wells Fargo, Bank One, First Union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Если говорить о специфике самой услуги Интернет-банкинга на Западе в сравнении с подобными российскими проектами, то можно отметить следующие моменты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система, через которую западный клиент осуществляет все операции, обычно не абстрагируется от Web-сайта банка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у нее нет отдельного названия, пользовательский интерфейс похож на интерфейс сайта, вход в систему осуществляется с главной страницы сайта банка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регистрация в системе и открытие счета может осуществляться непосредственно через Интернет без посещения офиса банка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для обеспечения защиты используются только стандартные методы, в том числе самый распространенный протокол шифрования информации SSL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никакой абонентской платы и платы за подключение не существует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Среди тенденций развития Интернет-банкинга в России присутствуют следующие</w:t>
      </w:r>
      <w:r w:rsidR="00021B02" w:rsidRPr="00021B02">
        <w:rPr>
          <w:lang w:eastAsia="en-US"/>
        </w:rPr>
        <w:t>: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растет активность и роль разработчиков специализированного оборудования и программного обеспечения для нужд Интернет-банкинга, причем как отечественных компаний, специализирующихся на банковской автоматизации, так и западных разработчиков, выходящих на наш рынок</w:t>
      </w:r>
      <w:r w:rsidR="00021B02" w:rsidRPr="00021B02">
        <w:rPr>
          <w:lang w:eastAsia="en-US"/>
        </w:rPr>
        <w:t>;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развитие Интернет-банкинга происходит либо в комплексе, либо параллельно с развитием теми же банками средств организации электронной коммерции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платежных И торговых систем в Интернете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Примеры такой деятельности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совместный проект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Автобанка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и компании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АйТи</w:t>
      </w:r>
      <w:r w:rsidR="00021B02">
        <w:rPr>
          <w:lang w:eastAsia="en-US"/>
        </w:rPr>
        <w:t xml:space="preserve">" </w:t>
      </w:r>
      <w:r w:rsidR="00021B02" w:rsidRPr="00021B02">
        <w:rPr>
          <w:lang w:eastAsia="en-US"/>
        </w:rPr>
        <w:t xml:space="preserve">- </w:t>
      </w:r>
      <w:r w:rsidRPr="00021B02">
        <w:rPr>
          <w:lang w:eastAsia="en-US"/>
        </w:rPr>
        <w:t>платежная система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ЭлИТ-Карт</w:t>
      </w:r>
      <w:r w:rsidR="00021B02">
        <w:rPr>
          <w:lang w:eastAsia="en-US"/>
        </w:rPr>
        <w:t xml:space="preserve">"; </w:t>
      </w:r>
      <w:r w:rsidRPr="00021B02">
        <w:rPr>
          <w:lang w:eastAsia="en-US"/>
        </w:rPr>
        <w:t>проект банка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БИН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и ком</w:t>
      </w:r>
      <w:r w:rsidR="00AB15BF">
        <w:rPr>
          <w:noProof/>
        </w:rPr>
        <w:pict>
          <v:line id="_x0000_s1026" style="position:absolute;left:0;text-align:left;z-index:251657216;mso-position-horizontal-relative:margin;mso-position-vertical-relative:text" from="-50.75pt,453.6pt" to="-50.75pt,504.7pt" o:allowincell="f" strokeweight="1.45pt">
            <w10:wrap anchorx="margin"/>
          </v:line>
        </w:pict>
      </w:r>
      <w:r w:rsidRPr="00021B02">
        <w:rPr>
          <w:lang w:eastAsia="en-US"/>
        </w:rPr>
        <w:t>пании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АйТи</w:t>
      </w:r>
      <w:r w:rsidR="00021B02">
        <w:rPr>
          <w:lang w:eastAsia="en-US"/>
        </w:rPr>
        <w:t xml:space="preserve">" </w:t>
      </w:r>
      <w:r w:rsidR="00021B02" w:rsidRPr="00021B02">
        <w:rPr>
          <w:lang w:eastAsia="en-US"/>
        </w:rPr>
        <w:t xml:space="preserve">- </w:t>
      </w:r>
      <w:r w:rsidRPr="00021B02">
        <w:rPr>
          <w:lang w:eastAsia="en-US"/>
        </w:rPr>
        <w:t>система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Кортис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и др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К этому следует добавить, что параллельно с услугами Интернет-банкинга в банках и близких к ним компаниях, которые часто входят в одну финансовую группу, активно развиваются и другие сетевые услуги Интернет-трейдинг и Интернет-страхование</w:t>
      </w:r>
      <w:r w:rsidR="00021B02" w:rsidRPr="00021B02">
        <w:rPr>
          <w:lang w:eastAsia="en-US"/>
        </w:rPr>
        <w:t>;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развитие в банках одновременно с Интернет-банкингом и других направлений удаленного банковского обслуживания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телефонного банкинга, PC-банкинга и WAP-банкинга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обслуживание мобильных телефонов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 xml:space="preserve">например, </w:t>
      </w:r>
      <w:r w:rsidR="00021B02" w:rsidRPr="00854B5A">
        <w:rPr>
          <w:lang w:eastAsia="en-US"/>
        </w:rPr>
        <w:t>http://www.</w:t>
      </w:r>
      <w:r w:rsidRPr="00854B5A">
        <w:rPr>
          <w:lang w:eastAsia="en-US"/>
        </w:rPr>
        <w:t>dor</w:t>
      </w:r>
      <w:r w:rsidR="00021B02" w:rsidRPr="00854B5A">
        <w:rPr>
          <w:lang w:eastAsia="en-US"/>
        </w:rPr>
        <w:t>.ru</w:t>
      </w:r>
      <w:r w:rsidRPr="00854B5A">
        <w:rPr>
          <w:lang w:eastAsia="en-US"/>
        </w:rPr>
        <w:t>/iBank/m-banking</w:t>
      </w:r>
      <w:r w:rsidR="00021B02" w:rsidRPr="00854B5A">
        <w:rPr>
          <w:lang w:eastAsia="en-US"/>
        </w:rPr>
        <w:t>.html</w:t>
      </w:r>
      <w:r w:rsidR="00021B02" w:rsidRPr="00021B02">
        <w:rPr>
          <w:lang w:eastAsia="en-US"/>
        </w:rPr>
        <w:t xml:space="preserve">). </w:t>
      </w:r>
      <w:r w:rsidRPr="00021B02">
        <w:rPr>
          <w:lang w:eastAsia="en-US"/>
        </w:rPr>
        <w:t>При этом различные формы удаленного обслуживания не конкурируют между собой, а во многом дополняют друг друга, предоставляя клиентам широкий выбор каналов доступа к собственным банковским счетам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Интернет-банкинг непосредственно связан с Интернет-трейдингом через использование инвестиционных счетов для расчетов с виртуальными брокерами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Перечень брокерских услуг, предлагаемых в Интернете, может ограничиваться как выводом сделки на рынок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discount broker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так и включать полный набор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full service broker</w:t>
      </w:r>
      <w:r w:rsidR="00021B02" w:rsidRPr="00021B02">
        <w:rPr>
          <w:lang w:eastAsia="en-US"/>
        </w:rPr>
        <w:t xml:space="preserve">): </w:t>
      </w:r>
      <w:r w:rsidRPr="00021B02">
        <w:rPr>
          <w:lang w:eastAsia="en-US"/>
        </w:rPr>
        <w:t>прием ордеров и вывод их на рынок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индивидуальные консультации по поводу покупки/продажи ценных бумаг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управление фондовым портфелем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по желанию клиента</w:t>
      </w:r>
      <w:r w:rsidR="00021B02" w:rsidRPr="00021B02">
        <w:rPr>
          <w:lang w:eastAsia="en-US"/>
        </w:rPr>
        <w:t xml:space="preserve">); </w:t>
      </w:r>
      <w:r w:rsidRPr="00021B02">
        <w:rPr>
          <w:lang w:eastAsia="en-US"/>
        </w:rPr>
        <w:t xml:space="preserve">полное юридическое, финансовое и </w:t>
      </w:r>
      <w:r w:rsidR="00021B02">
        <w:rPr>
          <w:lang w:eastAsia="en-US"/>
        </w:rPr>
        <w:t>т.п.</w:t>
      </w:r>
      <w:r w:rsidR="00021B02" w:rsidRPr="00021B02">
        <w:rPr>
          <w:lang w:eastAsia="en-US"/>
        </w:rPr>
        <w:t xml:space="preserve"> </w:t>
      </w:r>
      <w:r w:rsidRPr="00021B02">
        <w:rPr>
          <w:lang w:eastAsia="en-US"/>
        </w:rPr>
        <w:t>сопровождение инвестиционного счета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Брокерские услуги могут предоставляться банками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При этом с технологической точки зрения Интернет является лишь дополнительным, по отношению к телефону, средством приема приказов, позволяющим обслужить большее число клиентов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 xml:space="preserve">Приведенные термины отражают функциональное различие брокеров по типу предоставляемого обслуживания, что ведет к сегментации клиентуры по размеру инвестируемых средств, способу инвестирования и </w:t>
      </w:r>
      <w:r w:rsidR="00021B02">
        <w:rPr>
          <w:lang w:eastAsia="en-US"/>
        </w:rPr>
        <w:t>т.д.,</w:t>
      </w:r>
      <w:r w:rsidRPr="00021B02">
        <w:rPr>
          <w:lang w:eastAsia="en-US"/>
        </w:rPr>
        <w:t xml:space="preserve"> тогда как термин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виртуальный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указывает на технологию приема и обработки ордеров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Частное лицо не имеет права непосредственно совершать сделки на бирже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Для этого существует целая цепочка посредников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Например, маршрут попадания ордера на NASDAQ таков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инвестор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брокер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участник торгов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торговая система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С развитием компьютеров и телекоммуникаций многие биржи разработали автоматизированные системы удаленного доступа к своей торговой площадке, функционирующие в рамках защищенной Сети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 первых системах Интернета была реализована функциональность интерфейса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Далее стали автоматизировать внутренние функции, включая ведение учета, составление отчетности, расчетно-депозитар</w:t>
      </w:r>
      <w:r w:rsidR="007834FA" w:rsidRPr="00021B02">
        <w:rPr>
          <w:lang w:eastAsia="en-US"/>
        </w:rPr>
        <w:t>н</w:t>
      </w:r>
      <w:r w:rsidRPr="00021B02">
        <w:rPr>
          <w:lang w:eastAsia="en-US"/>
        </w:rPr>
        <w:t xml:space="preserve">ые операции и </w:t>
      </w:r>
      <w:r w:rsidR="00021B02">
        <w:rPr>
          <w:lang w:eastAsia="en-US"/>
        </w:rPr>
        <w:t>т.д.</w:t>
      </w:r>
      <w:r w:rsidR="00021B02" w:rsidRPr="00021B02">
        <w:rPr>
          <w:lang w:eastAsia="en-US"/>
        </w:rPr>
        <w:t xml:space="preserve"> </w:t>
      </w:r>
      <w:r w:rsidRPr="00021B02">
        <w:rPr>
          <w:lang w:eastAsia="en-US"/>
        </w:rPr>
        <w:t>В такой схеме взаимодействие с биржей обычно осуществляется через шлюз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набор стандартных команд и форматов обмена данными и обработки запросов, которые позволяют отслеживать состояние приказа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 xml:space="preserve">принят, ожидание, исполнен и </w:t>
      </w:r>
      <w:r w:rsidR="00021B02">
        <w:rPr>
          <w:lang w:eastAsia="en-US"/>
        </w:rPr>
        <w:t>т.д.)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При этом торговая система биржи практически всегда отделена от Сети брокера и тем более от Интернета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Интернет сам по себе не меняет маршрут прохождения ордеров, а позволяет повысить скорость прохождения запросов, но контроль над движением приказа остается недостаточным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Таким образом, узкое место находится в самих концепциях и традиционных моделях функционирования рынков капитала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Выход из этой ситуации состоит в концепции прямого доступа, реализуемой посредством электронных коммуникационных сетей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Electronic Communication Network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ECN</w:t>
      </w:r>
      <w:r w:rsidR="00021B02" w:rsidRPr="00021B02">
        <w:rPr>
          <w:lang w:eastAsia="en-US"/>
        </w:rPr>
        <w:t xml:space="preserve">). </w:t>
      </w:r>
      <w:r w:rsidRPr="00021B02">
        <w:rPr>
          <w:lang w:eastAsia="en-US"/>
        </w:rPr>
        <w:t>Система прямого доступа предполагает автоматический вывод ордера на рынок и дает возможность клиенту самостоятельно управлять размещением своего ордера, включая выбор торговой площадки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возможность коррекции параметров ордера и его отмены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контроль правильности исполнения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 xml:space="preserve">получение отчета о сделках и </w:t>
      </w:r>
      <w:r w:rsidR="00021B02">
        <w:rPr>
          <w:lang w:eastAsia="en-US"/>
        </w:rPr>
        <w:t>т.д.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Фактически клиент получает доступ к торговой системе биржи или альтернативной торговой площадки и дополнительной информации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 xml:space="preserve">не только о котировках, но и об объемах приказов на покупку/продажу и </w:t>
      </w:r>
      <w:r w:rsidR="00021B02">
        <w:rPr>
          <w:lang w:eastAsia="en-US"/>
        </w:rPr>
        <w:t>т.д.)</w:t>
      </w:r>
      <w:r w:rsidR="00021B02" w:rsidRPr="00021B02">
        <w:rPr>
          <w:lang w:eastAsia="en-US"/>
        </w:rPr>
        <w:t xml:space="preserve"> </w:t>
      </w:r>
      <w:r w:rsidRPr="00021B02">
        <w:rPr>
          <w:lang w:eastAsia="en-US"/>
        </w:rPr>
        <w:t>наравне с другими брокерами и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видит</w:t>
      </w:r>
      <w:r w:rsidR="00021B02">
        <w:rPr>
          <w:lang w:eastAsia="en-US"/>
        </w:rPr>
        <w:t xml:space="preserve">", </w:t>
      </w:r>
      <w:r w:rsidRPr="00021B02">
        <w:rPr>
          <w:lang w:eastAsia="en-US"/>
        </w:rPr>
        <w:t>как его ордер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появляется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в окне торговой системы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То есть из классической цепочки доступа</w:t>
      </w:r>
      <w:r w:rsidR="007834FA" w:rsidRPr="00021B02">
        <w:rPr>
          <w:lang w:eastAsia="en-US"/>
        </w:rPr>
        <w:t xml:space="preserve"> </w:t>
      </w:r>
      <w:r w:rsidRPr="00021B02">
        <w:rPr>
          <w:lang w:eastAsia="en-US"/>
        </w:rPr>
        <w:t>выпадают два промежуточных звена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брокер и непосредственный участник торгов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При этом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прямой доступ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является технологическим понятием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С точки зрения законодательства, клиент не может выставлять сделку на бирже от своего имени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К тому же биржа не открывает инвестиционных счетов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 xml:space="preserve">Поэтому при работе на традиционных биржах брокер все равно неявно присутствует в цепочке, но не как посредник для вывода сделки на рынок, а как лицо, отслеживающее лимиты клиента на совершение операций, осуществляющее поставку фондового актива, платежи, оформляющее переход прав собственности на активы и </w:t>
      </w:r>
      <w:r w:rsidR="00021B02">
        <w:rPr>
          <w:lang w:eastAsia="en-US"/>
        </w:rPr>
        <w:t>т.д.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Электронные коммуникационные Сети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ECN</w:t>
      </w:r>
      <w:r w:rsidR="00021B02" w:rsidRPr="00021B02">
        <w:rPr>
          <w:lang w:eastAsia="en-US"/>
        </w:rPr>
        <w:t xml:space="preserve">) - </w:t>
      </w:r>
      <w:r w:rsidRPr="00021B02">
        <w:rPr>
          <w:lang w:eastAsia="en-US"/>
        </w:rPr>
        <w:t>это электронные торговые площадки, в которых реализованы основные функции классической биржи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Они создавались как среда для обработки и исполнения лимит-ордеров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приказ клиента брокеру с определенным ограничительным условием</w:t>
      </w:r>
      <w:r w:rsidR="00021B02" w:rsidRPr="00021B02">
        <w:rPr>
          <w:lang w:eastAsia="en-US"/>
        </w:rPr>
        <w:t xml:space="preserve">). </w:t>
      </w:r>
      <w:r w:rsidRPr="00021B02">
        <w:rPr>
          <w:lang w:eastAsia="en-US"/>
        </w:rPr>
        <w:t>Такие ордера не могут быть исполнены на биржевой площадке до тех пор, пока указанная в них цена не станет рыночной, однако они могут быть исполнены внутри ECN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Механизм достаточно прост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все поступающие в ECN заявки вносятся в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книгу ордеров</w:t>
      </w:r>
      <w:r w:rsidR="00021B02">
        <w:rPr>
          <w:lang w:eastAsia="en-US"/>
        </w:rPr>
        <w:t>" (</w:t>
      </w:r>
      <w:r w:rsidRPr="00021B02">
        <w:rPr>
          <w:lang w:eastAsia="en-US"/>
        </w:rPr>
        <w:t>базу данных, доступную всем участникам системы</w:t>
      </w:r>
      <w:r w:rsidR="00021B02" w:rsidRPr="00021B02">
        <w:rPr>
          <w:lang w:eastAsia="en-US"/>
        </w:rPr>
        <w:t xml:space="preserve">) </w:t>
      </w:r>
      <w:r w:rsidRPr="00021B02">
        <w:rPr>
          <w:lang w:eastAsia="en-US"/>
        </w:rPr>
        <w:t>и обрабатываются в системе поиска совпадающих приказов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order matching system</w:t>
      </w:r>
      <w:r w:rsidR="00021B02" w:rsidRPr="00021B02">
        <w:rPr>
          <w:lang w:eastAsia="en-US"/>
        </w:rPr>
        <w:t xml:space="preserve">). </w:t>
      </w:r>
      <w:r w:rsidRPr="00021B02">
        <w:rPr>
          <w:lang w:eastAsia="en-US"/>
        </w:rPr>
        <w:t>При совпадении по цене и количеству два встречных приказа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один на покупку, другой на продажу ценных бумаг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автоматически исполняются в рамках компьютерной системы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Существуют два основных технологических способа предоставления брокерских услуг через Интернет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Клиент покупает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продает</w:t>
      </w:r>
      <w:r w:rsidR="00021B02" w:rsidRPr="00021B02">
        <w:rPr>
          <w:lang w:eastAsia="en-US"/>
        </w:rPr>
        <w:t xml:space="preserve">) </w:t>
      </w:r>
      <w:r w:rsidRPr="00021B02">
        <w:rPr>
          <w:lang w:eastAsia="en-US"/>
        </w:rPr>
        <w:t>ценные бумаги, составляет свой инвестиционный портфель непосредственно на Web-сайте компании-посредника, пользуясь при этом обычным Web-браузером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Клиент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пользователь</w:t>
      </w:r>
      <w:r w:rsidR="00021B02" w:rsidRPr="00021B02">
        <w:rPr>
          <w:lang w:eastAsia="en-US"/>
        </w:rPr>
        <w:t xml:space="preserve">) </w:t>
      </w:r>
      <w:r w:rsidRPr="00021B02">
        <w:rPr>
          <w:lang w:eastAsia="en-US"/>
        </w:rPr>
        <w:t xml:space="preserve">устанавливает на своем компьютере специальное программное обеспечение, с помощью </w:t>
      </w:r>
      <w:r w:rsidR="007834FA" w:rsidRPr="00021B02">
        <w:rPr>
          <w:lang w:eastAsia="en-US"/>
        </w:rPr>
        <w:t>которого</w:t>
      </w:r>
      <w:r w:rsidRPr="00021B02">
        <w:rPr>
          <w:lang w:eastAsia="en-US"/>
        </w:rPr>
        <w:t xml:space="preserve"> получает информацию и совершает транзакции на финансовых рынках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Первый способ проще и дешевле как для клиента, так и для компании-посредника, но в силу своей технологии налагает некоторые ограничения на представление финансовой информации для клиента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Второй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наиболее эффективен для пользователя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Он позволяет настраивать под себя интерфейс, строить графики, получать только ту информацию, которая нужна пользователю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 xml:space="preserve">и </w:t>
      </w:r>
      <w:r w:rsidR="00021B02">
        <w:rPr>
          <w:lang w:eastAsia="en-US"/>
        </w:rPr>
        <w:t>т.д.</w:t>
      </w:r>
      <w:r w:rsidR="00021B02" w:rsidRPr="00021B02">
        <w:rPr>
          <w:lang w:eastAsia="en-US"/>
        </w:rPr>
        <w:t xml:space="preserve"> </w:t>
      </w:r>
      <w:r w:rsidRPr="00021B02">
        <w:rPr>
          <w:lang w:eastAsia="en-US"/>
        </w:rPr>
        <w:t>Так сложилось, что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 странах, где наиболее развит частный инвестиционный сектор, преобладает первый способ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 этих странах для любого простого гражданина вложение денег в ценные бумаги в силу относительной стабильности фондовых рынков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это обычный способ сбережения и дохода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Частному инвестору не требуется специального программного обеспечения, чтобы про</w:t>
      </w:r>
      <w:r w:rsidR="007834FA" w:rsidRPr="00021B02">
        <w:rPr>
          <w:lang w:eastAsia="en-US"/>
        </w:rPr>
        <w:t>в</w:t>
      </w:r>
      <w:r w:rsidRPr="00021B02">
        <w:rPr>
          <w:lang w:eastAsia="en-US"/>
        </w:rPr>
        <w:t>одить свою инвестиционную стратегию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либо он инвестирует в менее рискованные активы, либо инвестиционной политикой занимаются специалисты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К этой категории относятся все западные компании, такие как E-trade, Datek online, Charles Schwad, финский банк Merita, американский Well's Fargo и многие другие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 России на данный момент ситуация полностью противоположная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почти все российские электронные брокеры используют специальное программное обеспечение в том или ином виде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Это связано с тем, что эффективная работа с российскими ценными бумагами требует от инвестора большого опыта и наличия под рукой всей необходимой финансовой информации и средств для ее различной интерпретации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Интернет-трейдинг в России получил развитие с середины 1999 г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Первой была Московская межбанковская валютная биржа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ММВБ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разработавшая совместно с компанией СМА Small Systems прикладной программный интерфейс, позволяющий подключать к торгово-депозитарным комплексам ММВБ внешние системы распространения торговой информации, сбора клиентских заявок, ведения позиций, риск-менеджмента и </w:t>
      </w:r>
      <w:r w:rsidR="00021B02">
        <w:rPr>
          <w:lang w:eastAsia="en-US"/>
        </w:rPr>
        <w:t>т.д.</w:t>
      </w:r>
      <w:r w:rsidR="00021B02" w:rsidRPr="00021B02">
        <w:rPr>
          <w:lang w:eastAsia="en-US"/>
        </w:rPr>
        <w:t xml:space="preserve"> </w:t>
      </w:r>
      <w:r w:rsidRPr="00021B02">
        <w:rPr>
          <w:lang w:eastAsia="en-US"/>
        </w:rPr>
        <w:t>За ММВБ последовала Российская торговая система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РТС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которая при разработке системы гарантированных котировок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СГК</w:t>
      </w:r>
      <w:r w:rsidR="00021B02" w:rsidRPr="00021B02">
        <w:rPr>
          <w:lang w:eastAsia="en-US"/>
        </w:rPr>
        <w:t xml:space="preserve">) </w:t>
      </w:r>
      <w:r w:rsidRPr="00021B02">
        <w:rPr>
          <w:lang w:eastAsia="en-US"/>
        </w:rPr>
        <w:t>изначально ориентировалась ни доступ через Интерне</w:t>
      </w:r>
      <w:r w:rsidR="00021B02">
        <w:rPr>
          <w:lang w:eastAsia="en-US"/>
        </w:rPr>
        <w:t>т.д.</w:t>
      </w:r>
      <w:r w:rsidRPr="00021B02">
        <w:rPr>
          <w:lang w:eastAsia="en-US"/>
        </w:rPr>
        <w:t>алее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Московская фондовая биржа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МФБ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биржи Санкт-Петербурга, Владивостока и Ростова-на-Дону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 числе систем, активно использующихся на российском рынке трейдерских услуг</w:t>
      </w:r>
      <w:r w:rsidR="00021B02" w:rsidRPr="00021B02">
        <w:rPr>
          <w:lang w:eastAsia="en-US"/>
        </w:rPr>
        <w:t>: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Система</w:t>
      </w:r>
      <w:r w:rsidRPr="00021B02">
        <w:rPr>
          <w:lang w:val="en-US" w:eastAsia="en-US"/>
        </w:rPr>
        <w:t xml:space="preserve"> Remote Trader</w:t>
      </w:r>
      <w:r w:rsidR="00021B02">
        <w:rPr>
          <w:lang w:val="en-US" w:eastAsia="en-US"/>
        </w:rPr>
        <w:t xml:space="preserve"> (</w:t>
      </w:r>
      <w:r w:rsidR="00021B02" w:rsidRPr="00854B5A">
        <w:rPr>
          <w:lang w:val="en-US" w:eastAsia="en-US"/>
        </w:rPr>
        <w:t>www.</w:t>
      </w:r>
      <w:r w:rsidRPr="00854B5A">
        <w:rPr>
          <w:lang w:val="en-US" w:eastAsia="en-US"/>
        </w:rPr>
        <w:t>onlinebroker</w:t>
      </w:r>
      <w:r w:rsidR="00021B02" w:rsidRPr="00854B5A">
        <w:rPr>
          <w:lang w:val="en-US" w:eastAsia="en-US"/>
        </w:rPr>
        <w:t>.ru</w:t>
      </w:r>
      <w:r w:rsidR="00021B02" w:rsidRPr="00021B02">
        <w:rPr>
          <w:lang w:val="en-US" w:eastAsia="en-US"/>
        </w:rPr>
        <w:t xml:space="preserve">). </w:t>
      </w:r>
      <w:r w:rsidRPr="00021B02">
        <w:rPr>
          <w:lang w:eastAsia="en-US"/>
        </w:rPr>
        <w:t>Системы</w:t>
      </w:r>
      <w:r w:rsidR="000D64FA" w:rsidRPr="00021B02">
        <w:rPr>
          <w:lang w:eastAsia="en-US"/>
        </w:rPr>
        <w:t xml:space="preserve"> </w:t>
      </w:r>
      <w:r w:rsidRPr="00021B02">
        <w:rPr>
          <w:lang w:eastAsia="en-US"/>
        </w:rPr>
        <w:t>позволяет клиентам обмениваться зашифрованными протоколированными сообщениями с банком, запрашивать и получать котировки по любым финансовым инструментам, обращающимся на ММВБ, МФ</w:t>
      </w:r>
      <w:r w:rsidR="000D64FA" w:rsidRPr="00021B02">
        <w:rPr>
          <w:lang w:eastAsia="en-US"/>
        </w:rPr>
        <w:t xml:space="preserve">Б, Forex, и направлять заявки и </w:t>
      </w:r>
      <w:r w:rsidRPr="00021B02">
        <w:rPr>
          <w:lang w:eastAsia="en-US"/>
        </w:rPr>
        <w:t>покупку и продажу ценных бумаг в режиме реального времени через Интернет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Система Remote Trader может работать на нескольких площадках с осуществлением следующих</w:t>
      </w:r>
      <w:r w:rsidR="000D64FA" w:rsidRPr="00021B02">
        <w:rPr>
          <w:lang w:eastAsia="en-US"/>
        </w:rPr>
        <w:t xml:space="preserve"> </w:t>
      </w:r>
      <w:r w:rsidRPr="00021B02">
        <w:rPr>
          <w:lang w:eastAsia="en-US"/>
        </w:rPr>
        <w:t>функций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просмотр котировок всех инструментов, включенных в листинг ММВБ и МФБ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акции, облигации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в режиме</w:t>
      </w:r>
      <w:r w:rsidR="000D64FA" w:rsidRPr="00021B02">
        <w:rPr>
          <w:lang w:eastAsia="en-US"/>
        </w:rPr>
        <w:t xml:space="preserve"> </w:t>
      </w:r>
      <w:r w:rsidRPr="00021B02">
        <w:rPr>
          <w:lang w:eastAsia="en-US"/>
        </w:rPr>
        <w:t>реального времени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просмотр котировок только при совмещении с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ЭФиРом</w:t>
      </w:r>
      <w:r w:rsidR="00021B02">
        <w:rPr>
          <w:lang w:eastAsia="en-US"/>
        </w:rPr>
        <w:t>"</w:t>
      </w:r>
      <w:r w:rsidR="00021B02" w:rsidRPr="00021B02">
        <w:rPr>
          <w:lang w:eastAsia="en-US"/>
        </w:rPr>
        <w:t xml:space="preserve">); </w:t>
      </w:r>
      <w:r w:rsidRPr="00021B02">
        <w:rPr>
          <w:lang w:eastAsia="en-US"/>
        </w:rPr>
        <w:t>формирование и отправка через Интернет заявок на ММВБ и МФБ, Forex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осуществление операций с частичным покрытием при бесплатном кредитовании</w:t>
      </w:r>
      <w:r w:rsidR="000D64FA" w:rsidRPr="00021B02">
        <w:rPr>
          <w:lang w:eastAsia="en-US"/>
        </w:rPr>
        <w:t xml:space="preserve"> </w:t>
      </w:r>
      <w:r w:rsidRPr="00021B02">
        <w:rPr>
          <w:lang w:eastAsia="en-US"/>
        </w:rPr>
        <w:t>деньгами или ценными бумагами в течение торговой сессии</w:t>
      </w:r>
      <w:r w:rsidR="00021B02" w:rsidRPr="00021B02">
        <w:rPr>
          <w:lang w:eastAsia="en-US"/>
        </w:rPr>
        <w:t>;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контроль состояния инвестиционного портфеля в реальном</w:t>
      </w:r>
      <w:r w:rsidR="000D64FA" w:rsidRPr="00021B02">
        <w:rPr>
          <w:lang w:eastAsia="en-US"/>
        </w:rPr>
        <w:t xml:space="preserve"> </w:t>
      </w:r>
      <w:r w:rsidRPr="00021B02">
        <w:rPr>
          <w:lang w:eastAsia="en-US"/>
        </w:rPr>
        <w:t>времени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возможность открытия короткой позиции при совершении операций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Клиенты могут открывать короткую позицию при совершении операций как по денежным средствам, так и по ценным бумагам при работе с инструментами, обращающимися на ММВБ и МФБ, через Интернет в режиме реального времени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Система Remote Trader дает возможность совершать транзакции и предоставляет минимальную рыночную инфор мацию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Система Remote Trader успешно эксплуатировалась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Гута-Банком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с 1997 г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GutaBROKER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собственный продукт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Гута-Банка</w:t>
      </w:r>
      <w:r w:rsidR="00021B02">
        <w:rPr>
          <w:lang w:eastAsia="en-US"/>
        </w:rPr>
        <w:t xml:space="preserve">". </w:t>
      </w:r>
      <w:r w:rsidRPr="00021B02">
        <w:rPr>
          <w:lang w:eastAsia="en-US"/>
        </w:rPr>
        <w:t>Это</w:t>
      </w:r>
      <w:r w:rsidR="000D64FA" w:rsidRPr="00021B02">
        <w:rPr>
          <w:lang w:eastAsia="en-US"/>
        </w:rPr>
        <w:t xml:space="preserve"> </w:t>
      </w:r>
      <w:r w:rsidRPr="00021B02">
        <w:rPr>
          <w:lang w:eastAsia="en-US"/>
        </w:rPr>
        <w:t>система для удаленного обслуживания клиентов на фондовом рынке и рынке FORE</w:t>
      </w:r>
      <w:r w:rsidR="000D64FA" w:rsidRPr="00021B02">
        <w:rPr>
          <w:lang w:eastAsia="en-US"/>
        </w:rPr>
        <w:t>X пришла на смену первой россий</w:t>
      </w:r>
      <w:r w:rsidRPr="00021B02">
        <w:rPr>
          <w:lang w:eastAsia="en-US"/>
        </w:rPr>
        <w:t>кой Интернет-трейдинговой системе Remote Trader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Интерфейс системы GutaBROKER несколько отличается гго построению от привычного большинству пользователей интерфейса, Работа с окнами построена на основе иерархической дре</w:t>
      </w:r>
      <w:r w:rsidR="000D64FA" w:rsidRPr="00021B02">
        <w:rPr>
          <w:lang w:eastAsia="en-US"/>
        </w:rPr>
        <w:t>в</w:t>
      </w:r>
      <w:r w:rsidRPr="00021B02">
        <w:rPr>
          <w:lang w:eastAsia="en-US"/>
        </w:rPr>
        <w:t>овидной структуры, облегчающей поиск необходимых инструментов и функций и позволяющей добавлять новые полезные функции без замены программного обеспечения у клиента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Система</w:t>
      </w:r>
      <w:r w:rsidRPr="00021B02">
        <w:rPr>
          <w:lang w:val="en-US" w:eastAsia="en-US"/>
        </w:rPr>
        <w:t xml:space="preserve"> Alor-Trade</w:t>
      </w:r>
      <w:r w:rsidR="00021B02">
        <w:rPr>
          <w:lang w:val="en-US" w:eastAsia="en-US"/>
        </w:rPr>
        <w:t xml:space="preserve"> (</w:t>
      </w:r>
      <w:r w:rsidR="00021B02" w:rsidRPr="00854B5A">
        <w:rPr>
          <w:lang w:val="en-US" w:eastAsia="en-US"/>
        </w:rPr>
        <w:t>www.</w:t>
      </w:r>
      <w:r w:rsidRPr="00854B5A">
        <w:rPr>
          <w:lang w:val="en-US" w:eastAsia="en-US"/>
        </w:rPr>
        <w:t>alor</w:t>
      </w:r>
      <w:r w:rsidR="00021B02" w:rsidRPr="00854B5A">
        <w:rPr>
          <w:lang w:val="en-US" w:eastAsia="en-US"/>
        </w:rPr>
        <w:t>.ru</w:t>
      </w:r>
      <w:r w:rsidR="00021B02" w:rsidRPr="00021B02">
        <w:rPr>
          <w:lang w:val="en-US" w:eastAsia="en-US"/>
        </w:rPr>
        <w:t xml:space="preserve">). </w:t>
      </w:r>
      <w:r w:rsidRPr="00021B02">
        <w:rPr>
          <w:lang w:eastAsia="en-US"/>
        </w:rPr>
        <w:t>Данная система по</w:t>
      </w:r>
      <w:r w:rsidR="000D64FA" w:rsidRPr="00021B02">
        <w:rPr>
          <w:lang w:eastAsia="en-US"/>
        </w:rPr>
        <w:t>зво</w:t>
      </w:r>
      <w:r w:rsidRPr="00021B02">
        <w:rPr>
          <w:lang w:eastAsia="en-US"/>
        </w:rPr>
        <w:t>ляет наблюдать в режиме подключения за ходом торгов в фондовой секции ММВБ, видеть совершаемые в ней сделки, текущие котировки по избранным инструментам, а также динамически изменяющиеся после каждой сделки сведения о лимитах инвестора по деньгам и по ценным бумагам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Система QUIK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 xml:space="preserve">Данная система была разработана </w:t>
      </w:r>
      <w:r w:rsidR="000D64FA" w:rsidRPr="00021B02">
        <w:rPr>
          <w:lang w:eastAsia="en-US"/>
        </w:rPr>
        <w:t>си</w:t>
      </w:r>
      <w:r w:rsidRPr="00021B02">
        <w:rPr>
          <w:lang w:eastAsia="en-US"/>
        </w:rPr>
        <w:t>бирской межбанковской валютной биржей и предприятие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СМВБ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Информационные технологии</w:t>
      </w:r>
      <w:r w:rsidR="00021B02">
        <w:rPr>
          <w:lang w:eastAsia="en-US"/>
        </w:rPr>
        <w:t xml:space="preserve">". </w:t>
      </w:r>
      <w:r w:rsidRPr="00021B02">
        <w:rPr>
          <w:lang w:eastAsia="en-US"/>
        </w:rPr>
        <w:t>Информационны</w:t>
      </w:r>
      <w:r w:rsidR="000D64FA" w:rsidRPr="00021B02">
        <w:rPr>
          <w:lang w:eastAsia="en-US"/>
        </w:rPr>
        <w:t>у</w:t>
      </w:r>
      <w:r w:rsidRPr="00021B02">
        <w:rPr>
          <w:lang w:eastAsia="en-US"/>
        </w:rPr>
        <w:t xml:space="preserve"> и торговые системы, реализованные на платформе QtHl эксплуатируются не только на СМВБ, но и на других </w:t>
      </w:r>
      <w:r w:rsidR="000D64FA" w:rsidRPr="00021B02">
        <w:rPr>
          <w:lang w:eastAsia="en-US"/>
        </w:rPr>
        <w:t>ва</w:t>
      </w:r>
      <w:r w:rsidRPr="00021B02">
        <w:rPr>
          <w:lang w:eastAsia="en-US"/>
        </w:rPr>
        <w:t>лютных биржах, в банках и финансовых компаниях, На д</w:t>
      </w:r>
      <w:r w:rsidR="000D64FA" w:rsidRPr="00021B02">
        <w:rPr>
          <w:lang w:eastAsia="en-US"/>
        </w:rPr>
        <w:t>анный</w:t>
      </w:r>
      <w:r w:rsidRPr="00021B02">
        <w:rPr>
          <w:lang w:eastAsia="en-US"/>
        </w:rPr>
        <w:t xml:space="preserve"> момент на базе платформы QUIK реализованы о п информационная</w:t>
      </w:r>
      <w:r w:rsidR="00021B02">
        <w:rPr>
          <w:lang w:eastAsia="en-US"/>
        </w:rPr>
        <w:t xml:space="preserve"> (</w:t>
      </w:r>
      <w:r w:rsidR="000D64FA" w:rsidRPr="00021B02">
        <w:rPr>
          <w:lang w:eastAsia="en-US"/>
        </w:rPr>
        <w:t>QUIK-Инфо</w:t>
      </w:r>
      <w:r w:rsidR="00021B02" w:rsidRPr="00021B02">
        <w:rPr>
          <w:lang w:eastAsia="en-US"/>
        </w:rPr>
        <w:t xml:space="preserve">) </w:t>
      </w:r>
      <w:r w:rsidR="000D64FA" w:rsidRPr="00021B02">
        <w:rPr>
          <w:lang w:eastAsia="en-US"/>
        </w:rPr>
        <w:t>и три информационные</w:t>
      </w:r>
      <w:r w:rsidRPr="00021B02">
        <w:rPr>
          <w:lang w:eastAsia="en-US"/>
        </w:rPr>
        <w:t xml:space="preserve"> системы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QUIK-ETC, QUIK-Акции и QUIK-Брокер</w:t>
      </w:r>
      <w:r w:rsidR="00021B02" w:rsidRPr="00021B02">
        <w:rPr>
          <w:lang w:eastAsia="en-US"/>
        </w:rPr>
        <w:t>).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Используя системы, можно участвовать в торгах на ' дующих биржах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на единой межбиржевой торговой сет</w:t>
      </w:r>
    </w:p>
    <w:p w:rsidR="00021B02" w:rsidRDefault="00021B02" w:rsidP="00021B02">
      <w:pPr>
        <w:ind w:firstLine="709"/>
        <w:rPr>
          <w:lang w:eastAsia="en-US"/>
        </w:rPr>
      </w:pPr>
      <w:r>
        <w:rPr>
          <w:lang w:eastAsia="en-US"/>
        </w:rPr>
        <w:t>(</w:t>
      </w:r>
      <w:r w:rsidR="00A1692C" w:rsidRPr="00021B02">
        <w:rPr>
          <w:lang w:eastAsia="en-US"/>
        </w:rPr>
        <w:t>К</w:t>
      </w:r>
      <w:r>
        <w:rPr>
          <w:lang w:eastAsia="en-US"/>
        </w:rPr>
        <w:t>"</w:t>
      </w:r>
      <w:r w:rsidR="00A1692C" w:rsidRPr="00021B02">
        <w:rPr>
          <w:lang w:eastAsia="en-US"/>
        </w:rPr>
        <w:t>ГС</w:t>
      </w:r>
      <w:r w:rsidRPr="00021B02">
        <w:rPr>
          <w:lang w:eastAsia="en-US"/>
        </w:rPr>
        <w:t xml:space="preserve">) - </w:t>
      </w:r>
      <w:r w:rsidR="00A1692C" w:rsidRPr="00021B02">
        <w:rPr>
          <w:lang w:eastAsia="en-US"/>
        </w:rPr>
        <w:t>иностранной валютой</w:t>
      </w:r>
      <w:r w:rsidRPr="00021B02">
        <w:rPr>
          <w:lang w:eastAsia="en-US"/>
        </w:rPr>
        <w:t xml:space="preserve">; </w:t>
      </w:r>
      <w:r w:rsidR="00A1692C" w:rsidRPr="00021B02">
        <w:rPr>
          <w:lang w:eastAsia="en-US"/>
        </w:rPr>
        <w:t>на ММВБ</w:t>
      </w:r>
      <w:r w:rsidRPr="00021B02">
        <w:rPr>
          <w:lang w:eastAsia="en-US"/>
        </w:rPr>
        <w:t xml:space="preserve"> - </w:t>
      </w:r>
      <w:r w:rsidR="00A1692C" w:rsidRPr="00021B02">
        <w:rPr>
          <w:lang w:eastAsia="en-US"/>
        </w:rPr>
        <w:t>иностранной нилютой в СЭЛТ, государственными долговыми обязательными</w:t>
      </w:r>
      <w:r>
        <w:rPr>
          <w:lang w:eastAsia="en-US"/>
        </w:rPr>
        <w:t xml:space="preserve"> (</w:t>
      </w:r>
      <w:r w:rsidR="00A1692C" w:rsidRPr="00021B02">
        <w:rPr>
          <w:lang w:eastAsia="en-US"/>
        </w:rPr>
        <w:t>ГКО,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ОФЗ</w:t>
      </w:r>
      <w:r w:rsidRPr="00021B02">
        <w:rPr>
          <w:lang w:eastAsia="en-US"/>
        </w:rPr>
        <w:t xml:space="preserve">) </w:t>
      </w:r>
      <w:r w:rsidR="00A1692C" w:rsidRPr="00021B02">
        <w:rPr>
          <w:lang w:eastAsia="en-US"/>
        </w:rPr>
        <w:t>и приравненными к ним ценными бума-1ми</w:t>
      </w:r>
      <w:r w:rsidRPr="00021B02">
        <w:rPr>
          <w:lang w:eastAsia="en-US"/>
        </w:rPr>
        <w:t xml:space="preserve">, </w:t>
      </w:r>
      <w:r w:rsidR="00A1692C" w:rsidRPr="00021B02">
        <w:rPr>
          <w:lang w:eastAsia="en-US"/>
        </w:rPr>
        <w:t>корпоративными ценными</w:t>
      </w:r>
      <w:r w:rsidRPr="00021B02">
        <w:rPr>
          <w:lang w:eastAsia="en-US"/>
        </w:rPr>
        <w:t xml:space="preserve"> </w:t>
      </w:r>
      <w:r w:rsidR="00A1692C" w:rsidRPr="00021B02">
        <w:rPr>
          <w:lang w:eastAsia="en-US"/>
        </w:rPr>
        <w:t>бумагами</w:t>
      </w:r>
      <w:r w:rsidRPr="00021B02">
        <w:rPr>
          <w:lang w:eastAsia="en-US"/>
        </w:rPr>
        <w:t xml:space="preserve">, </w:t>
      </w:r>
      <w:r w:rsidR="00A1692C" w:rsidRPr="00021B02">
        <w:rPr>
          <w:lang w:eastAsia="en-US"/>
        </w:rPr>
        <w:t xml:space="preserve">облигациями </w:t>
      </w:r>
      <w:r w:rsidR="000D64FA" w:rsidRPr="00021B02">
        <w:rPr>
          <w:lang w:eastAsia="en-US"/>
        </w:rPr>
        <w:t>объектов</w:t>
      </w:r>
      <w:r w:rsidR="00A1692C" w:rsidRPr="00021B02">
        <w:rPr>
          <w:lang w:eastAsia="en-US"/>
        </w:rPr>
        <w:t xml:space="preserve"> Федерации</w:t>
      </w:r>
      <w:r w:rsidRPr="00021B02">
        <w:rPr>
          <w:lang w:eastAsia="en-US"/>
        </w:rPr>
        <w:t xml:space="preserve">; </w:t>
      </w:r>
      <w:r w:rsidR="00A1692C" w:rsidRPr="00021B02">
        <w:rPr>
          <w:lang w:eastAsia="en-US"/>
        </w:rPr>
        <w:t>на СМВБ</w:t>
      </w:r>
      <w:r w:rsidRPr="00021B02">
        <w:rPr>
          <w:lang w:eastAsia="en-US"/>
        </w:rPr>
        <w:t xml:space="preserve"> - </w:t>
      </w:r>
      <w:r w:rsidR="00A1692C" w:rsidRPr="00021B02">
        <w:rPr>
          <w:lang w:eastAsia="en-US"/>
        </w:rPr>
        <w:t>иностранной валютой в ЛОТ, областными и муниципальными долговыми обязательными</w:t>
      </w:r>
      <w:r w:rsidRPr="00021B02">
        <w:rPr>
          <w:lang w:eastAsia="en-US"/>
        </w:rPr>
        <w:t xml:space="preserve">; </w:t>
      </w:r>
      <w:r w:rsidR="00A1692C" w:rsidRPr="00021B02">
        <w:rPr>
          <w:lang w:eastAsia="en-US"/>
        </w:rPr>
        <w:t>на РТС</w:t>
      </w:r>
      <w:r w:rsidRPr="00021B02">
        <w:rPr>
          <w:lang w:eastAsia="en-US"/>
        </w:rPr>
        <w:t xml:space="preserve"> - </w:t>
      </w:r>
      <w:r w:rsidR="00A1692C" w:rsidRPr="00021B02">
        <w:rPr>
          <w:lang w:eastAsia="en-US"/>
        </w:rPr>
        <w:t>акциями и инструментами срочного рынка i ORTS</w:t>
      </w:r>
      <w:r w:rsidRPr="00021B02">
        <w:rPr>
          <w:lang w:eastAsia="en-US"/>
        </w:rPr>
        <w:t xml:space="preserve">; </w:t>
      </w:r>
      <w:r w:rsidR="00A1692C" w:rsidRPr="00021B02">
        <w:rPr>
          <w:lang w:eastAsia="en-US"/>
        </w:rPr>
        <w:t>на бирже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Санкт-Петербург</w:t>
      </w:r>
      <w:r>
        <w:rPr>
          <w:lang w:eastAsia="en-US"/>
        </w:rPr>
        <w:t xml:space="preserve">" </w:t>
      </w:r>
      <w:r w:rsidRPr="00021B02">
        <w:rPr>
          <w:lang w:eastAsia="en-US"/>
        </w:rPr>
        <w:t xml:space="preserve">- </w:t>
      </w:r>
      <w:r w:rsidR="00A1692C" w:rsidRPr="00021B02">
        <w:rPr>
          <w:lang w:eastAsia="en-US"/>
        </w:rPr>
        <w:t xml:space="preserve">корпоративными </w:t>
      </w:r>
      <w:r w:rsidR="000D64FA" w:rsidRPr="00021B02">
        <w:rPr>
          <w:lang w:eastAsia="en-US"/>
        </w:rPr>
        <w:t xml:space="preserve">и </w:t>
      </w:r>
      <w:r w:rsidR="00A1692C" w:rsidRPr="00021B02">
        <w:rPr>
          <w:lang w:eastAsia="en-US"/>
        </w:rPr>
        <w:t>иными бумагами</w:t>
      </w:r>
      <w:r w:rsidRPr="00021B02">
        <w:rPr>
          <w:lang w:eastAsia="en-US"/>
        </w:rPr>
        <w:t xml:space="preserve">; </w:t>
      </w:r>
      <w:r w:rsidR="00A1692C" w:rsidRPr="00021B02">
        <w:rPr>
          <w:lang w:eastAsia="en-US"/>
        </w:rPr>
        <w:t>на СПВБ</w:t>
      </w:r>
      <w:r w:rsidRPr="00021B02">
        <w:rPr>
          <w:lang w:eastAsia="en-US"/>
        </w:rPr>
        <w:t xml:space="preserve"> - </w:t>
      </w:r>
      <w:r w:rsidR="00A1692C" w:rsidRPr="00021B02">
        <w:rPr>
          <w:lang w:eastAsia="en-US"/>
        </w:rPr>
        <w:t>облигациями Санкт-Петербурга</w:t>
      </w:r>
      <w:r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 xml:space="preserve">Помимо биржевой информации, через систему могут поставляться оперативные новостные ленты информационных </w:t>
      </w:r>
      <w:r w:rsidR="000D64FA" w:rsidRPr="00021B02">
        <w:rPr>
          <w:lang w:eastAsia="en-US"/>
        </w:rPr>
        <w:t>агенств</w:t>
      </w:r>
      <w:r w:rsidR="00021B02">
        <w:rPr>
          <w:lang w:eastAsia="en-US"/>
        </w:rPr>
        <w:t xml:space="preserve"> ("</w:t>
      </w:r>
      <w:r w:rsidRPr="00021B02">
        <w:rPr>
          <w:lang w:eastAsia="en-US"/>
        </w:rPr>
        <w:t>Прайм-ТАСС</w:t>
      </w:r>
      <w:r w:rsidR="00021B02">
        <w:rPr>
          <w:lang w:eastAsia="en-US"/>
        </w:rPr>
        <w:t>", "</w:t>
      </w:r>
      <w:r w:rsidRPr="00021B02">
        <w:rPr>
          <w:lang w:eastAsia="en-US"/>
        </w:rPr>
        <w:t>Росбизнесконсалтинг</w:t>
      </w:r>
      <w:r w:rsidR="00021B02">
        <w:rPr>
          <w:lang w:eastAsia="en-US"/>
        </w:rPr>
        <w:t xml:space="preserve">", </w:t>
      </w:r>
      <w:r w:rsidRPr="00021B02">
        <w:rPr>
          <w:lang w:eastAsia="en-US"/>
        </w:rPr>
        <w:t>МФД-Ин-фпцевтр,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Интерфакс</w:t>
      </w:r>
      <w:r w:rsidR="00021B02">
        <w:rPr>
          <w:lang w:eastAsia="en-US"/>
        </w:rPr>
        <w:t>"</w:t>
      </w:r>
      <w:r w:rsidR="00021B02" w:rsidRPr="00021B02">
        <w:rPr>
          <w:lang w:eastAsia="en-US"/>
        </w:rPr>
        <w:t>).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Базовый функционал систем QUIK-Акции, QUIK-Брокер н QU1K-ETC позволяет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подавать заявки на покупку /продажу финансовых инструментов и осуществлять сделки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от</w:t>
      </w:r>
      <w:r w:rsidR="00AB15BF">
        <w:rPr>
          <w:noProof/>
        </w:rPr>
        <w:pict>
          <v:line id="_x0000_s1027" style="position:absolute;left:0;text-align:left;z-index:251658240;mso-position-horizontal-relative:margin;mso-position-vertical-relative:text" from="-40.3pt,471.95pt" to="-40.3pt,511.55pt" o:allowincell="f" strokeweight=".35pt">
            <w10:wrap anchorx="margin"/>
          </v:line>
        </w:pict>
      </w:r>
      <w:r w:rsidRPr="00021B02">
        <w:rPr>
          <w:lang w:eastAsia="en-US"/>
        </w:rPr>
        <w:t>слеживать состояние заявок и сделок, а также текущее состояние денежных позиций трейдера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получать обезличенные данные по всем сделкам, заключенным в торговой системе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вести текстовые переговоры между участниками рынка и маклером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Ознакомительный доступ к системе чероя браузер реализован с помощью WebQuik</w:t>
      </w:r>
      <w:r w:rsidR="00021B02">
        <w:rPr>
          <w:lang w:eastAsia="en-US"/>
        </w:rPr>
        <w:t xml:space="preserve"> (рис.5.3</w:t>
      </w:r>
      <w:r w:rsidRPr="00021B02">
        <w:rPr>
          <w:lang w:eastAsia="en-US"/>
        </w:rPr>
        <w:t>2</w:t>
      </w:r>
      <w:r w:rsidR="00021B02" w:rsidRPr="00021B02">
        <w:rPr>
          <w:lang w:eastAsia="en-US"/>
        </w:rPr>
        <w:t>).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 табл</w:t>
      </w:r>
      <w:r w:rsidR="00021B02">
        <w:rPr>
          <w:lang w:eastAsia="en-US"/>
        </w:rPr>
        <w:t>.4</w:t>
      </w:r>
      <w:r w:rsidRPr="00021B02">
        <w:rPr>
          <w:lang w:eastAsia="en-US"/>
        </w:rPr>
        <w:t xml:space="preserve"> проведено сравнение функциональности систем GutaBROKER и QUIK</w:t>
      </w:r>
      <w:r w:rsidR="00021B02" w:rsidRPr="00021B02">
        <w:rPr>
          <w:lang w:eastAsia="en-US"/>
        </w:rPr>
        <w:t>.</w:t>
      </w:r>
    </w:p>
    <w:p w:rsidR="00021B02" w:rsidRDefault="00021B02" w:rsidP="00021B02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A1692C" w:rsidRPr="00021B02">
        <w:rPr>
          <w:lang w:eastAsia="en-US"/>
        </w:rPr>
        <w:t xml:space="preserve">Таблица </w:t>
      </w:r>
      <w:r w:rsidR="000D64FA" w:rsidRPr="00021B02">
        <w:rPr>
          <w:lang w:eastAsia="en-US"/>
        </w:rPr>
        <w:t>4</w:t>
      </w:r>
      <w:r w:rsidRPr="00021B02">
        <w:rPr>
          <w:lang w:eastAsia="en-US"/>
        </w:rPr>
        <w:t>.</w:t>
      </w:r>
    </w:p>
    <w:p w:rsidR="00A1692C" w:rsidRPr="00021B02" w:rsidRDefault="00A1692C" w:rsidP="00021B02">
      <w:pPr>
        <w:ind w:left="709" w:firstLine="0"/>
        <w:rPr>
          <w:lang w:eastAsia="en-US"/>
        </w:rPr>
      </w:pPr>
      <w:r w:rsidRPr="00021B02">
        <w:rPr>
          <w:lang w:eastAsia="en-US"/>
        </w:rPr>
        <w:t>Отличительные особенности систем GutaBROKER и QUIK</w:t>
      </w:r>
      <w:r w:rsidR="00021B02">
        <w:rPr>
          <w:lang w:eastAsia="en-US"/>
        </w:rPr>
        <w:t xml:space="preserve"> (</w:t>
      </w:r>
      <w:r w:rsidR="00021B02" w:rsidRPr="00854B5A">
        <w:rPr>
          <w:lang w:eastAsia="en-US"/>
        </w:rPr>
        <w:t>www.</w:t>
      </w:r>
      <w:r w:rsidRPr="00854B5A">
        <w:rPr>
          <w:lang w:eastAsia="en-US"/>
        </w:rPr>
        <w:t>onlinebroker</w:t>
      </w:r>
      <w:r w:rsidR="00021B02" w:rsidRPr="00854B5A">
        <w:rPr>
          <w:lang w:eastAsia="en-US"/>
        </w:rPr>
        <w:t>.ru</w:t>
      </w:r>
      <w:r w:rsidR="00021B02" w:rsidRPr="00021B02">
        <w:rPr>
          <w:lang w:eastAsia="en-US"/>
        </w:rPr>
        <w:t xml:space="preserve">) </w:t>
      </w:r>
    </w:p>
    <w:tbl>
      <w:tblPr>
        <w:tblW w:w="4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095"/>
        <w:gridCol w:w="3100"/>
      </w:tblGrid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Показатели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QUIK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GutaBROKER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Торговые операции на площадках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ММВБ</w:t>
            </w:r>
            <w:r w:rsidR="00021B02">
              <w:t xml:space="preserve"> (</w:t>
            </w:r>
            <w:r w:rsidRPr="00021B02">
              <w:t>ГЦБ, СФР</w:t>
            </w:r>
            <w:r w:rsidR="00021B02" w:rsidRPr="00021B02">
              <w:t>),</w:t>
            </w:r>
            <w:r w:rsidRPr="00021B02">
              <w:t xml:space="preserve"> РТС-СГК, PTC-FORTS, ФБСПб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ММВБ</w:t>
            </w:r>
            <w:r w:rsidR="00021B02">
              <w:t xml:space="preserve"> (</w:t>
            </w:r>
            <w:r w:rsidRPr="00021B02">
              <w:t>ГЦБ, СФР</w:t>
            </w:r>
            <w:r w:rsidR="00021B02" w:rsidRPr="00021B02">
              <w:t>),</w:t>
            </w:r>
            <w:r w:rsidRPr="00021B02">
              <w:t xml:space="preserve"> РТС СГК, PTC-FORTS, ФБСПб, FOREX, осн</w:t>
            </w:r>
            <w:r w:rsidR="00021B02" w:rsidRPr="00021B02">
              <w:t xml:space="preserve">. </w:t>
            </w:r>
            <w:r w:rsidRPr="00021B02">
              <w:t>секция РТС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Дополнительная информация по рынкам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Индексы РТС и ММВБ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Мировые</w:t>
            </w:r>
            <w:r w:rsidR="00021B02" w:rsidRPr="00021B02">
              <w:t xml:space="preserve"> </w:t>
            </w:r>
            <w:r w:rsidRPr="00021B02">
              <w:t>фондовые</w:t>
            </w:r>
            <w:r w:rsidR="00021B02" w:rsidRPr="00021B02">
              <w:t xml:space="preserve"> </w:t>
            </w:r>
            <w:r w:rsidRPr="00021B02">
              <w:t>индексы, Еврооблигации и ОВГВЗ, основная секция РТС, ММВБ СЭЛТ</w:t>
            </w:r>
            <w:r w:rsidR="00021B02" w:rsidRPr="00021B02">
              <w:t xml:space="preserve">. </w:t>
            </w:r>
            <w:r w:rsidRPr="00021B02">
              <w:t>За дополнительную плату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Новостные ленты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21B02" w:rsidP="00021B02">
            <w:pPr>
              <w:pStyle w:val="afb"/>
            </w:pPr>
            <w:r>
              <w:t>"</w:t>
            </w:r>
            <w:r w:rsidR="000D64FA" w:rsidRPr="00021B02">
              <w:t>Прайм-ТАСС</w:t>
            </w:r>
            <w:r>
              <w:t>"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21B02" w:rsidP="00021B02">
            <w:pPr>
              <w:pStyle w:val="afb"/>
            </w:pPr>
            <w:r>
              <w:t>"</w:t>
            </w:r>
            <w:r w:rsidR="000D64FA" w:rsidRPr="00021B02">
              <w:t>Интерфакс</w:t>
            </w:r>
            <w:r>
              <w:t>", "</w:t>
            </w:r>
            <w:r w:rsidR="000D64FA" w:rsidRPr="00021B02">
              <w:t>Прайм-ТАСС</w:t>
            </w:r>
            <w:r>
              <w:t xml:space="preserve">", </w:t>
            </w:r>
            <w:r w:rsidR="000D64FA" w:rsidRPr="00021B02">
              <w:t>AFX</w:t>
            </w:r>
            <w:r w:rsidRPr="00021B02">
              <w:t xml:space="preserve"> - </w:t>
            </w:r>
            <w:r w:rsidR="000D64FA" w:rsidRPr="00021B02">
              <w:t>для клиентов FOREX, аналитические обзоры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Система криптозащиты,</w:t>
            </w:r>
          </w:p>
          <w:p w:rsidR="000D64FA" w:rsidRPr="00021B02" w:rsidRDefault="000D64FA" w:rsidP="00021B02">
            <w:pPr>
              <w:pStyle w:val="afb"/>
            </w:pPr>
            <w:r w:rsidRPr="00021B02">
              <w:t>сертифицированная</w:t>
            </w:r>
          </w:p>
          <w:p w:rsidR="000D64FA" w:rsidRPr="00021B02" w:rsidRDefault="000D64FA" w:rsidP="00021B02">
            <w:pPr>
              <w:pStyle w:val="afb"/>
            </w:pPr>
            <w:r w:rsidRPr="00021B02">
              <w:t>ФАПСИ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Message pro</w:t>
            </w:r>
            <w:r w:rsidR="00021B02" w:rsidRPr="00021B02">
              <w:t xml:space="preserve">. </w:t>
            </w:r>
            <w:r w:rsidRPr="00021B02">
              <w:t>Ожидается в ближайшее время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Message pro</w:t>
            </w:r>
            <w:r w:rsidR="00021B02" w:rsidRPr="00021B02">
              <w:t xml:space="preserve">. </w:t>
            </w:r>
            <w:r w:rsidRPr="00021B02">
              <w:t>Ожидается и ближайшее время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Интерфейс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Многостраничный</w:t>
            </w:r>
            <w:r w:rsidR="00021B02" w:rsidRPr="00021B02">
              <w:t xml:space="preserve"> </w:t>
            </w:r>
            <w:r w:rsidRPr="00021B02">
              <w:t>интерфейс, гибко настраиваемые</w:t>
            </w:r>
            <w:r w:rsidR="00021B02" w:rsidRPr="00021B02">
              <w:t xml:space="preserve"> </w:t>
            </w:r>
            <w:r w:rsidRPr="00021B02">
              <w:t>окна котировок</w:t>
            </w:r>
            <w:r w:rsidR="00021B02" w:rsidRPr="00021B02">
              <w:t xml:space="preserve">. </w:t>
            </w:r>
            <w:r w:rsidRPr="00021B02">
              <w:t>Интерфейс приближен к терминалу СМА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Иерархическая структур</w:t>
            </w:r>
            <w:r w:rsidR="00021B02" w:rsidRPr="00021B02">
              <w:t xml:space="preserve">!) </w:t>
            </w:r>
            <w:r w:rsidRPr="00021B02">
              <w:t>навигации, динамическая подгрузка окон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Графики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Построение графиков по любому</w:t>
            </w:r>
            <w:r w:rsidR="00021B02" w:rsidRPr="00021B02">
              <w:t xml:space="preserve"> </w:t>
            </w:r>
            <w:r w:rsidRPr="00021B02">
              <w:t>значащему</w:t>
            </w:r>
            <w:r w:rsidR="00021B02" w:rsidRPr="00021B02">
              <w:t xml:space="preserve"> </w:t>
            </w:r>
            <w:r w:rsidRPr="00021B02">
              <w:t>числовому параметру торгов</w:t>
            </w:r>
            <w:r w:rsidR="00021B02">
              <w:t xml:space="preserve"> (</w:t>
            </w:r>
            <w:r w:rsidRPr="00021B02">
              <w:t xml:space="preserve">биржевым индексам, суммарному спросу/предложению, спрэду и </w:t>
            </w:r>
            <w:r w:rsidR="00021B02">
              <w:t>т.д.)</w:t>
            </w:r>
            <w:r w:rsidR="00021B02" w:rsidRPr="00021B02">
              <w:t xml:space="preserve"> 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Встроенный полнофункциональный модуль технического анализа с более чем 20 индикаторами</w:t>
            </w:r>
            <w:r w:rsidR="00021B02" w:rsidRPr="00021B02">
              <w:t xml:space="preserve">. </w:t>
            </w:r>
            <w:r w:rsidRPr="00021B02">
              <w:t>Возможностью построения линии тренда и каналов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Экспорт в системы технического анализа в режиме он-лайн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Metastock и Omega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Metastock и Omega</w:t>
            </w:r>
            <w:r w:rsidR="00021B02" w:rsidRPr="00021B02">
              <w:t xml:space="preserve">. </w:t>
            </w:r>
            <w:r w:rsidRPr="00021B02">
              <w:t>Автоматическая дозагрузка пропущенных данных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Типы заявок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Лимитированные, рыночные, условные заявки и стоп-лосс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Лимитированные, рыночные, условные заявки и стоп-лосс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Переговоры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Есть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Чат в режиме он-лайн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Архив отчетов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За текущий день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За любое время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Специальные сервисы для профучастников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Он-лайн переводы между субсчетами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Нет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Есть, с контролем маржи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Раздельная отчетность по субсчетам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Нет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Есть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Алгоритм кредитования клиентов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Индивидуальные</w:t>
            </w:r>
            <w:r w:rsidR="00021B02" w:rsidRPr="00021B02">
              <w:t xml:space="preserve"> </w:t>
            </w:r>
            <w:r w:rsidRPr="00021B02">
              <w:t>лимиты</w:t>
            </w:r>
            <w:r w:rsidR="00021B02" w:rsidRPr="00021B02">
              <w:t xml:space="preserve">. </w:t>
            </w:r>
            <w:r w:rsidRPr="00021B02">
              <w:t>Выставление на утро лимитов,</w:t>
            </w:r>
            <w:r w:rsidR="00021B02" w:rsidRPr="00021B02">
              <w:t xml:space="preserve"> </w:t>
            </w:r>
            <w:r w:rsidRPr="00021B02">
              <w:t>отражающих действия клиентов в течение</w:t>
            </w:r>
            <w:r w:rsidR="00021B02" w:rsidRPr="00021B02">
              <w:t xml:space="preserve"> </w:t>
            </w:r>
            <w:r w:rsidRPr="00021B02">
              <w:t>предыдущей</w:t>
            </w:r>
            <w:r w:rsidR="00021B02" w:rsidRPr="00021B02">
              <w:t xml:space="preserve"> </w:t>
            </w:r>
            <w:r w:rsidRPr="00021B02">
              <w:t>торговой сессии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Кредитование в соответствии с размером портфеля и заданным</w:t>
            </w:r>
            <w:r w:rsidR="00021B02">
              <w:t xml:space="preserve"> "</w:t>
            </w:r>
            <w:r w:rsidRPr="00021B02">
              <w:t>плечом</w:t>
            </w:r>
            <w:r w:rsidR="00021B02">
              <w:t xml:space="preserve">". </w:t>
            </w:r>
            <w:r w:rsidRPr="00021B02">
              <w:t>Индивидуальные и общие лимиты</w:t>
            </w:r>
          </w:p>
        </w:tc>
      </w:tr>
      <w:tr w:rsidR="000D64FA" w:rsidRPr="00021B02" w:rsidTr="00F67364">
        <w:trPr>
          <w:jc w:val="center"/>
        </w:trPr>
        <w:tc>
          <w:tcPr>
            <w:tcW w:w="2771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Дополнительные</w:t>
            </w:r>
          </w:p>
          <w:p w:rsidR="000D64FA" w:rsidRPr="00021B02" w:rsidRDefault="000D64FA" w:rsidP="00021B02">
            <w:pPr>
              <w:pStyle w:val="afb"/>
            </w:pPr>
            <w:r w:rsidRPr="00021B02">
              <w:t>ВОЗМОЖНОСТИ</w:t>
            </w:r>
          </w:p>
        </w:tc>
        <w:tc>
          <w:tcPr>
            <w:tcW w:w="3095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Экспорт данных в Excel и базы</w:t>
            </w:r>
            <w:r w:rsidR="00021B02" w:rsidRPr="00021B02">
              <w:t xml:space="preserve"> </w:t>
            </w:r>
            <w:r w:rsidRPr="00021B02">
              <w:t>данных</w:t>
            </w:r>
            <w:r w:rsidR="00021B02">
              <w:t xml:space="preserve"> (</w:t>
            </w:r>
            <w:r w:rsidRPr="00021B02">
              <w:t>ODBC</w:t>
            </w:r>
            <w:r w:rsidR="00021B02" w:rsidRPr="00021B02">
              <w:t>),</w:t>
            </w:r>
            <w:r w:rsidRPr="00021B02">
              <w:t xml:space="preserve"> импорт заявок для подключения</w:t>
            </w:r>
            <w:r w:rsidR="00021B02" w:rsidRPr="00021B02">
              <w:t xml:space="preserve"> </w:t>
            </w:r>
            <w:r w:rsidRPr="00021B02">
              <w:t>механических торговых систем и автоматизации торговых операций, отложенные заявки</w:t>
            </w:r>
            <w:r w:rsidR="00021B02" w:rsidRPr="00021B02">
              <w:t xml:space="preserve"> </w:t>
            </w:r>
            <w:r w:rsidRPr="00021B02">
              <w:t>и</w:t>
            </w:r>
            <w:r w:rsidR="00021B02" w:rsidRPr="00021B02">
              <w:t xml:space="preserve"> </w:t>
            </w:r>
            <w:r w:rsidRPr="00021B02">
              <w:t>возможность</w:t>
            </w:r>
            <w:r w:rsidR="00021B02" w:rsidRPr="00021B02">
              <w:t xml:space="preserve"> </w:t>
            </w:r>
            <w:r w:rsidRPr="00021B02">
              <w:t>выставления</w:t>
            </w:r>
            <w:r w:rsidR="00021B02" w:rsidRPr="00021B02">
              <w:t xml:space="preserve"> </w:t>
            </w:r>
            <w:r w:rsidRPr="00021B02">
              <w:t>подготовленного пакета заявок, программирование вычислений в таблицах на встроенном</w:t>
            </w:r>
            <w:r w:rsidR="00021B02" w:rsidRPr="00021B02">
              <w:t xml:space="preserve"> </w:t>
            </w:r>
            <w:r w:rsidRPr="00021B02">
              <w:t>языке,</w:t>
            </w:r>
            <w:r w:rsidR="00021B02" w:rsidRPr="00021B02">
              <w:t xml:space="preserve"> </w:t>
            </w:r>
            <w:r w:rsidRPr="00021B02">
              <w:t>автоматическое</w:t>
            </w:r>
            <w:r w:rsidR="00021B02" w:rsidRPr="00021B02">
              <w:t xml:space="preserve"> </w:t>
            </w:r>
            <w:r w:rsidRPr="00021B02">
              <w:t>обновление</w:t>
            </w:r>
            <w:r w:rsidR="00021B02" w:rsidRPr="00021B02">
              <w:t xml:space="preserve"> </w:t>
            </w:r>
            <w:r w:rsidRPr="00021B02">
              <w:t>версии, автоматическое поддержание</w:t>
            </w:r>
            <w:r w:rsidR="00021B02" w:rsidRPr="00021B02">
              <w:t xml:space="preserve"> </w:t>
            </w:r>
            <w:r w:rsidRPr="00021B02">
              <w:t>соединения</w:t>
            </w:r>
            <w:r w:rsidR="00021B02" w:rsidRPr="00021B02">
              <w:t xml:space="preserve"> </w:t>
            </w:r>
            <w:r w:rsidRPr="00021B02">
              <w:t>с сервером,</w:t>
            </w:r>
            <w:r w:rsidR="00021B02" w:rsidRPr="00021B02">
              <w:t xml:space="preserve"> </w:t>
            </w:r>
            <w:r w:rsidRPr="00021B02">
              <w:t>в</w:t>
            </w:r>
            <w:r w:rsidR="00021B02" w:rsidRPr="00021B02">
              <w:t xml:space="preserve"> </w:t>
            </w:r>
            <w:r w:rsidRPr="00021B02">
              <w:t>том</w:t>
            </w:r>
            <w:r w:rsidR="00021B02" w:rsidRPr="00021B02">
              <w:t xml:space="preserve"> </w:t>
            </w:r>
            <w:r w:rsidRPr="00021B02">
              <w:t>числе работа по расписанию</w:t>
            </w:r>
          </w:p>
        </w:tc>
        <w:tc>
          <w:tcPr>
            <w:tcW w:w="3100" w:type="dxa"/>
            <w:shd w:val="clear" w:color="auto" w:fill="auto"/>
          </w:tcPr>
          <w:p w:rsidR="000D64FA" w:rsidRPr="00021B02" w:rsidRDefault="000D64FA" w:rsidP="00021B02">
            <w:pPr>
              <w:pStyle w:val="afb"/>
            </w:pPr>
            <w:r w:rsidRPr="00021B02">
              <w:t>Широкий набор административных функций</w:t>
            </w:r>
            <w:r w:rsidR="00021B02" w:rsidRPr="00021B02">
              <w:t xml:space="preserve">. </w:t>
            </w:r>
            <w:r w:rsidRPr="00021B02">
              <w:t>Контроль индивидуальных уровней маржи</w:t>
            </w:r>
            <w:r w:rsidR="00021B02" w:rsidRPr="00021B02">
              <w:t xml:space="preserve">. </w:t>
            </w:r>
            <w:r w:rsidRPr="00021B02">
              <w:t>Выставление индивидуальных лимитов</w:t>
            </w:r>
            <w:r w:rsidR="00021B02" w:rsidRPr="00021B02">
              <w:t xml:space="preserve">. </w:t>
            </w:r>
            <w:r w:rsidRPr="00021B02">
              <w:t>Возможность установки своих логотипа, заставки, названия системы, разделов</w:t>
            </w:r>
            <w:r w:rsidR="00021B02">
              <w:t xml:space="preserve"> "</w:t>
            </w:r>
            <w:r w:rsidRPr="00021B02">
              <w:t>Помощь</w:t>
            </w:r>
            <w:r w:rsidR="00021B02">
              <w:t xml:space="preserve">" </w:t>
            </w:r>
            <w:r w:rsidRPr="00021B02">
              <w:t>и F</w:t>
            </w:r>
            <w:r w:rsidR="00021B02" w:rsidRPr="00021B02">
              <w:t xml:space="preserve">. </w:t>
            </w:r>
            <w:r w:rsidRPr="00021B02">
              <w:t>A</w:t>
            </w:r>
            <w:r w:rsidR="00021B02" w:rsidRPr="00021B02">
              <w:t xml:space="preserve">. </w:t>
            </w:r>
            <w:r w:rsidRPr="00021B02">
              <w:t>Q</w:t>
            </w:r>
            <w:r w:rsidR="00021B02" w:rsidRPr="00021B02">
              <w:t xml:space="preserve">. </w:t>
            </w:r>
            <w:r w:rsidRPr="00021B02">
              <w:t>Возможность организации</w:t>
            </w:r>
            <w:r w:rsidR="00021B02">
              <w:t xml:space="preserve"> "</w:t>
            </w:r>
            <w:r w:rsidRPr="00021B02">
              <w:t>Чата</w:t>
            </w:r>
            <w:r w:rsidR="00021B02">
              <w:t xml:space="preserve">" </w:t>
            </w:r>
            <w:r w:rsidRPr="00021B02">
              <w:t>среди своих клиентов</w:t>
            </w:r>
          </w:p>
        </w:tc>
      </w:tr>
    </w:tbl>
    <w:p w:rsidR="00A1692C" w:rsidRPr="00021B02" w:rsidRDefault="00A1692C" w:rsidP="00021B02">
      <w:pPr>
        <w:ind w:firstLine="709"/>
        <w:rPr>
          <w:lang w:eastAsia="en-US"/>
        </w:rPr>
      </w:pPr>
    </w:p>
    <w:p w:rsidR="00021B02" w:rsidRDefault="000D64FA" w:rsidP="00021B02">
      <w:pPr>
        <w:ind w:firstLine="709"/>
        <w:rPr>
          <w:lang w:eastAsia="en-US"/>
        </w:rPr>
      </w:pPr>
      <w:r w:rsidRPr="00021B02">
        <w:rPr>
          <w:lang w:eastAsia="en-US"/>
        </w:rPr>
        <w:t>Э</w:t>
      </w:r>
      <w:r w:rsidR="00A1692C" w:rsidRPr="00021B02">
        <w:rPr>
          <w:lang w:eastAsia="en-US"/>
        </w:rPr>
        <w:t>кспорт данных в аналитические системы Metastock и Omega в системе QUIK считается одним из лучших на рынке, хотя он не лишен определенных недочетов</w:t>
      </w:r>
      <w:r w:rsidR="00021B02"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Модуль экспорта, встраиваемый в GutaBROKER, позволяет экспортировать потоки как в реальном времени, так и в офф-лайн, не заставляя пользователя осуществлять перезагрузку информации по сделкам каждый раз при обрыве связи с сервером</w:t>
      </w:r>
      <w:r w:rsidR="00021B02"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Кроме того, в системе GutaBROKER присутствует собственный модуль технического анализа</w:t>
      </w:r>
      <w:r w:rsidR="00021B02"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Для любого финансового инструмента реализована функция построения графиков с полным перечнем необходимых параметров масштабирования и временных интервалов</w:t>
      </w:r>
      <w:r w:rsidR="00021B02"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Графики строятся в режиме реального времени</w:t>
      </w:r>
      <w:r w:rsidR="00021B02"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В QUIK, в отличие от GutaBROKER, доступно построение графиков по любому значащему числовому параметру торгов, помимо отображаемых в таблице</w:t>
      </w:r>
      <w:r w:rsidR="00021B02">
        <w:rPr>
          <w:lang w:eastAsia="en-US"/>
        </w:rPr>
        <w:t xml:space="preserve"> "</w:t>
      </w:r>
      <w:r w:rsidR="00A1692C" w:rsidRPr="00021B02">
        <w:rPr>
          <w:lang w:eastAsia="en-US"/>
        </w:rPr>
        <w:t>Все сделки</w:t>
      </w:r>
      <w:r w:rsidR="00021B02">
        <w:rPr>
          <w:lang w:eastAsia="en-US"/>
        </w:rPr>
        <w:t xml:space="preserve">". </w:t>
      </w:r>
      <w:r w:rsidR="00A1692C" w:rsidRPr="00021B02">
        <w:rPr>
          <w:lang w:eastAsia="en-US"/>
        </w:rPr>
        <w:t xml:space="preserve">Например, можно строить графики по биржевым индексам, суммарному спросу/предложению, спрэду и </w:t>
      </w:r>
      <w:r w:rsidR="00021B02">
        <w:rPr>
          <w:lang w:eastAsia="en-US"/>
        </w:rPr>
        <w:t>т.д.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 обеих системах присутствует возможность работы с лимитированными, рыночными, условными заявками и стоп-лосс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 обеих системах происходит блокирование средств под заявки стоп-лосс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 GutaBROKER и QUIK реализована автоматизированная схема кредитования денежными средствами и ценными бумагами, основанная на предоставлении клиенту кредитного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плеча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в размере 1 плюс 4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При этом текущий показатель достаточности активов и лимиты операций по всем инструментам рассчитываются автоматически и доступны клиенту в режиме он-лайн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 GutaBROKER и QUIK клиент может пользоваться заемными средствами безотносительно эмитента или направления торговли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единственным ограничением является размер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плеча</w:t>
      </w:r>
      <w:r w:rsidR="00021B02">
        <w:rPr>
          <w:lang w:eastAsia="en-US"/>
        </w:rPr>
        <w:t xml:space="preserve">", </w:t>
      </w:r>
      <w:r w:rsidRPr="00021B02">
        <w:rPr>
          <w:lang w:eastAsia="en-US"/>
        </w:rPr>
        <w:t>задаваемый ему один раз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С ростом числа торговых площадок, на которых клиент может работать, особенно актуальной становится задача оперативного перевода средств, зарезервированных под торговые операции на различных биржевых площадках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Используемая в GutaBROKER технология единого торгового счета клиента позволяет совершать переброску средств в режиме он-лайн с учетом маржинальных лимитов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Субброкеров также может заинтересовать возможность установки своего логотипа и названия системы GutaBROKER для предоставления своим клиентам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Интеграция в QUIK собственного языка Qpile сделала возможным реализовать опцию переоценки портфелей клиентов, являющуюся штатным примером для демонстрации возможностей языка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И брокер, и клиент могут сформировать таблицу с пересчетом любых требуемых полей в реальном времени, в том числе с отображением обеспеченности и уровня кредитования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Текущий портфель в системе GutaBROKER пересчитывается в режиме он-лайн, обеспечивая описываемую выше технологию кредитования и риск-менеджмента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Обе системы позволяют клиентам совершать торговые операции на рынках ММВБ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государственные и негосударственные ценные бумаги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РТС-СГК и РТС-FORTS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Кроме того, работая в GutaBROKER, пользователь может торговать на рынке FOREX и в валютной секции РТС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 ближайшее время в QUIK будут ретранслироваться те же новостные потоки, что и в GutaBROKER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Для клиентов, работающих на рынке FOREX, в GutaBROKER предусмотрена трансляция международной новостной ленты AFX в режиме он-лайн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 действительности, преимущества торговых систем определяются не столько удобством клиентского места, являющимся немаловажным, но все же не доминирующим фактором успеха программы на рынке, сколько, в гораздо более значительной степени, построением серверной части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Ключевыми особенностями GutaBROKER являются отличный риск-менеджмент, обширный функционал, возможность работать на рынке FOREX, возможность использовать ЭЦП на базе программы криптозащиты Inter-PRO, имеющей сертификат ФАПСИ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Система GutaBROKER интегрируется с Back Office в режиме он-лайн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Последнее особенно удобно для субброкеров, так как позволяет в случае необходимости формиро</w:t>
      </w:r>
      <w:r w:rsidR="000D64FA" w:rsidRPr="00021B02">
        <w:rPr>
          <w:lang w:eastAsia="en-US"/>
        </w:rPr>
        <w:t>в</w:t>
      </w:r>
      <w:r w:rsidRPr="00021B02">
        <w:rPr>
          <w:lang w:eastAsia="en-US"/>
        </w:rPr>
        <w:t>ать клиентские отчеты и проч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Самыми сильными сторонами QUIK являются его надежность, скорость работы и широкая распространенность среди активных инвесторов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 качестве примеров других систем, находящих широкое применение наряду с описанной выше системой QUIK, можно назвать Netlnvestor и систему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ИТС-Брокер</w:t>
      </w:r>
      <w:r w:rsidR="00021B02">
        <w:rPr>
          <w:lang w:eastAsia="en-US"/>
        </w:rPr>
        <w:t>".</w:t>
      </w:r>
    </w:p>
    <w:p w:rsidR="00021B02" w:rsidRPr="00021B02" w:rsidRDefault="00021B02" w:rsidP="00021B02">
      <w:pPr>
        <w:pStyle w:val="2"/>
      </w:pPr>
      <w:r>
        <w:br w:type="page"/>
      </w:r>
      <w:bookmarkStart w:id="2" w:name="_Toc273034694"/>
      <w:r w:rsidR="000D64FA" w:rsidRPr="00021B02">
        <w:t>3</w:t>
      </w:r>
      <w:r w:rsidRPr="00021B02">
        <w:t xml:space="preserve">. </w:t>
      </w:r>
      <w:r w:rsidR="00A1692C" w:rsidRPr="00021B02">
        <w:t>Системы Интернет-страхования</w:t>
      </w:r>
      <w:bookmarkEnd w:id="2"/>
    </w:p>
    <w:p w:rsidR="00021B02" w:rsidRDefault="00021B02" w:rsidP="00021B02">
      <w:pPr>
        <w:ind w:firstLine="709"/>
        <w:rPr>
          <w:lang w:eastAsia="en-US"/>
        </w:rPr>
      </w:pP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Страхование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процесс установления и поддержания договорных отношений между покупателем страховых услуг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страхователем</w:t>
      </w:r>
      <w:r w:rsidR="00021B02" w:rsidRPr="00021B02">
        <w:rPr>
          <w:lang w:eastAsia="en-US"/>
        </w:rPr>
        <w:t xml:space="preserve">) </w:t>
      </w:r>
      <w:r w:rsidRPr="00021B02">
        <w:rPr>
          <w:lang w:eastAsia="en-US"/>
        </w:rPr>
        <w:t>и их продавцо</w:t>
      </w:r>
      <w:r w:rsidR="009A7A3C" w:rsidRPr="00021B02">
        <w:rPr>
          <w:lang w:eastAsia="en-US"/>
        </w:rPr>
        <w:t>м</w:t>
      </w:r>
      <w:r w:rsidR="00021B02">
        <w:rPr>
          <w:lang w:eastAsia="en-US"/>
        </w:rPr>
        <w:t xml:space="preserve"> (</w:t>
      </w:r>
      <w:r w:rsidR="009A7A3C" w:rsidRPr="00021B02">
        <w:rPr>
          <w:lang w:eastAsia="en-US"/>
        </w:rPr>
        <w:t>страховщиком</w:t>
      </w:r>
      <w:r w:rsidR="00021B02" w:rsidRPr="00021B02">
        <w:rPr>
          <w:lang w:eastAsia="en-US"/>
        </w:rPr>
        <w:t xml:space="preserve">). </w:t>
      </w:r>
      <w:r w:rsidR="009A7A3C" w:rsidRPr="00021B02">
        <w:rPr>
          <w:lang w:eastAsia="en-US"/>
        </w:rPr>
        <w:t xml:space="preserve">Страховщик </w:t>
      </w:r>
      <w:r w:rsidRPr="00021B02">
        <w:rPr>
          <w:lang w:eastAsia="en-US"/>
        </w:rPr>
        <w:t>определяет программу страхо</w:t>
      </w:r>
      <w:r w:rsidR="009A7A3C" w:rsidRPr="00021B02">
        <w:rPr>
          <w:lang w:eastAsia="en-US"/>
        </w:rPr>
        <w:t xml:space="preserve">вания и предлагает ее своему </w:t>
      </w:r>
      <w:r w:rsidRPr="00021B02">
        <w:rPr>
          <w:lang w:eastAsia="en-US"/>
        </w:rPr>
        <w:t>клиенту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страхователю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Если условия предложенной программы устраивают клиента, то обе стороны заключают договор страхования и клиент осуществляет единовременный</w:t>
      </w:r>
      <w:r w:rsidR="009A7A3C" w:rsidRPr="00021B02">
        <w:rPr>
          <w:lang w:eastAsia="en-US"/>
        </w:rPr>
        <w:t xml:space="preserve"> </w:t>
      </w:r>
      <w:r w:rsidRPr="00021B02">
        <w:rPr>
          <w:lang w:eastAsia="en-US"/>
        </w:rPr>
        <w:t>или регулярные платежи в рамках заключенного договора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При наступлении страхового случая страховщик выплачивает страхователю денежную компенсацию, определенную условиями договора страхования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Документом, удостоверяющим заключение страхового договора и содержащим обязательство страховщика, является страховой полис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Интернет-страхование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это комплекс перечисленных</w:t>
      </w:r>
      <w:r w:rsidR="009A7A3C" w:rsidRPr="00021B02">
        <w:rPr>
          <w:lang w:eastAsia="en-US"/>
        </w:rPr>
        <w:t xml:space="preserve"> </w:t>
      </w:r>
      <w:r w:rsidRPr="00021B02">
        <w:rPr>
          <w:lang w:eastAsia="en-US"/>
        </w:rPr>
        <w:t>выше элементов взаимодействия страховой компании с клиентом, возникающих в процессе продажи продукта страхования, его обслуживания и выплаты страхового возмещения, если он полностью или большей частью осуществляется с использованием Интернета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Комплекс Интернет-страхования, как правило, включает</w:t>
      </w:r>
      <w:r w:rsidR="00021B02" w:rsidRPr="00021B02">
        <w:rPr>
          <w:lang w:eastAsia="en-US"/>
        </w:rPr>
        <w:t>: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расчет величины страхо</w:t>
      </w:r>
      <w:r w:rsidR="0004341B">
        <w:rPr>
          <w:lang w:eastAsia="en-US"/>
        </w:rPr>
        <w:t>вой премии и определение усло</w:t>
      </w:r>
      <w:r w:rsidRPr="00021B02">
        <w:rPr>
          <w:lang w:eastAsia="en-US"/>
        </w:rPr>
        <w:t>вий ее выплаты</w:t>
      </w:r>
      <w:r w:rsidR="00021B02" w:rsidRPr="00021B02">
        <w:rPr>
          <w:lang w:eastAsia="en-US"/>
        </w:rPr>
        <w:t>;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заполнение формы заявления на страхование</w:t>
      </w:r>
      <w:r w:rsidR="00021B02" w:rsidRPr="00021B02">
        <w:rPr>
          <w:lang w:eastAsia="en-US"/>
        </w:rPr>
        <w:t>;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заказ и непосредств</w:t>
      </w:r>
      <w:r w:rsidR="009A7A3C" w:rsidRPr="00021B02">
        <w:rPr>
          <w:lang w:eastAsia="en-US"/>
        </w:rPr>
        <w:t>енно оплату полиса страхования</w:t>
      </w:r>
      <w:r w:rsidR="00021B02" w:rsidRPr="00021B02">
        <w:rPr>
          <w:lang w:eastAsia="en-US"/>
        </w:rPr>
        <w:t>;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осуществление периодических выплат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рассроченно</w:t>
      </w:r>
      <w:r w:rsidR="009A7A3C" w:rsidRPr="00021B02">
        <w:rPr>
          <w:lang w:eastAsia="en-US"/>
        </w:rPr>
        <w:t>й</w:t>
      </w:r>
      <w:r w:rsidRPr="00021B02">
        <w:rPr>
          <w:lang w:eastAsia="en-US"/>
        </w:rPr>
        <w:t xml:space="preserve"> страховой премии</w:t>
      </w:r>
      <w:r w:rsidR="00021B02" w:rsidRPr="00021B02">
        <w:rPr>
          <w:lang w:eastAsia="en-US"/>
        </w:rPr>
        <w:t>);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обслуживание договора страхования в период его де</w:t>
      </w:r>
      <w:r w:rsidR="009A7A3C" w:rsidRPr="00021B02">
        <w:rPr>
          <w:lang w:eastAsia="en-US"/>
        </w:rPr>
        <w:t>й</w:t>
      </w:r>
      <w:r w:rsidRPr="00021B02">
        <w:rPr>
          <w:lang w:eastAsia="en-US"/>
        </w:rPr>
        <w:t>ствия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информационный обмен между страховщиком и стр</w:t>
      </w:r>
      <w:r w:rsidR="009A7A3C" w:rsidRPr="00021B02">
        <w:rPr>
          <w:lang w:eastAsia="en-US"/>
        </w:rPr>
        <w:t>а</w:t>
      </w:r>
      <w:r w:rsidRPr="00021B02">
        <w:rPr>
          <w:lang w:eastAsia="en-US"/>
        </w:rPr>
        <w:t>хователем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формирование произвольных отчетов по запросам пользователей, в том числе отчетов о состоянии и истории изменений договоров, поступлений и выплат</w:t>
      </w:r>
      <w:r w:rsidR="00021B02" w:rsidRPr="00021B02">
        <w:rPr>
          <w:lang w:eastAsia="en-US"/>
        </w:rPr>
        <w:t>);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 xml:space="preserve">обмен информацией между страхователем и страховщиком при наступлении страхового события и </w:t>
      </w:r>
      <w:r w:rsidR="00021B02">
        <w:rPr>
          <w:lang w:eastAsia="en-US"/>
        </w:rPr>
        <w:t>т.д.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Процедура виртуальной покупки страхового полиса для рядового потребителя обычно выглядит следующим образом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После определения предмета страхования и задания его основных характеристик система в автоматическом режиме производит расчет величины страховой премии и определяет условия ее выплаты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Далее следует заполнение формы заявления на страхование, заказ и оплата полиса, который потом доставляется курьером или по почте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Кроме того, современные системы виртуального страхования позволяют осуществлять весь последующий процесс обслуживания договора в период его действия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Таким образом, при обслуживании в виртуальном представительстве компании можно так и не узнать, где находится ее офис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При этом большое значение принимает фактор доверия к страховой компании, поэтому известность компании и надежность являются одними из важных факторов для успешного предоставления виртуальных страховых услуг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Кроме рынка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бизнес-потребитель</w:t>
      </w:r>
      <w:r w:rsidR="00021B02">
        <w:rPr>
          <w:lang w:eastAsia="en-US"/>
        </w:rPr>
        <w:t>" (</w:t>
      </w:r>
      <w:r w:rsidRPr="00021B02">
        <w:rPr>
          <w:lang w:eastAsia="en-US"/>
        </w:rPr>
        <w:t>В2С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Интернет-страхование используется и между юридическими лицами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В2В</w:t>
      </w:r>
      <w:r w:rsidR="00021B02" w:rsidRPr="00021B02">
        <w:rPr>
          <w:lang w:eastAsia="en-US"/>
        </w:rPr>
        <w:t xml:space="preserve">). </w:t>
      </w:r>
      <w:r w:rsidRPr="00021B02">
        <w:rPr>
          <w:lang w:eastAsia="en-US"/>
        </w:rPr>
        <w:t>В качестве примеров можно привести услуги по страхованию турагентствами в интерактивном режиме групп туристов, выезжающих за рубеж, а также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чистую схему</w:t>
      </w:r>
      <w:r w:rsidR="00021B02">
        <w:rPr>
          <w:lang w:eastAsia="en-US"/>
        </w:rPr>
        <w:t xml:space="preserve">" </w:t>
      </w:r>
      <w:r w:rsidRPr="00021B02">
        <w:rPr>
          <w:lang w:eastAsia="en-US"/>
        </w:rPr>
        <w:t>В2В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 xml:space="preserve">рынок перестрахования, </w:t>
      </w:r>
      <w:r w:rsidR="00021B02">
        <w:rPr>
          <w:lang w:eastAsia="en-US"/>
        </w:rPr>
        <w:t>т.е.</w:t>
      </w:r>
      <w:r w:rsidR="00021B02" w:rsidRPr="00021B02">
        <w:rPr>
          <w:lang w:eastAsia="en-US"/>
        </w:rPr>
        <w:t xml:space="preserve"> </w:t>
      </w:r>
      <w:r w:rsidRPr="00021B02">
        <w:rPr>
          <w:lang w:eastAsia="en-US"/>
        </w:rPr>
        <w:t>раздел рисков между страховщиками при страховании крупных объектов, когда одна компания считает слишком рискованной полную самостоятельную ответственность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Ежегодный оборот мирового страхового рынка в Интернете оценивается ~250 млн долл</w:t>
      </w:r>
      <w:r w:rsidR="00021B02">
        <w:rPr>
          <w:lang w:eastAsia="en-US"/>
        </w:rPr>
        <w:t>.,</w:t>
      </w:r>
      <w:r w:rsidRPr="00021B02">
        <w:rPr>
          <w:lang w:eastAsia="en-US"/>
        </w:rPr>
        <w:t xml:space="preserve"> что составляет 2-2,5% от общего объема продаж в Сети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Лидером страхового рынка являются США, где все страховые компании имеют собствен</w:t>
      </w:r>
      <w:r w:rsidR="009A7A3C" w:rsidRPr="00021B02">
        <w:rPr>
          <w:lang w:eastAsia="en-US"/>
        </w:rPr>
        <w:t>н</w:t>
      </w:r>
      <w:r w:rsidRPr="00021B02">
        <w:rPr>
          <w:lang w:eastAsia="en-US"/>
        </w:rPr>
        <w:t>ые Web-сайты, а также страховые порталы, оказывающие виртуальные услуги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 xml:space="preserve">Примерами могут быть порталы </w:t>
      </w:r>
      <w:r w:rsidR="00021B02" w:rsidRPr="00854B5A">
        <w:rPr>
          <w:lang w:eastAsia="en-US"/>
        </w:rPr>
        <w:t>www.</w:t>
      </w:r>
      <w:r w:rsidRPr="00854B5A">
        <w:rPr>
          <w:lang w:eastAsia="en-US"/>
        </w:rPr>
        <w:t>insweb</w:t>
      </w:r>
      <w:r w:rsidR="00021B02" w:rsidRPr="00854B5A">
        <w:rPr>
          <w:lang w:eastAsia="en-US"/>
        </w:rPr>
        <w:t>.com</w:t>
      </w:r>
      <w:r w:rsidRPr="00021B02">
        <w:rPr>
          <w:lang w:eastAsia="en-US"/>
        </w:rPr>
        <w:t xml:space="preserve">, </w:t>
      </w:r>
      <w:r w:rsidRPr="00854B5A">
        <w:rPr>
          <w:lang w:eastAsia="en-US"/>
        </w:rPr>
        <w:t>lnsure</w:t>
      </w:r>
      <w:r w:rsidR="00021B02" w:rsidRPr="00854B5A">
        <w:rPr>
          <w:lang w:eastAsia="en-US"/>
        </w:rPr>
        <w:t>.com</w:t>
      </w:r>
      <w:r w:rsidRPr="00021B02">
        <w:rPr>
          <w:lang w:eastAsia="en-US"/>
        </w:rPr>
        <w:t xml:space="preserve">, </w:t>
      </w:r>
      <w:r w:rsidRPr="00854B5A">
        <w:rPr>
          <w:lang w:eastAsia="en-US"/>
        </w:rPr>
        <w:t>insurence</w:t>
      </w:r>
      <w:r w:rsidR="00021B02" w:rsidRPr="00854B5A">
        <w:rPr>
          <w:lang w:eastAsia="en-US"/>
        </w:rPr>
        <w:t>.com</w:t>
      </w:r>
      <w:r w:rsidRPr="00021B02">
        <w:rPr>
          <w:lang w:eastAsia="en-US"/>
        </w:rPr>
        <w:t xml:space="preserve">, </w:t>
      </w:r>
      <w:r w:rsidRPr="00854B5A">
        <w:rPr>
          <w:lang w:eastAsia="en-US"/>
        </w:rPr>
        <w:t>lifeshopper</w:t>
      </w:r>
      <w:r w:rsidR="00021B02" w:rsidRPr="00854B5A">
        <w:rPr>
          <w:lang w:eastAsia="en-US"/>
        </w:rPr>
        <w:t>.com</w:t>
      </w:r>
      <w:r w:rsidRPr="00854B5A">
        <w:rPr>
          <w:lang w:eastAsia="en-US"/>
        </w:rPr>
        <w:t xml:space="preserve"> </w:t>
      </w:r>
      <w:r w:rsidRPr="00021B02">
        <w:rPr>
          <w:lang w:eastAsia="en-US"/>
        </w:rPr>
        <w:t>и др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 качестве примера компаний, которые осуществляю'</w:t>
      </w:r>
      <w:r w:rsidR="00021B02" w:rsidRPr="00021B02">
        <w:rPr>
          <w:lang w:eastAsia="en-US"/>
        </w:rPr>
        <w:t xml:space="preserve">] </w:t>
      </w:r>
      <w:r w:rsidRPr="00021B02">
        <w:rPr>
          <w:lang w:eastAsia="en-US"/>
        </w:rPr>
        <w:t>' продажу полисов полностью через Интернет, можно привести Electric Insurance Company</w:t>
      </w:r>
      <w:r w:rsidR="00021B02">
        <w:rPr>
          <w:lang w:eastAsia="en-US"/>
        </w:rPr>
        <w:t xml:space="preserve"> (</w:t>
      </w:r>
      <w:r w:rsidR="00021B02" w:rsidRPr="00854B5A">
        <w:rPr>
          <w:lang w:eastAsia="en-US"/>
        </w:rPr>
        <w:t>www.</w:t>
      </w:r>
      <w:r w:rsidRPr="00854B5A">
        <w:rPr>
          <w:lang w:eastAsia="en-US"/>
        </w:rPr>
        <w:t>electricinsurance</w:t>
      </w:r>
      <w:r w:rsidR="00021B02" w:rsidRPr="00854B5A">
        <w:rPr>
          <w:lang w:eastAsia="en-US"/>
        </w:rPr>
        <w:t>.com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American International Group</w:t>
      </w:r>
      <w:r w:rsidR="00021B02">
        <w:rPr>
          <w:lang w:eastAsia="en-US"/>
        </w:rPr>
        <w:t xml:space="preserve"> (</w:t>
      </w:r>
      <w:r w:rsidR="00021B02" w:rsidRPr="00854B5A">
        <w:rPr>
          <w:lang w:eastAsia="en-US"/>
        </w:rPr>
        <w:t>www.</w:t>
      </w:r>
      <w:r w:rsidRPr="00854B5A">
        <w:rPr>
          <w:lang w:eastAsia="en-US"/>
        </w:rPr>
        <w:t>aigdirect</w:t>
      </w:r>
      <w:r w:rsidR="00021B02" w:rsidRPr="00854B5A">
        <w:rPr>
          <w:lang w:eastAsia="en-US"/>
        </w:rPr>
        <w:t>.com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RelianceDirect Insurance Company</w:t>
      </w:r>
      <w:r w:rsidR="00021B02">
        <w:rPr>
          <w:lang w:eastAsia="en-US"/>
        </w:rPr>
        <w:t xml:space="preserve"> (</w:t>
      </w:r>
      <w:r w:rsidR="00021B02" w:rsidRPr="00854B5A">
        <w:rPr>
          <w:lang w:eastAsia="en-US"/>
        </w:rPr>
        <w:t>www.</w:t>
      </w:r>
      <w:r w:rsidRPr="00854B5A">
        <w:rPr>
          <w:lang w:eastAsia="en-US"/>
        </w:rPr>
        <w:t>renancedirect</w:t>
      </w:r>
      <w:r w:rsidR="00021B02" w:rsidRPr="00854B5A">
        <w:rPr>
          <w:lang w:eastAsia="en-US"/>
        </w:rPr>
        <w:t>.com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Instant Auto Insurance</w:t>
      </w:r>
      <w:r w:rsidR="00021B02">
        <w:rPr>
          <w:lang w:eastAsia="en-US"/>
        </w:rPr>
        <w:t xml:space="preserve"> (</w:t>
      </w:r>
      <w:r w:rsidR="00021B02" w:rsidRPr="00854B5A">
        <w:rPr>
          <w:lang w:eastAsia="en-US"/>
        </w:rPr>
        <w:t>www.</w:t>
      </w:r>
      <w:r w:rsidRPr="00854B5A">
        <w:rPr>
          <w:lang w:eastAsia="en-US"/>
        </w:rPr>
        <w:t>instantauto</w:t>
      </w:r>
      <w:r w:rsidR="00021B02" w:rsidRPr="00854B5A">
        <w:rPr>
          <w:lang w:eastAsia="en-US"/>
        </w:rPr>
        <w:t>.com</w:t>
      </w:r>
      <w:r w:rsidR="00021B02" w:rsidRPr="00021B02">
        <w:rPr>
          <w:lang w:eastAsia="en-US"/>
        </w:rPr>
        <w:t xml:space="preserve">). </w:t>
      </w:r>
      <w:r w:rsidRPr="00021B02">
        <w:rPr>
          <w:lang w:eastAsia="en-US"/>
        </w:rPr>
        <w:t>В России Web-сайты большинства страховых компаний выполняют лишь информационные функции, размещая на своих страницах и основном только общую информацию о компании и предлагаемых продуктах страхования, иногда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описание своей деятельности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Возможности Интернета для организации интерактивных продаж в полной мере используются пока только несколькими страховыми компаниями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Наиболее полный список страховых услуг в Интернете предоставляет всего несколько компаний</w:t>
      </w:r>
      <w:r w:rsidR="00021B02" w:rsidRPr="00021B02">
        <w:rPr>
          <w:lang w:eastAsia="en-US"/>
        </w:rPr>
        <w:t>:</w:t>
      </w:r>
    </w:p>
    <w:p w:rsidR="00021B02" w:rsidRDefault="009A7A3C" w:rsidP="00021B02">
      <w:pPr>
        <w:ind w:firstLine="709"/>
        <w:rPr>
          <w:lang w:eastAsia="en-US"/>
        </w:rPr>
      </w:pPr>
      <w:r w:rsidRPr="00021B02">
        <w:rPr>
          <w:lang w:eastAsia="en-US"/>
        </w:rPr>
        <w:t>Г</w:t>
      </w:r>
      <w:r w:rsidR="00A1692C" w:rsidRPr="00021B02">
        <w:rPr>
          <w:lang w:eastAsia="en-US"/>
        </w:rPr>
        <w:t>руппа Ренессанс Страхование</w:t>
      </w:r>
      <w:r w:rsidR="00021B02">
        <w:rPr>
          <w:lang w:eastAsia="en-US"/>
        </w:rPr>
        <w:t xml:space="preserve">" </w:t>
      </w:r>
      <w:r w:rsidR="00021B02" w:rsidRPr="00021B02">
        <w:rPr>
          <w:lang w:eastAsia="en-US"/>
        </w:rPr>
        <w:t xml:space="preserve">- </w:t>
      </w:r>
      <w:r w:rsidR="00A1692C" w:rsidRPr="00021B02">
        <w:rPr>
          <w:lang w:eastAsia="en-US"/>
        </w:rPr>
        <w:t>является первой на российском страховом рынке компанией, которая запустила виртуальную систему продаж полисов страхования</w:t>
      </w:r>
      <w:r w:rsidR="00021B02"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Система предоставляет клиенту возможность оформить заявление страхования, выбрать удобную форму оплаты и оплатить полис</w:t>
      </w:r>
      <w:r w:rsidR="00021B02"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Воспользоваться предлагаемыми услугами страхования могут как резиденты РФ, так и нерезиденты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Это зависит от правил страхования по конкретному виду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Приобрести полис страхования можно в любой точке земного шара, имея доступ в Интернет, Полис будет</w:t>
      </w:r>
      <w:r w:rsidR="009A7A3C" w:rsidRPr="00021B02">
        <w:rPr>
          <w:lang w:eastAsia="en-US"/>
        </w:rPr>
        <w:t xml:space="preserve"> действовать на территории, огов</w:t>
      </w:r>
      <w:r w:rsidRPr="00021B02">
        <w:rPr>
          <w:lang w:eastAsia="en-US"/>
        </w:rPr>
        <w:t>оренной в правилах страхования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РФ, кроме полиса страхования для выезжающих за рубеж</w:t>
      </w:r>
      <w:r w:rsidR="00021B02" w:rsidRPr="00021B02">
        <w:rPr>
          <w:lang w:eastAsia="en-US"/>
        </w:rPr>
        <w:t>:,</w:t>
      </w:r>
      <w:r w:rsidRPr="00021B02">
        <w:rPr>
          <w:lang w:eastAsia="en-US"/>
        </w:rPr>
        <w:t xml:space="preserve"> по которому территория оговаривается отдельно</w:t>
      </w:r>
      <w:r w:rsidR="00021B02" w:rsidRPr="00021B02">
        <w:rPr>
          <w:lang w:eastAsia="en-US"/>
        </w:rPr>
        <w:t xml:space="preserve">). </w:t>
      </w:r>
      <w:r w:rsidRPr="00021B02">
        <w:rPr>
          <w:lang w:eastAsia="en-US"/>
        </w:rPr>
        <w:t>При наступлении любого страхового случая клиент в виртуальном офисе может заполнить заявление на возмещение, распечатать его и, подписав, привезти в обычный офис компании</w:t>
      </w:r>
      <w:r w:rsidR="00021B02" w:rsidRPr="00021B02">
        <w:rPr>
          <w:lang w:eastAsia="en-US"/>
        </w:rPr>
        <w:t>;</w:t>
      </w:r>
    </w:p>
    <w:p w:rsidR="00021B02" w:rsidRDefault="00021B02" w:rsidP="00021B0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1692C" w:rsidRPr="00021B02">
        <w:rPr>
          <w:lang w:eastAsia="en-US"/>
        </w:rPr>
        <w:t>РОСНО</w:t>
      </w:r>
      <w:r>
        <w:rPr>
          <w:lang w:eastAsia="en-US"/>
        </w:rPr>
        <w:t xml:space="preserve">". </w:t>
      </w:r>
      <w:r w:rsidR="00A1692C" w:rsidRPr="00021B02">
        <w:rPr>
          <w:lang w:eastAsia="en-US"/>
        </w:rPr>
        <w:t>Страховая компания</w:t>
      </w:r>
      <w:r>
        <w:rPr>
          <w:lang w:eastAsia="en-US"/>
        </w:rPr>
        <w:t xml:space="preserve"> "</w:t>
      </w:r>
      <w:r w:rsidR="00A1692C" w:rsidRPr="00021B02">
        <w:rPr>
          <w:lang w:eastAsia="en-US"/>
        </w:rPr>
        <w:t>Российское страховое народное общество</w:t>
      </w:r>
      <w:r>
        <w:rPr>
          <w:lang w:eastAsia="en-US"/>
        </w:rPr>
        <w:t xml:space="preserve">" </w:t>
      </w:r>
      <w:r w:rsidRPr="00021B02">
        <w:rPr>
          <w:lang w:eastAsia="en-US"/>
        </w:rPr>
        <w:t xml:space="preserve">- </w:t>
      </w:r>
      <w:r w:rsidR="00A1692C" w:rsidRPr="00021B02">
        <w:rPr>
          <w:lang w:eastAsia="en-US"/>
        </w:rPr>
        <w:t>РОСНО является крупнейшей российской универсальной страховой компанией, имеющей лицензии на право осуществления всех классов добровольного и обязательного страхования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Компания обладает одним из лучших Web-сайтов по страхованию</w:t>
      </w:r>
      <w:r w:rsidRPr="00021B02">
        <w:rPr>
          <w:lang w:eastAsia="en-US"/>
        </w:rPr>
        <w:t xml:space="preserve">. </w:t>
      </w:r>
      <w:r w:rsidR="00A1692C" w:rsidRPr="00021B02">
        <w:rPr>
          <w:lang w:eastAsia="en-US"/>
        </w:rPr>
        <w:t>В этом виртуальном офисе клиент может не только подробно ознакомиться с общей информацией о компании, узнать о предлагаемых ею услугах, изучить финансовую отчетность, купить полис, но и заполнить анкету кандидата по требуемой вакансии в компании РОСНО</w:t>
      </w:r>
      <w:r w:rsidRPr="00021B02">
        <w:rPr>
          <w:lang w:eastAsia="en-US"/>
        </w:rPr>
        <w:t>.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Основным разделом Web-сайта является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Центр Интернет-продаж</w:t>
      </w:r>
      <w:r w:rsidR="00021B02">
        <w:rPr>
          <w:lang w:eastAsia="en-US"/>
        </w:rPr>
        <w:t xml:space="preserve">"" </w:t>
      </w:r>
      <w:r w:rsidRPr="00021B02">
        <w:rPr>
          <w:lang w:eastAsia="en-US"/>
        </w:rPr>
        <w:t>где клиент может ознакомиться со страховыми продуктами компании, которые можно приобрести в режиме подключения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Для удобства все страховые программы поделены на четыре основные категории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автомобили, имущество, жизнь и здоровье, путешествия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Выбрав интересующий его продукт, клиент может ознакомиться с его описанием, рассчитать цену на предложенном здесь же калькуляторе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Если цена полиса устраивает клиента, то ему предлагается прочитать правила страхования и приступать к заполнению анкеты, которая фактически является заявлением на страхование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После этого клиент выбирает способ оплаты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Возможны следующие четыре вида оплаты</w:t>
      </w:r>
      <w:r w:rsidR="00021B02" w:rsidRPr="00021B02">
        <w:rPr>
          <w:lang w:eastAsia="en-US"/>
        </w:rPr>
        <w:t xml:space="preserve">: </w:t>
      </w:r>
      <w:r w:rsidRPr="00021B02">
        <w:rPr>
          <w:lang w:eastAsia="en-US"/>
        </w:rPr>
        <w:t>кредитными картами с использованием системы CyberPlat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наличными в офисе компании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наличными при получении полиса от курьера</w:t>
      </w:r>
      <w:r w:rsidR="00021B02" w:rsidRPr="00021B02">
        <w:rPr>
          <w:lang w:eastAsia="en-US"/>
        </w:rPr>
        <w:t xml:space="preserve">; </w:t>
      </w:r>
      <w:r w:rsidRPr="00021B02">
        <w:rPr>
          <w:lang w:eastAsia="en-US"/>
        </w:rPr>
        <w:t>в отделении Сбербанка РФ</w:t>
      </w:r>
      <w:r w:rsidR="00021B02">
        <w:rPr>
          <w:lang w:eastAsia="en-US"/>
        </w:rPr>
        <w:t xml:space="preserve"> (</w:t>
      </w:r>
      <w:r w:rsidRPr="00021B02">
        <w:rPr>
          <w:lang w:eastAsia="en-US"/>
        </w:rPr>
        <w:t>распечатать счет можно со страницы Web-сайта</w:t>
      </w:r>
      <w:r w:rsidR="00021B02" w:rsidRPr="00021B02">
        <w:rPr>
          <w:lang w:eastAsia="en-US"/>
        </w:rPr>
        <w:t>);</w:t>
      </w:r>
    </w:p>
    <w:p w:rsidR="00021B02" w:rsidRDefault="00A1692C" w:rsidP="00021B02">
      <w:pPr>
        <w:ind w:firstLine="709"/>
        <w:rPr>
          <w:lang w:eastAsia="en-US"/>
        </w:rPr>
      </w:pPr>
      <w:r w:rsidRPr="00021B02">
        <w:rPr>
          <w:lang w:eastAsia="en-US"/>
        </w:rPr>
        <w:t>Система</w:t>
      </w:r>
      <w:r w:rsidR="00021B02">
        <w:rPr>
          <w:lang w:eastAsia="en-US"/>
        </w:rPr>
        <w:t xml:space="preserve"> "</w:t>
      </w:r>
      <w:r w:rsidRPr="00021B02">
        <w:rPr>
          <w:lang w:eastAsia="en-US"/>
        </w:rPr>
        <w:t>Интернет-агентство</w:t>
      </w:r>
      <w:r w:rsidR="00021B02">
        <w:rPr>
          <w:lang w:eastAsia="en-US"/>
        </w:rPr>
        <w:t>" (</w:t>
      </w:r>
      <w:r w:rsidRPr="00021B02">
        <w:rPr>
          <w:lang w:eastAsia="en-US"/>
        </w:rPr>
        <w:t>Ингосстрах</w:t>
      </w:r>
      <w:r w:rsidR="00021B02" w:rsidRPr="00021B02">
        <w:rPr>
          <w:lang w:eastAsia="en-US"/>
        </w:rPr>
        <w:t xml:space="preserve">) </w:t>
      </w:r>
      <w:r w:rsidRPr="00021B02">
        <w:rPr>
          <w:lang w:eastAsia="en-US"/>
        </w:rPr>
        <w:t>предназначена для продвижения страховых продуктов компании на рынок и их продажи юридическим и физическим лицам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Обслуживание физических лиц осуществляется в Интернет-агентстве</w:t>
      </w:r>
      <w:r w:rsidR="00021B02">
        <w:rPr>
          <w:lang w:eastAsia="en-US"/>
        </w:rPr>
        <w:t xml:space="preserve"> (</w:t>
      </w:r>
      <w:r w:rsidRPr="00854B5A">
        <w:rPr>
          <w:lang w:eastAsia="en-US"/>
        </w:rPr>
        <w:t>agency</w:t>
      </w:r>
      <w:r w:rsidR="00021B02" w:rsidRPr="00854B5A">
        <w:rPr>
          <w:lang w:eastAsia="en-US"/>
        </w:rPr>
        <w:t xml:space="preserve">. </w:t>
      </w:r>
      <w:r w:rsidRPr="00854B5A">
        <w:rPr>
          <w:lang w:eastAsia="en-US"/>
        </w:rPr>
        <w:t>ingos</w:t>
      </w:r>
      <w:r w:rsidR="00021B02" w:rsidRPr="00854B5A">
        <w:rPr>
          <w:lang w:eastAsia="en-US"/>
        </w:rPr>
        <w:t>.ru</w:t>
      </w:r>
      <w:r w:rsidR="00021B02" w:rsidRPr="00021B02">
        <w:rPr>
          <w:lang w:eastAsia="en-US"/>
        </w:rPr>
        <w:t>),</w:t>
      </w:r>
      <w:r w:rsidRPr="00021B02">
        <w:rPr>
          <w:lang w:eastAsia="en-US"/>
        </w:rPr>
        <w:t xml:space="preserve"> а юридических</w:t>
      </w:r>
      <w:r w:rsidR="00021B02" w:rsidRPr="00021B02">
        <w:rPr>
          <w:lang w:eastAsia="en-US"/>
        </w:rPr>
        <w:t xml:space="preserve"> - </w:t>
      </w:r>
      <w:r w:rsidRPr="00021B02">
        <w:rPr>
          <w:lang w:eastAsia="en-US"/>
        </w:rPr>
        <w:t>в Бизнес-бюро</w:t>
      </w:r>
      <w:r w:rsidR="00021B02">
        <w:rPr>
          <w:lang w:eastAsia="en-US"/>
        </w:rPr>
        <w:t xml:space="preserve"> (</w:t>
      </w:r>
      <w:r w:rsidRPr="00854B5A">
        <w:rPr>
          <w:lang w:eastAsia="en-US"/>
        </w:rPr>
        <w:t>b2b</w:t>
      </w:r>
      <w:r w:rsidR="00021B02" w:rsidRPr="00854B5A">
        <w:rPr>
          <w:lang w:eastAsia="en-US"/>
        </w:rPr>
        <w:t xml:space="preserve">. </w:t>
      </w:r>
      <w:r w:rsidRPr="00854B5A">
        <w:rPr>
          <w:lang w:eastAsia="en-US"/>
        </w:rPr>
        <w:t>ingos</w:t>
      </w:r>
      <w:r w:rsidR="00021B02" w:rsidRPr="00854B5A">
        <w:rPr>
          <w:lang w:eastAsia="en-US"/>
        </w:rPr>
        <w:t>.ru</w:t>
      </w:r>
      <w:r w:rsidR="00021B02" w:rsidRPr="00021B02">
        <w:rPr>
          <w:lang w:eastAsia="en-US"/>
        </w:rPr>
        <w:t xml:space="preserve">). </w:t>
      </w:r>
      <w:r w:rsidRPr="00021B02">
        <w:rPr>
          <w:lang w:eastAsia="en-US"/>
        </w:rPr>
        <w:t>Отличительной особенностью системы является ее направленность на обслуживание проданных страховых продуктов</w:t>
      </w:r>
      <w:r w:rsidR="00021B02" w:rsidRPr="00021B02">
        <w:rPr>
          <w:lang w:eastAsia="en-US"/>
        </w:rPr>
        <w:t xml:space="preserve">. </w:t>
      </w:r>
      <w:r w:rsidRPr="00021B02">
        <w:rPr>
          <w:lang w:eastAsia="en-US"/>
        </w:rPr>
        <w:t>Оплата полисов и их получение производятся в московских офисах компании</w:t>
      </w:r>
      <w:r w:rsidR="00021B02" w:rsidRPr="00021B02">
        <w:rPr>
          <w:lang w:eastAsia="en-US"/>
        </w:rPr>
        <w:t>.</w:t>
      </w:r>
    </w:p>
    <w:p w:rsidR="00021B02" w:rsidRPr="00021B02" w:rsidRDefault="00021B02" w:rsidP="00021B02">
      <w:pPr>
        <w:pStyle w:val="2"/>
      </w:pPr>
      <w:r>
        <w:br w:type="page"/>
      </w:r>
      <w:bookmarkStart w:id="3" w:name="_Toc273034695"/>
      <w:r w:rsidR="006403E9" w:rsidRPr="00021B02">
        <w:t>Список использованной литературы и Интернет-ресурсов</w:t>
      </w:r>
      <w:bookmarkEnd w:id="3"/>
    </w:p>
    <w:p w:rsidR="00021B02" w:rsidRDefault="00021B02" w:rsidP="00021B02">
      <w:pPr>
        <w:ind w:firstLine="709"/>
        <w:rPr>
          <w:lang w:eastAsia="en-US"/>
        </w:rPr>
      </w:pPr>
    </w:p>
    <w:p w:rsidR="00021B02" w:rsidRDefault="00A1692C" w:rsidP="00021B02">
      <w:pPr>
        <w:pStyle w:val="a0"/>
      </w:pPr>
      <w:r w:rsidRPr="00021B02">
        <w:t>Веляевский И</w:t>
      </w:r>
      <w:r w:rsidR="00021B02">
        <w:t xml:space="preserve">.К. </w:t>
      </w:r>
      <w:r w:rsidRPr="00021B02">
        <w:t>Маркетинговое исследование</w:t>
      </w:r>
      <w:r w:rsidR="00021B02" w:rsidRPr="00021B02">
        <w:t xml:space="preserve">: </w:t>
      </w:r>
      <w:r w:rsidRPr="00021B02">
        <w:t>информация, анализ, прогноз</w:t>
      </w:r>
      <w:r w:rsidR="00021B02" w:rsidRPr="00021B02">
        <w:t xml:space="preserve">. </w:t>
      </w:r>
      <w:r w:rsidRPr="00021B02">
        <w:t>М,</w:t>
      </w:r>
      <w:r w:rsidR="00021B02" w:rsidRPr="00021B02">
        <w:t xml:space="preserve">: </w:t>
      </w:r>
      <w:r w:rsidRPr="00021B02">
        <w:t>Финансы и статистика, 200</w:t>
      </w:r>
      <w:r w:rsidR="006403E9" w:rsidRPr="00021B02">
        <w:t>6</w:t>
      </w:r>
      <w:r w:rsidR="00021B02" w:rsidRPr="00021B02">
        <w:t>.</w:t>
      </w:r>
    </w:p>
    <w:p w:rsidR="00021B02" w:rsidRDefault="00A1692C" w:rsidP="00021B02">
      <w:pPr>
        <w:pStyle w:val="a0"/>
      </w:pPr>
      <w:r w:rsidRPr="00021B02">
        <w:t>Головеров Д</w:t>
      </w:r>
      <w:r w:rsidR="00021B02">
        <w:t xml:space="preserve">.В., </w:t>
      </w:r>
      <w:r w:rsidRPr="00021B02">
        <w:t>Кемрадж А</w:t>
      </w:r>
      <w:r w:rsidR="00021B02">
        <w:t xml:space="preserve">.С. </w:t>
      </w:r>
      <w:r w:rsidRPr="00021B02">
        <w:t>и др</w:t>
      </w:r>
      <w:r w:rsidR="00021B02" w:rsidRPr="00021B02">
        <w:t xml:space="preserve">. </w:t>
      </w:r>
      <w:r w:rsidRPr="00021B02">
        <w:t>Правовые аспекты использования Интернет-технологий</w:t>
      </w:r>
      <w:r w:rsidR="00021B02" w:rsidRPr="00021B02">
        <w:t xml:space="preserve">. </w:t>
      </w:r>
      <w:r w:rsidRPr="00021B02">
        <w:t>М</w:t>
      </w:r>
      <w:r w:rsidR="00021B02">
        <w:t>.:</w:t>
      </w:r>
      <w:r w:rsidR="00021B02" w:rsidRPr="00021B02">
        <w:t xml:space="preserve"> </w:t>
      </w:r>
      <w:r w:rsidRPr="00021B02">
        <w:t>Книжный мир, 200</w:t>
      </w:r>
      <w:r w:rsidR="006403E9" w:rsidRPr="00021B02">
        <w:t>8</w:t>
      </w:r>
      <w:r w:rsidR="00021B02" w:rsidRPr="00021B02">
        <w:t>.</w:t>
      </w:r>
    </w:p>
    <w:p w:rsidR="00021B02" w:rsidRDefault="00A1692C" w:rsidP="00021B02">
      <w:pPr>
        <w:pStyle w:val="a0"/>
      </w:pPr>
      <w:r w:rsidRPr="00021B02">
        <w:t>Данько Т</w:t>
      </w:r>
      <w:r w:rsidR="00021B02">
        <w:t xml:space="preserve">.П., </w:t>
      </w:r>
      <w:r w:rsidRPr="00021B02">
        <w:t>Дьяконова Л</w:t>
      </w:r>
      <w:r w:rsidR="00021B02">
        <w:t xml:space="preserve">.Я., </w:t>
      </w:r>
      <w:r w:rsidRPr="00021B02">
        <w:t>Завьялова Н</w:t>
      </w:r>
      <w:r w:rsidR="00021B02">
        <w:t xml:space="preserve">.В., </w:t>
      </w:r>
      <w:r w:rsidRPr="00021B02">
        <w:t>Сагино-ва О</w:t>
      </w:r>
      <w:r w:rsidR="00021B02">
        <w:t xml:space="preserve">.В. </w:t>
      </w:r>
      <w:r w:rsidRPr="00021B02">
        <w:t>и др</w:t>
      </w:r>
      <w:r w:rsidR="00021B02" w:rsidRPr="00021B02">
        <w:t xml:space="preserve">. </w:t>
      </w:r>
      <w:r w:rsidRPr="00021B02">
        <w:t>Электронный маркетинг</w:t>
      </w:r>
      <w:r w:rsidR="00021B02" w:rsidRPr="00021B02">
        <w:t xml:space="preserve">: </w:t>
      </w:r>
      <w:r w:rsidRPr="00021B02">
        <w:t>Учеб</w:t>
      </w:r>
      <w:r w:rsidR="00021B02" w:rsidRPr="00021B02">
        <w:t xml:space="preserve">. </w:t>
      </w:r>
      <w:r w:rsidRPr="00021B02">
        <w:t>пособие</w:t>
      </w:r>
      <w:r w:rsidR="00021B02" w:rsidRPr="00021B02">
        <w:t xml:space="preserve">. </w:t>
      </w:r>
      <w:r w:rsidRPr="00021B02">
        <w:t>М</w:t>
      </w:r>
      <w:r w:rsidR="00021B02">
        <w:t>.:</w:t>
      </w:r>
      <w:r w:rsidR="00021B02" w:rsidRPr="00021B02">
        <w:t xml:space="preserve"> </w:t>
      </w:r>
      <w:r w:rsidRPr="00021B02">
        <w:t>ИНФРА-М, 200</w:t>
      </w:r>
      <w:r w:rsidR="006403E9" w:rsidRPr="00021B02">
        <w:t>7</w:t>
      </w:r>
      <w:r w:rsidR="00021B02" w:rsidRPr="00021B02">
        <w:t>.</w:t>
      </w:r>
    </w:p>
    <w:p w:rsidR="00021B02" w:rsidRDefault="00A1692C" w:rsidP="00021B02">
      <w:pPr>
        <w:pStyle w:val="a0"/>
      </w:pPr>
      <w:r w:rsidRPr="00021B02">
        <w:t>Раздьяконов Н</w:t>
      </w:r>
      <w:r w:rsidR="00021B02" w:rsidRPr="00021B02">
        <w:t xml:space="preserve">. </w:t>
      </w:r>
      <w:r w:rsidRPr="00021B02">
        <w:t>и др</w:t>
      </w:r>
      <w:r w:rsidR="00021B02" w:rsidRPr="00021B02">
        <w:t xml:space="preserve">. </w:t>
      </w:r>
      <w:r w:rsidRPr="00021B02">
        <w:t>Jump In</w:t>
      </w:r>
      <w:r w:rsidR="00021B02" w:rsidRPr="00021B02">
        <w:t xml:space="preserve">: </w:t>
      </w:r>
      <w:r w:rsidRPr="00021B02">
        <w:t>Учеб</w:t>
      </w:r>
      <w:r w:rsidR="00021B02" w:rsidRPr="00021B02">
        <w:t xml:space="preserve">. </w:t>
      </w:r>
      <w:r w:rsidRPr="00021B02">
        <w:t>пособие для слушателей курсов</w:t>
      </w:r>
      <w:r w:rsidR="00021B02">
        <w:t xml:space="preserve"> "</w:t>
      </w:r>
      <w:r w:rsidRPr="00021B02">
        <w:t>Амадеус</w:t>
      </w:r>
      <w:r w:rsidR="00021B02">
        <w:t xml:space="preserve">". </w:t>
      </w:r>
      <w:r w:rsidRPr="00021B02">
        <w:t>М</w:t>
      </w:r>
      <w:r w:rsidR="00021B02">
        <w:t>.;</w:t>
      </w:r>
      <w:r w:rsidR="00021B02" w:rsidRPr="00021B02">
        <w:t xml:space="preserve"> </w:t>
      </w:r>
      <w:r w:rsidRPr="00021B02">
        <w:t>СПб</w:t>
      </w:r>
      <w:r w:rsidR="00021B02">
        <w:t>.:</w:t>
      </w:r>
      <w:r w:rsidR="00021B02" w:rsidRPr="00021B02">
        <w:t xml:space="preserve"> </w:t>
      </w:r>
      <w:r w:rsidRPr="00021B02">
        <w:t>Amadeus Russia, 200</w:t>
      </w:r>
      <w:r w:rsidR="006403E9" w:rsidRPr="00021B02">
        <w:t>7</w:t>
      </w:r>
      <w:r w:rsidR="00021B02" w:rsidRPr="00021B02">
        <w:t>.</w:t>
      </w:r>
    </w:p>
    <w:p w:rsidR="00021B02" w:rsidRDefault="00A1692C" w:rsidP="00021B02">
      <w:pPr>
        <w:pStyle w:val="a0"/>
      </w:pPr>
      <w:r w:rsidRPr="00021B02">
        <w:t>Успенский И</w:t>
      </w:r>
      <w:r w:rsidR="00021B02" w:rsidRPr="00021B02">
        <w:t xml:space="preserve">. </w:t>
      </w:r>
      <w:r w:rsidRPr="00021B02">
        <w:t>Энциклопедия Интернет-бизнеса</w:t>
      </w:r>
      <w:r w:rsidR="00021B02" w:rsidRPr="00021B02">
        <w:t xml:space="preserve">. </w:t>
      </w:r>
      <w:r w:rsidRPr="00021B02">
        <w:t>СПб</w:t>
      </w:r>
      <w:r w:rsidR="00021B02">
        <w:t>.:</w:t>
      </w:r>
      <w:r w:rsidR="00021B02" w:rsidRPr="00021B02">
        <w:t xml:space="preserve"> </w:t>
      </w:r>
      <w:r w:rsidRPr="00021B02">
        <w:t>Питер, 200</w:t>
      </w:r>
      <w:r w:rsidR="006403E9" w:rsidRPr="00021B02">
        <w:t>6</w:t>
      </w:r>
      <w:r w:rsidR="00021B02" w:rsidRPr="00021B02">
        <w:t>.</w:t>
      </w:r>
    </w:p>
    <w:p w:rsidR="00021B02" w:rsidRDefault="00A1692C" w:rsidP="00021B02">
      <w:pPr>
        <w:pStyle w:val="a0"/>
      </w:pPr>
      <w:r w:rsidRPr="00021B02">
        <w:t>Холмогоров В</w:t>
      </w:r>
      <w:r w:rsidR="00021B02" w:rsidRPr="00021B02">
        <w:t xml:space="preserve">. </w:t>
      </w:r>
      <w:r w:rsidRPr="00021B02">
        <w:t>Интернет-маркетинг</w:t>
      </w:r>
      <w:r w:rsidR="00021B02" w:rsidRPr="00021B02">
        <w:t xml:space="preserve">. </w:t>
      </w:r>
      <w:r w:rsidRPr="00021B02">
        <w:t>Краткий курс</w:t>
      </w:r>
      <w:r w:rsidR="00021B02" w:rsidRPr="00021B02">
        <w:t xml:space="preserve">. </w:t>
      </w:r>
      <w:r w:rsidRPr="00021B02">
        <w:t>СПб</w:t>
      </w:r>
      <w:r w:rsidR="00021B02">
        <w:t>.:</w:t>
      </w:r>
      <w:r w:rsidR="00021B02" w:rsidRPr="00021B02">
        <w:t xml:space="preserve"> </w:t>
      </w:r>
      <w:r w:rsidRPr="00021B02">
        <w:t>Питер, 200</w:t>
      </w:r>
      <w:r w:rsidR="006403E9" w:rsidRPr="00021B02">
        <w:t>8</w:t>
      </w:r>
      <w:r w:rsidR="00021B02" w:rsidRPr="00021B02">
        <w:t>.</w:t>
      </w:r>
    </w:p>
    <w:p w:rsidR="00021B02" w:rsidRDefault="00A1692C" w:rsidP="00021B02">
      <w:pPr>
        <w:pStyle w:val="a0"/>
      </w:pPr>
      <w:r w:rsidRPr="00021B02">
        <w:t>Хорошилов А</w:t>
      </w:r>
      <w:r w:rsidR="00021B02">
        <w:t xml:space="preserve">.В., </w:t>
      </w:r>
      <w:r w:rsidRPr="00021B02">
        <w:t>Селетков С</w:t>
      </w:r>
      <w:r w:rsidR="00021B02">
        <w:t xml:space="preserve">.Я. </w:t>
      </w:r>
      <w:r w:rsidRPr="00021B02">
        <w:t>Мировые информационные ресурсы</w:t>
      </w:r>
      <w:r w:rsidR="00021B02" w:rsidRPr="00021B02">
        <w:t xml:space="preserve">. </w:t>
      </w:r>
      <w:r w:rsidRPr="00021B02">
        <w:t>СПб</w:t>
      </w:r>
      <w:r w:rsidR="00021B02">
        <w:t>.:</w:t>
      </w:r>
      <w:r w:rsidR="00021B02" w:rsidRPr="00021B02">
        <w:t xml:space="preserve"> </w:t>
      </w:r>
      <w:r w:rsidRPr="00021B02">
        <w:t>Питер, 2004</w:t>
      </w:r>
      <w:r w:rsidR="00021B02" w:rsidRPr="00021B02">
        <w:t>.</w:t>
      </w:r>
    </w:p>
    <w:p w:rsidR="00021B02" w:rsidRDefault="00021B02" w:rsidP="00021B02">
      <w:pPr>
        <w:pStyle w:val="a0"/>
      </w:pPr>
      <w:r w:rsidRPr="00854B5A">
        <w:t>http://www.</w:t>
      </w:r>
      <w:r w:rsidR="00A1692C" w:rsidRPr="00854B5A">
        <w:t>marketingpower</w:t>
      </w:r>
      <w:r w:rsidRPr="00854B5A">
        <w:t>.com</w:t>
      </w:r>
      <w:r w:rsidR="00A1692C" w:rsidRPr="00854B5A">
        <w:t>/welcome</w:t>
      </w:r>
      <w:r w:rsidRPr="00854B5A">
        <w:t xml:space="preserve">. </w:t>
      </w:r>
      <w:r w:rsidR="00A1692C" w:rsidRPr="00854B5A">
        <w:t>php</w:t>
      </w:r>
      <w:r w:rsidRPr="00021B02">
        <w:t xml:space="preserve"> - </w:t>
      </w:r>
      <w:r w:rsidR="00A1692C" w:rsidRPr="00021B02">
        <w:t>сайт американской маркетинговой ассоциации</w:t>
      </w:r>
      <w:r>
        <w:t xml:space="preserve"> (</w:t>
      </w:r>
      <w:r w:rsidR="00A1692C" w:rsidRPr="00021B02">
        <w:t>АМА</w:t>
      </w:r>
      <w:r w:rsidRPr="00021B02">
        <w:t>).</w:t>
      </w:r>
    </w:p>
    <w:p w:rsidR="00021B02" w:rsidRDefault="00021B02" w:rsidP="00021B02">
      <w:pPr>
        <w:pStyle w:val="a0"/>
      </w:pPr>
      <w:r w:rsidRPr="00854B5A">
        <w:t>http://www.</w:t>
      </w:r>
      <w:r w:rsidR="00A1692C" w:rsidRPr="00854B5A">
        <w:t>ram</w:t>
      </w:r>
      <w:r w:rsidRPr="00854B5A">
        <w:t>.ru</w:t>
      </w:r>
      <w:r w:rsidR="00A1692C" w:rsidRPr="00854B5A">
        <w:t>/</w:t>
      </w:r>
      <w:r w:rsidRPr="00021B02">
        <w:t xml:space="preserve"> - </w:t>
      </w:r>
      <w:r w:rsidR="00A1692C" w:rsidRPr="00021B02">
        <w:t>сайт российской ассоциации маркетинга</w:t>
      </w:r>
      <w:r>
        <w:t xml:space="preserve"> (</w:t>
      </w:r>
      <w:r w:rsidR="00A1692C" w:rsidRPr="00021B02">
        <w:t>РАМ</w:t>
      </w:r>
      <w:r w:rsidRPr="00021B02">
        <w:t>).</w:t>
      </w:r>
    </w:p>
    <w:p w:rsidR="00021B02" w:rsidRDefault="00021B02" w:rsidP="00021B02">
      <w:pPr>
        <w:pStyle w:val="a0"/>
      </w:pPr>
      <w:r w:rsidRPr="00854B5A">
        <w:t>http://www.</w:t>
      </w:r>
      <w:r w:rsidR="00A1692C" w:rsidRPr="00854B5A">
        <w:t>e-commerce</w:t>
      </w:r>
      <w:r w:rsidRPr="00854B5A">
        <w:t>.ru</w:t>
      </w:r>
      <w:r w:rsidR="00A1692C" w:rsidRPr="00854B5A">
        <w:t>/</w:t>
      </w:r>
      <w:r w:rsidRPr="00021B02">
        <w:t xml:space="preserve"> - </w:t>
      </w:r>
      <w:r w:rsidR="00A1692C" w:rsidRPr="00021B02">
        <w:t>Интернет-ресурсы информационно-консалтингового центра по электронному бизнесу</w:t>
      </w:r>
      <w:r w:rsidRPr="00021B02">
        <w:t>.</w:t>
      </w:r>
    </w:p>
    <w:p w:rsidR="00A1692C" w:rsidRPr="00021B02" w:rsidRDefault="00021B02" w:rsidP="00021B02">
      <w:pPr>
        <w:pStyle w:val="a0"/>
      </w:pPr>
      <w:r w:rsidRPr="00854B5A">
        <w:t>http://www.</w:t>
      </w:r>
      <w:r w:rsidR="00A1692C" w:rsidRPr="00854B5A">
        <w:t>e-management</w:t>
      </w:r>
      <w:r w:rsidRPr="00854B5A">
        <w:t>.ru</w:t>
      </w:r>
      <w:r w:rsidR="00A1692C" w:rsidRPr="00854B5A">
        <w:t>/</w:t>
      </w:r>
      <w:r w:rsidRPr="00021B02">
        <w:t xml:space="preserve"> - </w:t>
      </w:r>
      <w:r w:rsidR="00A1692C" w:rsidRPr="00021B02">
        <w:t>консультационный центр развития электронного бизнеса</w:t>
      </w:r>
      <w:r w:rsidRPr="00021B02">
        <w:t>.</w:t>
      </w:r>
      <w:bookmarkStart w:id="4" w:name="_GoBack"/>
      <w:bookmarkEnd w:id="4"/>
    </w:p>
    <w:sectPr w:rsidR="00A1692C" w:rsidRPr="00021B02" w:rsidSect="00021B0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64" w:rsidRDefault="00F67364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F67364" w:rsidRDefault="00F6736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02" w:rsidRDefault="00021B0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02" w:rsidRDefault="00021B0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64" w:rsidRDefault="00F67364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F67364" w:rsidRDefault="00F6736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02" w:rsidRDefault="00854B5A" w:rsidP="00021B02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021B02" w:rsidRDefault="00021B02" w:rsidP="00021B0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02" w:rsidRDefault="00021B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8C6D50"/>
    <w:lvl w:ilvl="0">
      <w:numFmt w:val="bullet"/>
      <w:lvlText w:val="*"/>
      <w:lvlJc w:val="left"/>
    </w:lvl>
  </w:abstractNum>
  <w:abstractNum w:abstractNumId="1">
    <w:nsid w:val="03BC70D7"/>
    <w:multiLevelType w:val="singleLevel"/>
    <w:tmpl w:val="20FCD118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59D7A49"/>
    <w:multiLevelType w:val="singleLevel"/>
    <w:tmpl w:val="39886078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A4618F"/>
    <w:multiLevelType w:val="singleLevel"/>
    <w:tmpl w:val="03C85C5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26A962AC"/>
    <w:multiLevelType w:val="singleLevel"/>
    <w:tmpl w:val="41804C44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27924A82"/>
    <w:multiLevelType w:val="singleLevel"/>
    <w:tmpl w:val="6516645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2C962CB0"/>
    <w:multiLevelType w:val="singleLevel"/>
    <w:tmpl w:val="3BB63B9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7705F"/>
    <w:multiLevelType w:val="singleLevel"/>
    <w:tmpl w:val="82FC89E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8E109D"/>
    <w:multiLevelType w:val="singleLevel"/>
    <w:tmpl w:val="F0906F7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>
    <w:nsid w:val="47512C97"/>
    <w:multiLevelType w:val="singleLevel"/>
    <w:tmpl w:val="CB40F2AE"/>
    <w:lvl w:ilvl="0">
      <w:start w:val="2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13">
    <w:nsid w:val="4DE50704"/>
    <w:multiLevelType w:val="singleLevel"/>
    <w:tmpl w:val="A94AF1B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>
    <w:nsid w:val="586F6378"/>
    <w:multiLevelType w:val="singleLevel"/>
    <w:tmpl w:val="76E0E37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*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</w:num>
  <w:num w:numId="11">
    <w:abstractNumId w:val="6"/>
  </w:num>
  <w:num w:numId="12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4"/>
  </w:num>
  <w:num w:numId="19">
    <w:abstractNumId w:val="5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15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  <w:num w:numId="23">
    <w:abstractNumId w:val="13"/>
  </w:num>
  <w:num w:numId="24">
    <w:abstractNumId w:val="13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10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D31"/>
    <w:rsid w:val="00021B02"/>
    <w:rsid w:val="00022B70"/>
    <w:rsid w:val="0004341B"/>
    <w:rsid w:val="000D64FA"/>
    <w:rsid w:val="00175BB2"/>
    <w:rsid w:val="001D670A"/>
    <w:rsid w:val="003D7DDC"/>
    <w:rsid w:val="003E5C2E"/>
    <w:rsid w:val="003F13A9"/>
    <w:rsid w:val="004A690E"/>
    <w:rsid w:val="004E6AD8"/>
    <w:rsid w:val="006403E9"/>
    <w:rsid w:val="00683663"/>
    <w:rsid w:val="00683D31"/>
    <w:rsid w:val="006A6126"/>
    <w:rsid w:val="007834FA"/>
    <w:rsid w:val="00854B5A"/>
    <w:rsid w:val="008D42F5"/>
    <w:rsid w:val="00942FD6"/>
    <w:rsid w:val="00957FE3"/>
    <w:rsid w:val="009A7A3C"/>
    <w:rsid w:val="00A1692C"/>
    <w:rsid w:val="00A9411B"/>
    <w:rsid w:val="00AA2234"/>
    <w:rsid w:val="00AB15BF"/>
    <w:rsid w:val="00BB5152"/>
    <w:rsid w:val="00D13680"/>
    <w:rsid w:val="00DD1FB0"/>
    <w:rsid w:val="00DF1583"/>
    <w:rsid w:val="00E23433"/>
    <w:rsid w:val="00F6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9EB9E0D-802E-48E4-B67B-5E014CE2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21B0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021B0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021B02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021B02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021B02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021B02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021B02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021B02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021B02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021B02"/>
    <w:rPr>
      <w:color w:val="auto"/>
      <w:sz w:val="28"/>
      <w:szCs w:val="28"/>
      <w:u w:val="single"/>
      <w:vertAlign w:val="baseline"/>
    </w:rPr>
  </w:style>
  <w:style w:type="table" w:styleId="a7">
    <w:name w:val="Table Grid"/>
    <w:basedOn w:val="a4"/>
    <w:uiPriority w:val="99"/>
    <w:rsid w:val="00021B0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021B0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021B0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b">
    <w:name w:val="endnote reference"/>
    <w:uiPriority w:val="99"/>
    <w:semiHidden/>
    <w:rsid w:val="00021B02"/>
    <w:rPr>
      <w:vertAlign w:val="superscript"/>
    </w:rPr>
  </w:style>
  <w:style w:type="paragraph" w:styleId="a9">
    <w:name w:val="Body Text"/>
    <w:basedOn w:val="a2"/>
    <w:link w:val="ac"/>
    <w:uiPriority w:val="99"/>
    <w:rsid w:val="00021B02"/>
    <w:pPr>
      <w:ind w:firstLine="709"/>
    </w:pPr>
    <w:rPr>
      <w:lang w:eastAsia="en-US"/>
    </w:r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021B0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021B0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21B02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021B0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021B0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021B02"/>
    <w:rPr>
      <w:rFonts w:eastAsia="Times New Roman"/>
      <w:sz w:val="28"/>
      <w:szCs w:val="28"/>
      <w:lang w:val="ru-RU" w:eastAsia="en-US"/>
    </w:rPr>
  </w:style>
  <w:style w:type="paragraph" w:styleId="af2">
    <w:name w:val="footer"/>
    <w:basedOn w:val="a2"/>
    <w:link w:val="13"/>
    <w:uiPriority w:val="99"/>
    <w:semiHidden/>
    <w:rsid w:val="00021B02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021B02"/>
    <w:rPr>
      <w:rFonts w:eastAsia="Times New Roman"/>
      <w:noProof/>
      <w:kern w:val="16"/>
      <w:sz w:val="28"/>
      <w:szCs w:val="28"/>
      <w:lang w:val="ru-RU" w:eastAsia="en-US"/>
    </w:rPr>
  </w:style>
  <w:style w:type="character" w:styleId="af4">
    <w:name w:val="footnote reference"/>
    <w:uiPriority w:val="99"/>
    <w:semiHidden/>
    <w:rsid w:val="00021B0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21B02"/>
    <w:pPr>
      <w:numPr>
        <w:numId w:val="2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021B02"/>
    <w:pPr>
      <w:numPr>
        <w:numId w:val="26"/>
      </w:numPr>
    </w:pPr>
  </w:style>
  <w:style w:type="paragraph" w:customStyle="1" w:styleId="af5">
    <w:name w:val="литера"/>
    <w:uiPriority w:val="99"/>
    <w:rsid w:val="00021B0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021B0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021B02"/>
    <w:rPr>
      <w:sz w:val="28"/>
      <w:szCs w:val="28"/>
    </w:rPr>
  </w:style>
  <w:style w:type="paragraph" w:styleId="af8">
    <w:name w:val="Normal (Web)"/>
    <w:basedOn w:val="a2"/>
    <w:uiPriority w:val="99"/>
    <w:rsid w:val="00021B0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021B02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021B02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021B02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021B02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021B02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021B02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021B02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21B02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a">
    <w:name w:val="содержание"/>
    <w:uiPriority w:val="99"/>
    <w:rsid w:val="00021B0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1B02"/>
    <w:pPr>
      <w:numPr>
        <w:numId w:val="27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1B02"/>
    <w:pPr>
      <w:numPr>
        <w:numId w:val="2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021B0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21B0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1B0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1B02"/>
    <w:rPr>
      <w:i/>
      <w:iCs/>
    </w:rPr>
  </w:style>
  <w:style w:type="paragraph" w:customStyle="1" w:styleId="afb">
    <w:name w:val="ТАБЛИЦА"/>
    <w:next w:val="a2"/>
    <w:autoRedefine/>
    <w:uiPriority w:val="99"/>
    <w:rsid w:val="00021B02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021B02"/>
  </w:style>
  <w:style w:type="paragraph" w:customStyle="1" w:styleId="afc">
    <w:name w:val="Стиль ТАБЛИЦА + Междустр.интервал:  полуторный"/>
    <w:basedOn w:val="afb"/>
    <w:uiPriority w:val="99"/>
    <w:rsid w:val="00021B02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021B02"/>
  </w:style>
  <w:style w:type="table" w:customStyle="1" w:styleId="16">
    <w:name w:val="Стиль таблицы1"/>
    <w:uiPriority w:val="99"/>
    <w:rsid w:val="00021B02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021B02"/>
    <w:pPr>
      <w:jc w:val="center"/>
    </w:pPr>
    <w:rPr>
      <w:rFonts w:ascii="Times New Roman" w:hAnsi="Times New Roman"/>
    </w:rPr>
  </w:style>
  <w:style w:type="paragraph" w:styleId="afe">
    <w:name w:val="endnote text"/>
    <w:basedOn w:val="a2"/>
    <w:link w:val="aff"/>
    <w:autoRedefine/>
    <w:uiPriority w:val="99"/>
    <w:semiHidden/>
    <w:rsid w:val="00021B02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21B02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021B02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021B0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5230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34978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2014-02-24T10:53:00Z</dcterms:created>
  <dcterms:modified xsi:type="dcterms:W3CDTF">2014-02-24T10:53:00Z</dcterms:modified>
</cp:coreProperties>
</file>