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58A" w:rsidRDefault="009E158A">
      <w:pPr>
        <w:spacing w:line="360" w:lineRule="auto"/>
        <w:ind w:left="0" w:firstLine="1134"/>
        <w:rPr>
          <w:noProof/>
          <w:sz w:val="28"/>
        </w:rPr>
      </w:pPr>
      <w:r>
        <w:rPr>
          <w:noProof/>
          <w:sz w:val="28"/>
        </w:rPr>
        <w:t>План:</w:t>
      </w:r>
    </w:p>
    <w:p w:rsidR="009E158A" w:rsidRDefault="009E158A">
      <w:pPr>
        <w:spacing w:line="360" w:lineRule="auto"/>
        <w:ind w:left="0" w:firstLine="1134"/>
        <w:rPr>
          <w:noProof/>
          <w:sz w:val="28"/>
        </w:rPr>
      </w:pPr>
      <w:r>
        <w:rPr>
          <w:noProof/>
          <w:sz w:val="28"/>
        </w:rPr>
        <w:t>Введение.</w:t>
      </w:r>
    </w:p>
    <w:p w:rsidR="009E158A" w:rsidRDefault="009E158A">
      <w:pPr>
        <w:spacing w:line="360" w:lineRule="auto"/>
        <w:ind w:left="0" w:firstLine="851"/>
        <w:rPr>
          <w:noProof/>
          <w:sz w:val="28"/>
        </w:rPr>
      </w:pPr>
      <w:r>
        <w:rPr>
          <w:noProof/>
          <w:sz w:val="28"/>
        </w:rPr>
        <w:t>1.</w:t>
      </w:r>
      <w:r>
        <w:rPr>
          <w:sz w:val="28"/>
        </w:rPr>
        <w:t xml:space="preserve"> Коллизионные вопросы права собственности. </w:t>
      </w:r>
    </w:p>
    <w:p w:rsidR="009E158A" w:rsidRDefault="009E158A">
      <w:pPr>
        <w:spacing w:line="360" w:lineRule="auto"/>
        <w:ind w:left="0" w:firstLine="851"/>
        <w:rPr>
          <w:sz w:val="28"/>
        </w:rPr>
      </w:pPr>
      <w:r>
        <w:rPr>
          <w:sz w:val="28"/>
        </w:rPr>
        <w:t>2. Правовое регулирование иностранных инвестиций.</w:t>
      </w:r>
    </w:p>
    <w:p w:rsidR="009E158A" w:rsidRDefault="009E158A">
      <w:pPr>
        <w:spacing w:line="360" w:lineRule="auto"/>
        <w:ind w:left="851" w:firstLine="283"/>
        <w:rPr>
          <w:sz w:val="28"/>
        </w:rPr>
      </w:pPr>
      <w:r>
        <w:rPr>
          <w:sz w:val="28"/>
        </w:rPr>
        <w:t>Заключение.</w:t>
      </w:r>
    </w:p>
    <w:p w:rsidR="009E158A" w:rsidRDefault="009E158A">
      <w:pPr>
        <w:pStyle w:val="2"/>
      </w:pPr>
      <w:r>
        <w:t xml:space="preserve">Литература                                </w:t>
      </w:r>
    </w:p>
    <w:p w:rsidR="009E158A" w:rsidRDefault="009E158A">
      <w:pPr>
        <w:spacing w:line="360" w:lineRule="auto"/>
        <w:ind w:left="0" w:firstLine="851"/>
        <w:rPr>
          <w:sz w:val="28"/>
        </w:rPr>
      </w:pPr>
    </w:p>
    <w:p w:rsidR="009E158A" w:rsidRDefault="009E158A">
      <w:pPr>
        <w:spacing w:line="360" w:lineRule="auto"/>
        <w:ind w:left="0" w:firstLine="851"/>
        <w:rPr>
          <w:sz w:val="28"/>
        </w:rPr>
      </w:pPr>
    </w:p>
    <w:p w:rsidR="009E158A" w:rsidRDefault="009E158A">
      <w:pPr>
        <w:spacing w:line="360" w:lineRule="auto"/>
        <w:ind w:left="0" w:firstLine="851"/>
        <w:rPr>
          <w:sz w:val="28"/>
        </w:rPr>
      </w:pPr>
    </w:p>
    <w:p w:rsidR="009E158A" w:rsidRDefault="009E158A">
      <w:pPr>
        <w:spacing w:line="360" w:lineRule="auto"/>
        <w:ind w:left="0" w:firstLine="851"/>
        <w:rPr>
          <w:sz w:val="28"/>
        </w:rPr>
      </w:pPr>
    </w:p>
    <w:p w:rsidR="009E158A" w:rsidRDefault="009E158A">
      <w:pPr>
        <w:spacing w:line="360" w:lineRule="auto"/>
        <w:ind w:left="0" w:firstLine="851"/>
        <w:rPr>
          <w:sz w:val="28"/>
        </w:rPr>
      </w:pPr>
    </w:p>
    <w:p w:rsidR="009E158A" w:rsidRDefault="009E158A">
      <w:pPr>
        <w:spacing w:line="360" w:lineRule="auto"/>
        <w:ind w:left="0" w:firstLine="851"/>
        <w:rPr>
          <w:sz w:val="28"/>
        </w:rPr>
      </w:pPr>
    </w:p>
    <w:p w:rsidR="009E158A" w:rsidRDefault="009E158A">
      <w:pPr>
        <w:spacing w:line="360" w:lineRule="auto"/>
        <w:ind w:left="0" w:firstLine="851"/>
        <w:rPr>
          <w:sz w:val="28"/>
        </w:rPr>
      </w:pPr>
    </w:p>
    <w:p w:rsidR="009E158A" w:rsidRDefault="009E158A">
      <w:pPr>
        <w:spacing w:line="360" w:lineRule="auto"/>
        <w:ind w:left="0" w:firstLine="851"/>
        <w:rPr>
          <w:sz w:val="28"/>
        </w:rPr>
      </w:pPr>
    </w:p>
    <w:p w:rsidR="009E158A" w:rsidRDefault="009E158A">
      <w:pPr>
        <w:spacing w:line="360" w:lineRule="auto"/>
        <w:ind w:left="0" w:firstLine="851"/>
        <w:rPr>
          <w:sz w:val="28"/>
        </w:rPr>
      </w:pPr>
    </w:p>
    <w:p w:rsidR="009E158A" w:rsidRDefault="009E158A">
      <w:pPr>
        <w:spacing w:line="360" w:lineRule="auto"/>
        <w:ind w:left="0" w:firstLine="851"/>
        <w:rPr>
          <w:sz w:val="28"/>
        </w:rPr>
      </w:pPr>
    </w:p>
    <w:p w:rsidR="009E158A" w:rsidRDefault="009E158A">
      <w:pPr>
        <w:spacing w:line="360" w:lineRule="auto"/>
        <w:ind w:left="0" w:firstLine="851"/>
        <w:rPr>
          <w:sz w:val="28"/>
        </w:rPr>
      </w:pPr>
    </w:p>
    <w:p w:rsidR="009E158A" w:rsidRDefault="009E158A">
      <w:pPr>
        <w:spacing w:line="360" w:lineRule="auto"/>
        <w:ind w:left="0" w:firstLine="851"/>
        <w:rPr>
          <w:sz w:val="28"/>
        </w:rPr>
      </w:pPr>
    </w:p>
    <w:p w:rsidR="009E158A" w:rsidRDefault="009E158A">
      <w:pPr>
        <w:spacing w:line="360" w:lineRule="auto"/>
        <w:ind w:left="0" w:firstLine="851"/>
        <w:rPr>
          <w:sz w:val="28"/>
        </w:rPr>
      </w:pPr>
    </w:p>
    <w:p w:rsidR="009E158A" w:rsidRDefault="009E158A">
      <w:pPr>
        <w:spacing w:line="360" w:lineRule="auto"/>
        <w:ind w:left="0" w:firstLine="851"/>
        <w:rPr>
          <w:sz w:val="28"/>
        </w:rPr>
      </w:pPr>
    </w:p>
    <w:p w:rsidR="009E158A" w:rsidRDefault="009E158A">
      <w:pPr>
        <w:spacing w:line="360" w:lineRule="auto"/>
        <w:ind w:left="0" w:firstLine="851"/>
        <w:rPr>
          <w:sz w:val="28"/>
        </w:rPr>
      </w:pPr>
    </w:p>
    <w:p w:rsidR="009E158A" w:rsidRDefault="009E158A">
      <w:pPr>
        <w:spacing w:line="360" w:lineRule="auto"/>
        <w:ind w:left="0" w:firstLine="851"/>
        <w:rPr>
          <w:sz w:val="28"/>
        </w:rPr>
      </w:pPr>
    </w:p>
    <w:p w:rsidR="009E158A" w:rsidRDefault="009E158A">
      <w:pPr>
        <w:spacing w:line="360" w:lineRule="auto"/>
        <w:ind w:left="0" w:firstLine="851"/>
        <w:rPr>
          <w:sz w:val="28"/>
        </w:rPr>
      </w:pPr>
    </w:p>
    <w:p w:rsidR="009E158A" w:rsidRDefault="009E158A">
      <w:pPr>
        <w:spacing w:line="360" w:lineRule="auto"/>
        <w:ind w:left="0" w:firstLine="851"/>
        <w:rPr>
          <w:sz w:val="28"/>
        </w:rPr>
      </w:pPr>
    </w:p>
    <w:p w:rsidR="009E158A" w:rsidRDefault="009E158A">
      <w:pPr>
        <w:spacing w:line="360" w:lineRule="auto"/>
        <w:ind w:left="0" w:firstLine="851"/>
        <w:rPr>
          <w:sz w:val="28"/>
        </w:rPr>
      </w:pPr>
    </w:p>
    <w:p w:rsidR="009E158A" w:rsidRDefault="009E158A">
      <w:pPr>
        <w:spacing w:line="360" w:lineRule="auto"/>
        <w:ind w:left="0" w:firstLine="851"/>
        <w:rPr>
          <w:sz w:val="28"/>
        </w:rPr>
      </w:pPr>
    </w:p>
    <w:p w:rsidR="009E158A" w:rsidRDefault="009E158A">
      <w:pPr>
        <w:spacing w:line="360" w:lineRule="auto"/>
        <w:ind w:left="0" w:firstLine="851"/>
        <w:rPr>
          <w:sz w:val="28"/>
        </w:rPr>
      </w:pPr>
    </w:p>
    <w:p w:rsidR="009E158A" w:rsidRDefault="009E158A">
      <w:pPr>
        <w:spacing w:line="360" w:lineRule="auto"/>
        <w:ind w:left="0" w:firstLine="851"/>
        <w:rPr>
          <w:sz w:val="28"/>
        </w:rPr>
      </w:pPr>
    </w:p>
    <w:p w:rsidR="009E158A" w:rsidRDefault="009E158A">
      <w:pPr>
        <w:spacing w:line="360" w:lineRule="auto"/>
        <w:ind w:left="0" w:firstLine="851"/>
        <w:rPr>
          <w:sz w:val="28"/>
        </w:rPr>
      </w:pPr>
    </w:p>
    <w:p w:rsidR="009E158A" w:rsidRDefault="009E158A">
      <w:pPr>
        <w:spacing w:line="360" w:lineRule="auto"/>
        <w:ind w:left="0" w:firstLine="851"/>
        <w:rPr>
          <w:sz w:val="28"/>
        </w:rPr>
      </w:pPr>
    </w:p>
    <w:p w:rsidR="009E158A" w:rsidRDefault="009E158A">
      <w:pPr>
        <w:pStyle w:val="3"/>
        <w:ind w:firstLine="1134"/>
      </w:pPr>
      <w:r>
        <w:t>Введение</w:t>
      </w:r>
    </w:p>
    <w:p w:rsidR="009E158A" w:rsidRDefault="009E158A"/>
    <w:p w:rsidR="009E158A" w:rsidRDefault="009E158A">
      <w:pPr>
        <w:pStyle w:val="FR2"/>
        <w:spacing w:line="360" w:lineRule="auto"/>
        <w:ind w:left="0" w:firstLine="1134"/>
        <w:rPr>
          <w:sz w:val="28"/>
        </w:rPr>
      </w:pPr>
      <w:r>
        <w:rPr>
          <w:sz w:val="28"/>
        </w:rPr>
        <w:t>Право собственности представляет собой центральный институт любой правовой системы. С его помощью юридически закрепляются правила регулирования экономических общественных отношений, касающихся собственности.</w:t>
      </w:r>
    </w:p>
    <w:p w:rsidR="009E158A" w:rsidRDefault="009E158A">
      <w:pPr>
        <w:pStyle w:val="FR2"/>
        <w:spacing w:line="360" w:lineRule="auto"/>
        <w:ind w:left="0" w:firstLine="1134"/>
        <w:rPr>
          <w:sz w:val="28"/>
        </w:rPr>
      </w:pPr>
      <w:r>
        <w:rPr>
          <w:sz w:val="28"/>
        </w:rPr>
        <w:t>Эти отношения регулируются, прежде всего, однако, наличие в них иностранного элемента приводит к необходимости их регулирования международным частным правом.</w:t>
      </w:r>
    </w:p>
    <w:p w:rsidR="009E158A" w:rsidRDefault="009E158A">
      <w:pPr>
        <w:pStyle w:val="FR2"/>
        <w:spacing w:line="360" w:lineRule="auto"/>
        <w:ind w:left="0" w:firstLine="993"/>
        <w:rPr>
          <w:sz w:val="28"/>
        </w:rPr>
      </w:pPr>
    </w:p>
    <w:p w:rsidR="009E158A" w:rsidRDefault="009E158A">
      <w:pPr>
        <w:pStyle w:val="FR2"/>
        <w:spacing w:line="360" w:lineRule="auto"/>
        <w:ind w:left="0" w:firstLine="993"/>
        <w:rPr>
          <w:sz w:val="28"/>
        </w:rPr>
      </w:pPr>
    </w:p>
    <w:p w:rsidR="009E158A" w:rsidRDefault="009E158A">
      <w:pPr>
        <w:pStyle w:val="FR2"/>
        <w:spacing w:line="360" w:lineRule="auto"/>
        <w:ind w:left="0" w:firstLine="993"/>
        <w:rPr>
          <w:sz w:val="28"/>
        </w:rPr>
      </w:pPr>
    </w:p>
    <w:p w:rsidR="009E158A" w:rsidRDefault="009E158A">
      <w:pPr>
        <w:pStyle w:val="FR2"/>
        <w:spacing w:line="360" w:lineRule="auto"/>
        <w:ind w:left="0" w:firstLine="993"/>
        <w:rPr>
          <w:sz w:val="28"/>
        </w:rPr>
      </w:pPr>
    </w:p>
    <w:p w:rsidR="009E158A" w:rsidRDefault="009E158A">
      <w:pPr>
        <w:pStyle w:val="FR2"/>
        <w:spacing w:line="360" w:lineRule="auto"/>
        <w:ind w:left="0" w:firstLine="993"/>
        <w:rPr>
          <w:sz w:val="28"/>
        </w:rPr>
      </w:pPr>
    </w:p>
    <w:p w:rsidR="009E158A" w:rsidRDefault="009E158A">
      <w:pPr>
        <w:pStyle w:val="FR2"/>
        <w:spacing w:line="360" w:lineRule="auto"/>
        <w:ind w:left="0" w:firstLine="993"/>
        <w:rPr>
          <w:sz w:val="28"/>
        </w:rPr>
      </w:pPr>
    </w:p>
    <w:p w:rsidR="009E158A" w:rsidRDefault="009E158A">
      <w:pPr>
        <w:pStyle w:val="FR2"/>
        <w:spacing w:line="360" w:lineRule="auto"/>
        <w:ind w:left="0" w:firstLine="993"/>
        <w:rPr>
          <w:sz w:val="28"/>
        </w:rPr>
      </w:pPr>
    </w:p>
    <w:p w:rsidR="009E158A" w:rsidRDefault="009E158A">
      <w:pPr>
        <w:pStyle w:val="FR2"/>
        <w:spacing w:line="360" w:lineRule="auto"/>
        <w:ind w:left="0" w:firstLine="993"/>
        <w:rPr>
          <w:sz w:val="28"/>
        </w:rPr>
      </w:pPr>
    </w:p>
    <w:p w:rsidR="009E158A" w:rsidRDefault="009E158A">
      <w:pPr>
        <w:pStyle w:val="FR2"/>
        <w:spacing w:line="360" w:lineRule="auto"/>
        <w:ind w:left="0" w:firstLine="993"/>
        <w:rPr>
          <w:sz w:val="28"/>
        </w:rPr>
      </w:pPr>
    </w:p>
    <w:p w:rsidR="009E158A" w:rsidRDefault="009E158A">
      <w:pPr>
        <w:pStyle w:val="FR2"/>
        <w:spacing w:line="360" w:lineRule="auto"/>
        <w:ind w:left="0" w:firstLine="993"/>
        <w:rPr>
          <w:sz w:val="28"/>
        </w:rPr>
      </w:pPr>
    </w:p>
    <w:p w:rsidR="009E158A" w:rsidRDefault="009E158A">
      <w:pPr>
        <w:pStyle w:val="FR2"/>
        <w:spacing w:line="360" w:lineRule="auto"/>
        <w:ind w:left="0" w:firstLine="993"/>
        <w:rPr>
          <w:sz w:val="28"/>
        </w:rPr>
      </w:pPr>
    </w:p>
    <w:p w:rsidR="009E158A" w:rsidRDefault="009E158A">
      <w:pPr>
        <w:pStyle w:val="FR2"/>
        <w:spacing w:line="360" w:lineRule="auto"/>
        <w:ind w:left="0" w:firstLine="993"/>
        <w:rPr>
          <w:sz w:val="28"/>
        </w:rPr>
      </w:pPr>
    </w:p>
    <w:p w:rsidR="009E158A" w:rsidRDefault="009E158A">
      <w:pPr>
        <w:pStyle w:val="FR2"/>
        <w:spacing w:line="360" w:lineRule="auto"/>
        <w:ind w:left="0" w:firstLine="993"/>
        <w:rPr>
          <w:sz w:val="28"/>
        </w:rPr>
      </w:pPr>
    </w:p>
    <w:p w:rsidR="009E158A" w:rsidRDefault="009E158A">
      <w:pPr>
        <w:pStyle w:val="FR2"/>
        <w:spacing w:line="360" w:lineRule="auto"/>
        <w:ind w:left="0" w:firstLine="993"/>
        <w:rPr>
          <w:sz w:val="28"/>
        </w:rPr>
      </w:pPr>
    </w:p>
    <w:p w:rsidR="009E158A" w:rsidRDefault="009E158A">
      <w:pPr>
        <w:pStyle w:val="FR2"/>
        <w:spacing w:line="360" w:lineRule="auto"/>
        <w:ind w:left="0" w:firstLine="993"/>
        <w:rPr>
          <w:sz w:val="28"/>
        </w:rPr>
      </w:pPr>
    </w:p>
    <w:p w:rsidR="009E158A" w:rsidRDefault="009E158A">
      <w:pPr>
        <w:pStyle w:val="FR2"/>
        <w:spacing w:line="360" w:lineRule="auto"/>
        <w:ind w:left="0" w:firstLine="993"/>
        <w:rPr>
          <w:sz w:val="28"/>
        </w:rPr>
      </w:pPr>
    </w:p>
    <w:p w:rsidR="009E158A" w:rsidRDefault="009E158A">
      <w:pPr>
        <w:pStyle w:val="FR2"/>
        <w:spacing w:line="360" w:lineRule="auto"/>
        <w:ind w:left="0" w:firstLine="993"/>
        <w:rPr>
          <w:sz w:val="28"/>
        </w:rPr>
      </w:pPr>
    </w:p>
    <w:p w:rsidR="009E158A" w:rsidRDefault="009E158A">
      <w:pPr>
        <w:pStyle w:val="FR2"/>
        <w:spacing w:line="360" w:lineRule="auto"/>
        <w:ind w:left="0" w:firstLine="993"/>
        <w:rPr>
          <w:sz w:val="28"/>
        </w:rPr>
      </w:pPr>
    </w:p>
    <w:p w:rsidR="009E158A" w:rsidRDefault="009E158A">
      <w:pPr>
        <w:pStyle w:val="FR2"/>
        <w:spacing w:line="360" w:lineRule="auto"/>
        <w:ind w:left="0" w:firstLine="993"/>
        <w:rPr>
          <w:sz w:val="28"/>
        </w:rPr>
      </w:pPr>
    </w:p>
    <w:p w:rsidR="009E158A" w:rsidRDefault="009E158A">
      <w:pPr>
        <w:pStyle w:val="FR2"/>
        <w:spacing w:line="360" w:lineRule="auto"/>
        <w:ind w:left="0" w:firstLine="993"/>
        <w:rPr>
          <w:sz w:val="28"/>
        </w:rPr>
      </w:pPr>
    </w:p>
    <w:p w:rsidR="009E158A" w:rsidRDefault="009E158A">
      <w:pPr>
        <w:pStyle w:val="FR2"/>
        <w:spacing w:line="360" w:lineRule="auto"/>
        <w:ind w:left="0" w:firstLine="993"/>
        <w:rPr>
          <w:sz w:val="28"/>
        </w:rPr>
      </w:pPr>
    </w:p>
    <w:p w:rsidR="009E158A" w:rsidRDefault="009E158A">
      <w:pPr>
        <w:pStyle w:val="FR2"/>
        <w:spacing w:line="360" w:lineRule="auto"/>
        <w:ind w:left="0" w:firstLine="993"/>
        <w:rPr>
          <w:sz w:val="28"/>
        </w:rPr>
      </w:pPr>
    </w:p>
    <w:p w:rsidR="009E158A" w:rsidRDefault="009E158A">
      <w:pPr>
        <w:pStyle w:val="FR2"/>
        <w:spacing w:line="360" w:lineRule="auto"/>
        <w:ind w:left="0"/>
        <w:jc w:val="center"/>
        <w:rPr>
          <w:b/>
          <w:sz w:val="28"/>
        </w:rPr>
      </w:pPr>
      <w:r>
        <w:rPr>
          <w:b/>
          <w:sz w:val="28"/>
        </w:rPr>
        <w:t>1. Коллизионные вопросы права собственности.</w:t>
      </w:r>
    </w:p>
    <w:p w:rsidR="009E158A" w:rsidRDefault="009E158A">
      <w:pPr>
        <w:spacing w:line="360" w:lineRule="auto"/>
        <w:ind w:left="0" w:firstLine="1134"/>
        <w:rPr>
          <w:sz w:val="28"/>
        </w:rPr>
      </w:pPr>
    </w:p>
    <w:p w:rsidR="009E158A" w:rsidRDefault="009E158A">
      <w:pPr>
        <w:spacing w:line="360" w:lineRule="auto"/>
        <w:ind w:left="0" w:firstLine="1134"/>
        <w:rPr>
          <w:sz w:val="28"/>
        </w:rPr>
      </w:pPr>
      <w:r>
        <w:rPr>
          <w:sz w:val="28"/>
        </w:rPr>
        <w:t>В законодательстве многих государств проводится различие между правом на недвижимое имущество и правом на движимое имущество. В отношении недвижимости законодательство, судебная практика и доктри</w:t>
      </w:r>
      <w:r>
        <w:rPr>
          <w:sz w:val="28"/>
        </w:rPr>
        <w:softHyphen/>
        <w:t>на этих государств придерживаются принципа, согласно которому право собственности на недвижимость регулируется законом места нахождения недвижимости. Этот закон определяет и содержание права собственности на недвижимость, и форму и условия перехода прав на недвижимость. Особенно жестко данный принцип проводится в отношении такой основной категорий недвижимого имущества, как земельные участки. В специальных реестрах и книгах ведется строгая регистрация прав собственности на землю.</w:t>
      </w:r>
    </w:p>
    <w:p w:rsidR="009E158A" w:rsidRDefault="009E158A">
      <w:pPr>
        <w:spacing w:line="360" w:lineRule="auto"/>
        <w:ind w:left="0" w:firstLine="1134"/>
        <w:rPr>
          <w:sz w:val="28"/>
        </w:rPr>
      </w:pPr>
      <w:r>
        <w:rPr>
          <w:sz w:val="28"/>
        </w:rPr>
        <w:t>Российские юридические лица и иные наши организации, точно так же как и граждане России, если им принадлежит недвижимое имущество за рубежом, имеют право владеть, пользоваться и распоряжаться таким имуществом в полном объеме в соответствии с правилами местного законодательства.</w:t>
      </w:r>
    </w:p>
    <w:p w:rsidR="009E158A" w:rsidRDefault="009E158A">
      <w:pPr>
        <w:spacing w:line="360" w:lineRule="auto"/>
        <w:ind w:left="0" w:firstLine="1134"/>
        <w:rPr>
          <w:sz w:val="28"/>
        </w:rPr>
      </w:pPr>
      <w:r>
        <w:rPr>
          <w:sz w:val="28"/>
        </w:rPr>
        <w:t>Более сложным является положение с движимым имуществом. Сюда относятся обычно права требования, ценные бумаги, транспортные средства, личные вещи и т. д. В отношении этой категории имущества в различных государствах по-разному решается вопрос о значении принципа закона места нахождения вещи, хотя и в отношении режима движимого имущества указанный принцип имеет решающее значение.</w:t>
      </w:r>
    </w:p>
    <w:p w:rsidR="009E158A" w:rsidRDefault="009E158A">
      <w:pPr>
        <w:spacing w:line="360" w:lineRule="auto"/>
        <w:ind w:left="0" w:firstLine="1134"/>
        <w:rPr>
          <w:sz w:val="28"/>
        </w:rPr>
      </w:pPr>
      <w:r>
        <w:rPr>
          <w:sz w:val="28"/>
        </w:rPr>
        <w:t>Во-первых, считается общепризнанным, что если в каком-либо государстве вещь правомерно перешла по законам этого государства в собственность определенного лица, то при изменении места нахождения вещи право собственности на данную вещь сохраняется за ее собственником. Таким образом, признается право собст</w:t>
      </w:r>
      <w:r>
        <w:rPr>
          <w:sz w:val="28"/>
        </w:rPr>
        <w:softHyphen/>
        <w:t>венности на вещь, приобретенную за границей.</w:t>
      </w:r>
    </w:p>
    <w:p w:rsidR="009E158A" w:rsidRDefault="009E158A">
      <w:pPr>
        <w:spacing w:line="360" w:lineRule="auto"/>
        <w:ind w:left="0" w:firstLine="1134"/>
        <w:rPr>
          <w:sz w:val="28"/>
        </w:rPr>
      </w:pPr>
      <w:r>
        <w:rPr>
          <w:sz w:val="28"/>
        </w:rPr>
        <w:t>Во-вторых, обычно признается, что объем прав собственника определяется законом места нахождения вещи. Из этого следует, что при перемещении вещи из одного государства в другое (как это происходит именно с дви</w:t>
      </w:r>
      <w:r>
        <w:rPr>
          <w:sz w:val="28"/>
        </w:rPr>
        <w:softHyphen/>
        <w:t>жимым имуществом) соответственно изменяется и со</w:t>
      </w:r>
      <w:r>
        <w:rPr>
          <w:sz w:val="28"/>
        </w:rPr>
        <w:softHyphen/>
        <w:t>держание прав собственника. При этом не имеет значе</w:t>
      </w:r>
      <w:r>
        <w:rPr>
          <w:sz w:val="28"/>
        </w:rPr>
        <w:softHyphen/>
        <w:t>ния, какие права принадлежали собственнику вещи до ее перемещения в данное государство. Право собствен</w:t>
      </w:r>
      <w:r>
        <w:rPr>
          <w:sz w:val="28"/>
        </w:rPr>
        <w:softHyphen/>
        <w:t>ности на вещь, например приобретенную иностранцем на своей родине, признается, но содержание этого права будет определяться не законом страны его граж</w:t>
      </w:r>
      <w:r>
        <w:rPr>
          <w:sz w:val="28"/>
        </w:rPr>
        <w:softHyphen/>
        <w:t>данства, а законом места нахождения вещи.</w:t>
      </w:r>
    </w:p>
    <w:p w:rsidR="009E158A" w:rsidRDefault="009E158A">
      <w:pPr>
        <w:spacing w:line="360" w:lineRule="auto"/>
        <w:ind w:left="0" w:firstLine="1134"/>
        <w:rPr>
          <w:sz w:val="28"/>
        </w:rPr>
      </w:pPr>
      <w:r>
        <w:rPr>
          <w:sz w:val="28"/>
        </w:rPr>
        <w:t>В доктринах международного частного права сущест</w:t>
      </w:r>
      <w:r>
        <w:rPr>
          <w:sz w:val="28"/>
        </w:rPr>
        <w:softHyphen/>
        <w:t>вуют различные точки зрения на то, какой закон регу</w:t>
      </w:r>
      <w:r>
        <w:rPr>
          <w:sz w:val="28"/>
        </w:rPr>
        <w:softHyphen/>
        <w:t>лирует переход права собственности, если вещь приобре</w:t>
      </w:r>
      <w:r>
        <w:rPr>
          <w:sz w:val="28"/>
        </w:rPr>
        <w:softHyphen/>
        <w:t>тается не в том государстве, где она находится. В од</w:t>
      </w:r>
      <w:r>
        <w:rPr>
          <w:sz w:val="28"/>
        </w:rPr>
        <w:softHyphen/>
        <w:t>них странах доктрина высказывается в пользу приме</w:t>
      </w:r>
      <w:r>
        <w:rPr>
          <w:sz w:val="28"/>
        </w:rPr>
        <w:softHyphen/>
        <w:t xml:space="preserve">нения закона места нахождения вещи, в других предпочтение отдается личному закону собственника.         </w:t>
      </w:r>
    </w:p>
    <w:p w:rsidR="009E158A" w:rsidRDefault="009E158A">
      <w:pPr>
        <w:spacing w:line="360" w:lineRule="auto"/>
        <w:ind w:left="0" w:firstLine="1134"/>
        <w:rPr>
          <w:sz w:val="28"/>
        </w:rPr>
      </w:pPr>
      <w:r>
        <w:rPr>
          <w:sz w:val="28"/>
        </w:rPr>
        <w:t xml:space="preserve">В Великобритании и США в течение длительного времени исходным был принцип, согласно которому права на движимость определяются личным законом собственника. В курсе Дайси обращается внимание на переход от принципа личного закона к принципу места нахождения вещи.                            </w:t>
      </w:r>
    </w:p>
    <w:p w:rsidR="009E158A" w:rsidRDefault="009E158A">
      <w:pPr>
        <w:spacing w:line="360" w:lineRule="auto"/>
        <w:ind w:left="0" w:firstLine="1134"/>
        <w:rPr>
          <w:sz w:val="28"/>
        </w:rPr>
      </w:pPr>
      <w:r>
        <w:rPr>
          <w:sz w:val="28"/>
        </w:rPr>
        <w:t>В праве Франции в ряде случаев переход права собственности на движимость определяется законом места нахождения вещи; в то же время в наследственном праве переход имущества в порядке наследования часто определяется личным законом наследодателя. Однако принцип личного закона рассматривается в современной доктрине больше как исключение из общего правила. Этот принцип продолжает сохраняться в законодательстве лишь отдельных стран (Аргентины, Брази</w:t>
      </w:r>
      <w:r>
        <w:rPr>
          <w:sz w:val="28"/>
        </w:rPr>
        <w:softHyphen/>
        <w:t>лии).</w:t>
      </w:r>
    </w:p>
    <w:p w:rsidR="009E158A" w:rsidRDefault="009E158A">
      <w:pPr>
        <w:spacing w:line="360" w:lineRule="auto"/>
        <w:ind w:left="0" w:firstLine="1134"/>
        <w:rPr>
          <w:sz w:val="28"/>
        </w:rPr>
      </w:pPr>
      <w:r>
        <w:rPr>
          <w:sz w:val="28"/>
        </w:rPr>
        <w:t>Расширение применения закона места нахождения вещи обосновывается в иностранной литературе прежде всего интересами гражданского оборота.</w:t>
      </w:r>
    </w:p>
    <w:p w:rsidR="009E158A" w:rsidRDefault="009E158A">
      <w:pPr>
        <w:spacing w:line="360" w:lineRule="auto"/>
        <w:ind w:left="0" w:firstLine="1134"/>
        <w:rPr>
          <w:sz w:val="28"/>
        </w:rPr>
      </w:pPr>
      <w:r>
        <w:rPr>
          <w:sz w:val="28"/>
        </w:rPr>
        <w:t xml:space="preserve">Таким образом, как правило, принцип </w:t>
      </w:r>
      <w:r>
        <w:rPr>
          <w:i/>
          <w:sz w:val="28"/>
          <w:lang w:val="en-US"/>
        </w:rPr>
        <w:t>l</w:t>
      </w:r>
      <w:r>
        <w:rPr>
          <w:i/>
          <w:sz w:val="28"/>
        </w:rPr>
        <w:t xml:space="preserve">ех геi </w:t>
      </w:r>
      <w:r>
        <w:rPr>
          <w:i/>
          <w:sz w:val="28"/>
          <w:lang w:val="en-US"/>
        </w:rPr>
        <w:t>sitae</w:t>
      </w:r>
      <w:r>
        <w:rPr>
          <w:sz w:val="28"/>
        </w:rPr>
        <w:t xml:space="preserve"> определяет, какие вещи могут быть вообще объектом права собственности, объем и содержание прав и обязанностей собственника и чаще всего возникновение,  переход и прекращение права собственности.</w:t>
      </w:r>
    </w:p>
    <w:p w:rsidR="009E158A" w:rsidRDefault="009E158A">
      <w:pPr>
        <w:spacing w:line="360" w:lineRule="auto"/>
        <w:ind w:left="0" w:firstLine="1134"/>
        <w:rPr>
          <w:sz w:val="28"/>
        </w:rPr>
      </w:pPr>
      <w:r>
        <w:rPr>
          <w:sz w:val="28"/>
        </w:rPr>
        <w:t>Коллизионные вопросы отношений, вытекающих из права собственности, регулируются также в отдельных международных соглашениях. Гаагская конвенция о пра</w:t>
      </w:r>
      <w:r>
        <w:rPr>
          <w:sz w:val="28"/>
        </w:rPr>
        <w:softHyphen/>
        <w:t xml:space="preserve">ве, применяемом к переходу права собственности в международной торговле товарами, 1958 года решает ряд вопросов, связанных с переходом права собственности, не на основании принципа </w:t>
      </w:r>
      <w:r>
        <w:rPr>
          <w:sz w:val="28"/>
          <w:lang w:val="en-US"/>
        </w:rPr>
        <w:t>l</w:t>
      </w:r>
      <w:r>
        <w:rPr>
          <w:sz w:val="28"/>
        </w:rPr>
        <w:t xml:space="preserve">ех </w:t>
      </w:r>
      <w:r>
        <w:rPr>
          <w:sz w:val="28"/>
          <w:lang w:val="en-US"/>
        </w:rPr>
        <w:t>rei</w:t>
      </w:r>
      <w:r>
        <w:rPr>
          <w:sz w:val="28"/>
        </w:rPr>
        <w:t xml:space="preserve"> </w:t>
      </w:r>
      <w:r>
        <w:rPr>
          <w:sz w:val="28"/>
          <w:lang w:val="en-US"/>
        </w:rPr>
        <w:t>sitae</w:t>
      </w:r>
      <w:r>
        <w:rPr>
          <w:sz w:val="28"/>
        </w:rPr>
        <w:t>, а на основании обязательственного статута, то есть права, применяемого сторонами к сделке внешнеторговой купли-продажи (см. гл. 8).</w:t>
      </w:r>
    </w:p>
    <w:p w:rsidR="009E158A" w:rsidRDefault="009E158A">
      <w:pPr>
        <w:spacing w:line="360" w:lineRule="auto"/>
        <w:ind w:left="0" w:firstLine="1134"/>
        <w:rPr>
          <w:sz w:val="28"/>
        </w:rPr>
      </w:pPr>
      <w:r>
        <w:rPr>
          <w:sz w:val="28"/>
        </w:rPr>
        <w:t>Основным правилом, предусматриваемым российским законодательством для решения коллизионных вопросов права собственности, является закон местонахождения вещи (ст. 164 Основ гражданского законодательства). Это правило распространяется как на недвижимое, так и на движимое имущество. Из сферы его применения исключены транспортные средства, подлежащие внесению в государственный реестр. Коллизионные вопросы права собственности на эти транспортные средства решаются по праву страны, где транспортное средство внесено в реестр.</w:t>
      </w:r>
    </w:p>
    <w:p w:rsidR="009E158A" w:rsidRDefault="009E158A">
      <w:pPr>
        <w:spacing w:line="360" w:lineRule="auto"/>
        <w:ind w:left="0" w:firstLine="1134"/>
        <w:rPr>
          <w:sz w:val="28"/>
        </w:rPr>
      </w:pPr>
      <w:r>
        <w:rPr>
          <w:sz w:val="28"/>
        </w:rPr>
        <w:t>В российском законодательстве к недвижимым вещам (недвижимому имуществу, недвижимости) отнесены (ст. 130 ГК РФ)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отнесены также подлежащие государственной регистрации воздушные и морские суда, суда внутреннего плавания, космические объекты. Недвижимостью может быть признано законом и иное имущество. Не принадлежащие к недвижимости вещи, включая деньги и ценные бумаги, являются движимым имуществом.</w:t>
      </w:r>
    </w:p>
    <w:p w:rsidR="009E158A" w:rsidRDefault="009E158A">
      <w:pPr>
        <w:spacing w:line="360" w:lineRule="auto"/>
        <w:ind w:left="0" w:firstLine="993"/>
        <w:rPr>
          <w:sz w:val="28"/>
        </w:rPr>
      </w:pPr>
      <w:r>
        <w:rPr>
          <w:sz w:val="28"/>
        </w:rPr>
        <w:t>Что касается вопросов возникновения, перехода и прекращения вещных прав, то решаются они с помощью привязок, не совпадающих с привязкой к закону местонахождения вещи, хотя и близких к ней по значению.</w:t>
      </w:r>
    </w:p>
    <w:p w:rsidR="009E158A" w:rsidRDefault="009E158A">
      <w:pPr>
        <w:spacing w:line="360" w:lineRule="auto"/>
        <w:ind w:left="0" w:firstLine="1134"/>
        <w:rPr>
          <w:sz w:val="28"/>
        </w:rPr>
      </w:pPr>
      <w:r>
        <w:rPr>
          <w:sz w:val="28"/>
        </w:rPr>
        <w:t>Перемещение имущества из одной страны в другую изменяет содержание права собственности, поскольку его “наполнение”, объем зависит от закона страны, где в данный момент находится имущество.</w:t>
      </w:r>
    </w:p>
    <w:p w:rsidR="009E158A" w:rsidRDefault="009E158A">
      <w:pPr>
        <w:spacing w:line="360" w:lineRule="auto"/>
        <w:ind w:left="0" w:firstLine="1134"/>
        <w:rPr>
          <w:sz w:val="28"/>
        </w:rPr>
      </w:pPr>
      <w:r>
        <w:rPr>
          <w:sz w:val="28"/>
        </w:rPr>
        <w:t>Иначе строится режим возникновения и прекращения права собственности. Право собственности возникает и прекращается по закону страны, где это имущество находилось в момент, когда имело место действие или иное обстоятельство, послужившее основанием для возникновения или прекращения права. Российский гражданин сохраняет за собой право собственности на имущество, которое им было приобретено в России, но в последующем перемещено в установленном порядке за границу. Равным образом за иностранцем признается право на имущество, приобретенное у себя на родине и затем правомерно перемещенное в Россию. В каждом из этих случаев признается право собственности, возникшее под действием соответственно российского или иностранного закона, но содержание права в результате перемещения имущества изменяется.</w:t>
      </w:r>
    </w:p>
    <w:p w:rsidR="009E158A" w:rsidRDefault="009E158A">
      <w:pPr>
        <w:spacing w:line="360" w:lineRule="auto"/>
        <w:ind w:left="0" w:firstLine="1134"/>
        <w:rPr>
          <w:sz w:val="28"/>
        </w:rPr>
      </w:pPr>
      <w:r>
        <w:rPr>
          <w:sz w:val="28"/>
        </w:rPr>
        <w:t xml:space="preserve">Изъятия из правила </w:t>
      </w:r>
      <w:r>
        <w:rPr>
          <w:sz w:val="28"/>
          <w:lang w:val="en-US"/>
        </w:rPr>
        <w:t>lex</w:t>
      </w:r>
      <w:r>
        <w:rPr>
          <w:sz w:val="28"/>
        </w:rPr>
        <w:t xml:space="preserve"> </w:t>
      </w:r>
      <w:r>
        <w:rPr>
          <w:sz w:val="28"/>
          <w:lang w:val="en-US"/>
        </w:rPr>
        <w:t>rei</w:t>
      </w:r>
      <w:r>
        <w:rPr>
          <w:sz w:val="28"/>
        </w:rPr>
        <w:t xml:space="preserve"> </w:t>
      </w:r>
      <w:r>
        <w:rPr>
          <w:sz w:val="28"/>
          <w:lang w:val="en-US"/>
        </w:rPr>
        <w:t>sitae</w:t>
      </w:r>
      <w:r>
        <w:rPr>
          <w:sz w:val="28"/>
        </w:rPr>
        <w:t xml:space="preserve"> устанавливаются федеральным законом или международным договором РФ. Назовем лишь наиболее существенные:</w:t>
      </w:r>
    </w:p>
    <w:p w:rsidR="009E158A" w:rsidRDefault="009E158A">
      <w:pPr>
        <w:spacing w:line="360" w:lineRule="auto"/>
        <w:ind w:left="0" w:firstLine="1134"/>
        <w:rPr>
          <w:sz w:val="28"/>
        </w:rPr>
      </w:pPr>
      <w:r>
        <w:rPr>
          <w:sz w:val="28"/>
        </w:rPr>
        <w:t xml:space="preserve">Одно из изъятий связано с отношениями по наследованию. Статья 169 Основ гражданского законодательства подчиняет их праву страны, где наследователь имел последнее постоянное место жительства. Что касается коллизионных вопросов наследования строений и другого недвижимого имущества, находящегося в России, то они решаются по российскому праву. Но в модели Гражданского кодекса для стран СНГ и в разделе </w:t>
      </w:r>
      <w:r>
        <w:rPr>
          <w:sz w:val="28"/>
          <w:lang w:val="en-US"/>
        </w:rPr>
        <w:t>VII</w:t>
      </w:r>
      <w:r>
        <w:rPr>
          <w:sz w:val="28"/>
        </w:rPr>
        <w:t xml:space="preserve"> проекта третьей части ГК РФ эта последняя коллизионная норма уступает место норме с двусторонней коллизионной привязкой.</w:t>
      </w:r>
    </w:p>
    <w:p w:rsidR="009E158A" w:rsidRDefault="009E158A">
      <w:pPr>
        <w:spacing w:line="360" w:lineRule="auto"/>
        <w:ind w:left="0" w:firstLine="1134"/>
        <w:rPr>
          <w:sz w:val="28"/>
        </w:rPr>
      </w:pPr>
      <w:r>
        <w:rPr>
          <w:sz w:val="28"/>
        </w:rPr>
        <w:t>Другое изъятие относится к судьбе имущества ликвидируемого юридического лица. Вопросы права собственности на такое имущество регулируются личным законом юридического лица.</w:t>
      </w:r>
    </w:p>
    <w:p w:rsidR="009E158A" w:rsidRDefault="009E158A">
      <w:pPr>
        <w:spacing w:line="360" w:lineRule="auto"/>
        <w:ind w:left="0" w:firstLine="1134"/>
        <w:rPr>
          <w:sz w:val="28"/>
        </w:rPr>
      </w:pPr>
      <w:r>
        <w:rPr>
          <w:sz w:val="28"/>
        </w:rPr>
        <w:t>По российскому гражданскому законодательству представительства и филиалы не являются юридическими лицами (ст. 55 ГК РФ) и наделяются имуществом создавшими их юридическими лицами. В случае ликвидации российского юридического лица судьба имущества его филиала или представительства, находящегося за рубежом, определяется не законом страны местонахождения имущества, а личным законом юридического лица, т.е. российским законом.</w:t>
      </w:r>
    </w:p>
    <w:p w:rsidR="009E158A" w:rsidRDefault="009E158A">
      <w:pPr>
        <w:spacing w:line="360" w:lineRule="auto"/>
        <w:ind w:firstLine="1094"/>
        <w:rPr>
          <w:sz w:val="28"/>
        </w:rPr>
      </w:pPr>
      <w:r>
        <w:rPr>
          <w:sz w:val="28"/>
        </w:rPr>
        <w:t>В ч. 3 ст. 164 Основ гражданского  законодательства предусмотрено, что «возникновение и прекращение права собственности на имущество, являющееся предметом сделки, определяются по праву места совершения сделки, если иное не установлено соглашением сторон». Это означает, что за основу принят принцип автономии воли сторон. Если же стороны в контракте не решили этот вопрос, то тогда начинает действовать коллизионный принцип lех 1о</w:t>
      </w:r>
      <w:r>
        <w:rPr>
          <w:sz w:val="28"/>
          <w:lang w:val="en-US"/>
        </w:rPr>
        <w:t>si</w:t>
      </w:r>
      <w:r>
        <w:rPr>
          <w:sz w:val="28"/>
        </w:rPr>
        <w:t xml:space="preserve"> со</w:t>
      </w:r>
      <w:r>
        <w:rPr>
          <w:sz w:val="28"/>
          <w:lang w:val="en-US"/>
        </w:rPr>
        <w:t>n</w:t>
      </w:r>
      <w:r>
        <w:rPr>
          <w:sz w:val="28"/>
        </w:rPr>
        <w:t>t</w:t>
      </w:r>
      <w:r>
        <w:rPr>
          <w:sz w:val="28"/>
          <w:lang w:val="en-US"/>
        </w:rPr>
        <w:t>r</w:t>
      </w:r>
      <w:r>
        <w:rPr>
          <w:sz w:val="28"/>
        </w:rPr>
        <w:t>ас</w:t>
      </w:r>
      <w:r>
        <w:rPr>
          <w:sz w:val="28"/>
          <w:lang w:val="en-US"/>
        </w:rPr>
        <w:t>tus</w:t>
      </w:r>
      <w:r>
        <w:rPr>
          <w:sz w:val="28"/>
        </w:rPr>
        <w:t>. По российскому закону (ст. 444 ГК РФ) договор (при отсутствии указания о месте его заключения) признается заключенным в месте жительства гражданина или месте нахождения юридического лица, направившему оферту.</w:t>
      </w:r>
    </w:p>
    <w:p w:rsidR="009E158A" w:rsidRDefault="009E158A">
      <w:pPr>
        <w:spacing w:line="360" w:lineRule="auto"/>
        <w:ind w:firstLine="1094"/>
        <w:rPr>
          <w:sz w:val="28"/>
        </w:rPr>
      </w:pPr>
      <w:r>
        <w:rPr>
          <w:sz w:val="28"/>
        </w:rPr>
        <w:t xml:space="preserve"> Особые сложности в международной практике вызы</w:t>
      </w:r>
      <w:r>
        <w:rPr>
          <w:sz w:val="28"/>
        </w:rPr>
        <w:softHyphen/>
        <w:t>вают случаи, когда предметом сделки является товар в пути. Например, товар перевозится морем или по железной дороге, а стороны во время его нахождения в пути совершают сделку по передаче на него права собственности. Какое право тогда следует применять: страны отправления товара, страны назначения или какого-либо промежуточного пункта нахождения ве</w:t>
      </w:r>
      <w:r>
        <w:rPr>
          <w:sz w:val="28"/>
        </w:rPr>
        <w:softHyphen/>
        <w:t>щи? Закон предписывает в этих случаях применять закон места отправки вещи. Согласно ч. 3 ст. 164 Основ, «право собственности на имущество, находящееся в пути по внешнеэкономической сделке, определяется по праву страны» из которой это имущество отправлено, если, иное не установлено соглашением сторон».</w:t>
      </w:r>
    </w:p>
    <w:p w:rsidR="009E158A" w:rsidRDefault="009E158A">
      <w:pPr>
        <w:pStyle w:val="30"/>
      </w:pPr>
      <w:r>
        <w:t>В отношениях между предприятиями, к которым продолжают применяться ОУП СЭВ 1968/1988 годов, момент перехода права собственности и риска случайной гибели товара с продавца на покупателя определяется не путем применения коллизионных норм, а исходя из единых материально-правовых норм. Так, этот переход при железнодорожных перевозках считается совершен</w:t>
      </w:r>
      <w:r>
        <w:softHyphen/>
        <w:t xml:space="preserve">ным «с момента передачи товара с железной дороги страны продавца железной дороге, принимающей товар», в водных перевозках на условиях «фоб», «сиф» и  «каф» — «с момента перехода товара через борт судна  в порту погрузки». </w:t>
      </w:r>
    </w:p>
    <w:p w:rsidR="009E158A" w:rsidRDefault="009E158A">
      <w:pPr>
        <w:pStyle w:val="30"/>
      </w:pPr>
      <w:r>
        <w:t>Собственнику, в случае предъявления им вещных требований о защите права собственности, предоставляется возможность выбора права, которому подчиняются эти требования. Выбор ограничивается: правом страны, где имущество находится, правом страны, в которой заявлено требование, или правом страны, в которой транспортное средство внесено в государственный реестр.</w:t>
      </w:r>
    </w:p>
    <w:p w:rsidR="009E158A" w:rsidRDefault="009E158A">
      <w:pPr>
        <w:pStyle w:val="30"/>
      </w:pPr>
      <w:r>
        <w:t>Предмет специального регулирования – определение момента перехода права собственности при осуществлении договора международной купли-продажи товаров. Конвенция ООН о договорах международной купли-продажи товаров не содержит положения о моменте перехода права собственности от продавца к покупателю (момент заключения договора или момент передачи товара). По этому вопросу Конвенцией не были преодолены различия в национальном законодательстве.</w:t>
      </w:r>
    </w:p>
    <w:p w:rsidR="009E158A" w:rsidRDefault="009E158A">
      <w:pPr>
        <w:pStyle w:val="30"/>
      </w:pPr>
      <w:r>
        <w:t>Момент возникновения права собственности у приобретателя вещи по договору обозначен в ст.223 ГК РФ. Право собственности у приобретателя вещи по договору возникает с момента ее передачи, если иное не предусмотрено законом или договором. В случаях, когда отчуждение имущества подлежит государственной регистрации, то право собственности у приобретателя возникает с момента такой регистрации, поскольку иное не установлено законом.</w:t>
      </w:r>
    </w:p>
    <w:p w:rsidR="009E158A" w:rsidRDefault="009E158A">
      <w:pPr>
        <w:pStyle w:val="30"/>
      </w:pPr>
      <w:r>
        <w:t>В Российской Федерации юридическим актом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РФ является государственная регистрация прав на недвижимое имущество и сделок с ним. Зарегистрированное право на недвижимое имущество может быть оспорено только в судебном порядке. Участниками отношений, возникающих при государственной регистрации прав на недвижимое имущество и сделок с ним, выступают собственники недвижимого имущества и обладатели иных подлежащих государственной регистрации прав на него, в том числе иностранные граждане и лица без гражданства, иностранные юридические лица, международные организации, иностранные государства.</w:t>
      </w:r>
    </w:p>
    <w:p w:rsidR="009E158A" w:rsidRDefault="009E158A">
      <w:pPr>
        <w:pStyle w:val="30"/>
      </w:pPr>
      <w:r>
        <w:t>В двусторонних договорах о правовой помощи, заключенных с Азербайджанской Республикой, Латвийской Республикой, Литовской Республикой, Республикой Молдова, Республикой Кыргызстан, Эстонской Республикой коллизионные вопросы права собственности регулируются следующим образом:</w:t>
      </w:r>
    </w:p>
    <w:p w:rsidR="009E158A" w:rsidRDefault="009E158A">
      <w:pPr>
        <w:spacing w:line="360" w:lineRule="auto"/>
        <w:ind w:firstLine="1094"/>
        <w:rPr>
          <w:sz w:val="28"/>
        </w:rPr>
      </w:pPr>
      <w:r>
        <w:rPr>
          <w:sz w:val="28"/>
        </w:rPr>
        <w:t>право собственности на недвижимое имущество определяется по законодательству Стороны, на территории которой находится недвижимое имущество;</w:t>
      </w:r>
    </w:p>
    <w:p w:rsidR="009E158A" w:rsidRDefault="009E158A">
      <w:pPr>
        <w:spacing w:line="360" w:lineRule="auto"/>
        <w:ind w:firstLine="1094"/>
        <w:rPr>
          <w:sz w:val="28"/>
        </w:rPr>
      </w:pPr>
      <w:r>
        <w:rPr>
          <w:sz w:val="28"/>
        </w:rPr>
        <w:t>право собственности на транспортные средства, подлежащие внесению в государственные реестры, определяется по законодательству Стороны, на территории которой находится орган, осуществляющий регистрацию транспортного средства (исключение из правила “закон местонахождения вещи”;</w:t>
      </w:r>
    </w:p>
    <w:p w:rsidR="009E158A" w:rsidRDefault="009E158A">
      <w:pPr>
        <w:spacing w:line="360" w:lineRule="auto"/>
        <w:ind w:firstLine="1094"/>
        <w:rPr>
          <w:sz w:val="28"/>
        </w:rPr>
      </w:pPr>
      <w:r>
        <w:rPr>
          <w:sz w:val="28"/>
        </w:rPr>
        <w:t>возникновение и прекращение права собственности или иного вещного права на имущество определяется по законодательству Стороны, на территории которой имущество находилось в момент, когда имело место действие или иное обстоятельство, послужившее основанием для возникновения или прекращения такого права;</w:t>
      </w:r>
    </w:p>
    <w:p w:rsidR="009E158A" w:rsidRDefault="009E158A">
      <w:pPr>
        <w:spacing w:line="360" w:lineRule="auto"/>
        <w:ind w:firstLine="1094"/>
        <w:rPr>
          <w:sz w:val="28"/>
        </w:rPr>
      </w:pPr>
      <w:r>
        <w:rPr>
          <w:sz w:val="28"/>
        </w:rPr>
        <w:t>возникновение и прекращение права собственности или иного вещного права на имущество, являющегося предметом сделки, определяется по законодательству места совершения сделки, если иное не предусмотрено соглашением сторон.</w:t>
      </w:r>
    </w:p>
    <w:p w:rsidR="009E158A" w:rsidRDefault="009E158A">
      <w:pPr>
        <w:spacing w:line="360" w:lineRule="auto"/>
        <w:ind w:firstLine="1094"/>
        <w:rPr>
          <w:sz w:val="28"/>
        </w:rPr>
      </w:pPr>
      <w:r>
        <w:rPr>
          <w:sz w:val="28"/>
        </w:rPr>
        <w:t>Статья 38 Конвенции о правовой помощи и правых отношениях по гражданским, семейным и уголовным делам 1993 г. содержит аналогичные положения. Дополнительно включено указание, относящееся к определению понятия недвижимого имущества. Вопрос о том, какое имущество является недвижимым, решается в соответствии с законодательством страны, на территории которой находится это имущество.</w:t>
      </w:r>
    </w:p>
    <w:p w:rsidR="009E158A" w:rsidRDefault="009E158A">
      <w:pPr>
        <w:spacing w:line="360" w:lineRule="auto"/>
        <w:ind w:firstLine="1094"/>
        <w:rPr>
          <w:sz w:val="28"/>
        </w:rPr>
      </w:pPr>
      <w:r>
        <w:rPr>
          <w:sz w:val="28"/>
        </w:rPr>
        <w:t>В конвенциях, унифицирующих коллизионное право, действующее в сфере международных коммерческих контрактов, решаются вопросы разграничения перехода права собственности и перехода риска случайной гибели, делимитации пределов обязательственного статута и статута вещных прав. К этой теме обращаются, дополняя друг друга, Гаагские конвенции (Российская Федерация в них не участвует) – Конвенция о праве, применимом к международной купли-продаже товаров, 1955 г., Конвенция о праве, применимом к переходу права собственности при купле-продаже товаров (движимых материальных вещей), 1958., Конвенция о праве применимом к договорам международной купли-продаже товаров, 1986 г. (Конвенция 1958 г. и 1986 г. в силу не вступили). В последней Конвенции предусматривается, что право, применимое к договору купли-продаже товаров, регулирует, в частности: момент приобретения покупателем права на продукты, плоды и доходы, связанные с товарами; момент перехода на покупателя риска в отношении товаров; действительность и юридическую силу положений о сохранении права собственности на товары в отношениях между сторонами (ст. 12 “Сфера действия применимого права”). Конвенция не определяет право, применимое к передаче права собственности (за исключением вопросов, прямо указанных в ст.12).</w:t>
      </w:r>
    </w:p>
    <w:p w:rsidR="009E158A" w:rsidRDefault="009E158A">
      <w:pPr>
        <w:spacing w:line="360" w:lineRule="auto"/>
        <w:ind w:firstLine="811"/>
        <w:rPr>
          <w:sz w:val="28"/>
        </w:rPr>
      </w:pPr>
    </w:p>
    <w:p w:rsidR="009E158A" w:rsidRDefault="009E158A">
      <w:pPr>
        <w:spacing w:line="360" w:lineRule="auto"/>
        <w:ind w:firstLine="811"/>
        <w:rPr>
          <w:sz w:val="28"/>
        </w:rPr>
      </w:pPr>
    </w:p>
    <w:p w:rsidR="009E158A" w:rsidRDefault="009E158A">
      <w:pPr>
        <w:spacing w:line="360" w:lineRule="auto"/>
        <w:ind w:firstLine="811"/>
        <w:rPr>
          <w:sz w:val="28"/>
        </w:rPr>
      </w:pPr>
    </w:p>
    <w:p w:rsidR="009E158A" w:rsidRDefault="009E158A">
      <w:pPr>
        <w:spacing w:line="360" w:lineRule="auto"/>
        <w:ind w:firstLine="811"/>
        <w:rPr>
          <w:sz w:val="28"/>
        </w:rPr>
      </w:pPr>
    </w:p>
    <w:p w:rsidR="009E158A" w:rsidRDefault="009E158A">
      <w:pPr>
        <w:spacing w:line="360" w:lineRule="auto"/>
        <w:ind w:firstLine="811"/>
        <w:rPr>
          <w:sz w:val="28"/>
        </w:rPr>
      </w:pPr>
    </w:p>
    <w:p w:rsidR="009E158A" w:rsidRDefault="009E158A">
      <w:pPr>
        <w:spacing w:line="360" w:lineRule="auto"/>
        <w:ind w:firstLine="811"/>
        <w:rPr>
          <w:sz w:val="28"/>
        </w:rPr>
      </w:pPr>
    </w:p>
    <w:p w:rsidR="009E158A" w:rsidRDefault="009E158A">
      <w:pPr>
        <w:spacing w:line="360" w:lineRule="auto"/>
        <w:ind w:firstLine="811"/>
        <w:rPr>
          <w:sz w:val="28"/>
        </w:rPr>
      </w:pPr>
    </w:p>
    <w:p w:rsidR="009E158A" w:rsidRDefault="009E158A">
      <w:pPr>
        <w:spacing w:line="360" w:lineRule="auto"/>
        <w:ind w:firstLine="811"/>
        <w:rPr>
          <w:sz w:val="28"/>
        </w:rPr>
      </w:pPr>
    </w:p>
    <w:p w:rsidR="009E158A" w:rsidRDefault="009E158A">
      <w:pPr>
        <w:numPr>
          <w:ilvl w:val="0"/>
          <w:numId w:val="2"/>
        </w:numPr>
        <w:spacing w:before="340" w:line="360" w:lineRule="auto"/>
        <w:jc w:val="center"/>
        <w:rPr>
          <w:b/>
          <w:bCs/>
          <w:sz w:val="28"/>
        </w:rPr>
      </w:pPr>
      <w:r>
        <w:rPr>
          <w:b/>
          <w:bCs/>
          <w:sz w:val="28"/>
        </w:rPr>
        <w:t>Правовое положение иностранных инвестиций.</w:t>
      </w:r>
    </w:p>
    <w:p w:rsidR="009E158A" w:rsidRDefault="009E158A">
      <w:pPr>
        <w:pStyle w:val="30"/>
        <w:spacing w:before="160"/>
      </w:pPr>
      <w:r>
        <w:t xml:space="preserve">Правовое положение иностранных инвестиций в развивающихся странах отличается большим разнообразием, что предопределяется существенными различиями в политике этих стран по отношению к иностранному капиталу. В них иностранный капитал ограничивался, подвергался государственному контролю, а в ряде случаев национализировался. В странах в одних случаях иностранные капиталовложения ограничивались, а в других — поощрялись путем предоставления определенных льгот и гарантий. Для политики развивающихся государств по отношению к иностранному капиталу часто характерны колебания и изменения. Это объясняется в значительной степени тем, что указанные государства,  испытывая острую нехватку ресурсов для капиталовложений, вынуждены прибегать к привлечению средств извне. Однако иностранные монополии предоставляют инвестиции на таких условиях, которые зачастую идут вразрез с национальными интересами этих стран. </w:t>
      </w:r>
    </w:p>
    <w:p w:rsidR="009E158A" w:rsidRDefault="009E158A">
      <w:pPr>
        <w:pStyle w:val="30"/>
      </w:pPr>
      <w:r>
        <w:t>Правовой режим иностранной собственности определяется прежде всего внутренним законодательством развивающихся стран (горным законодательством, законами о разработке природных богатств, специальными инвестиционными кодексами). В данной области международного частного права нормы этого законодательства  непосредственно регулируют отношения между иностранными частными инвесторами и государством, принимающим инвестиции, то есть, как правило, приме</w:t>
      </w:r>
      <w:r>
        <w:softHyphen/>
        <w:t>няется не коллизионный, а прямой метод регулирова</w:t>
      </w:r>
      <w:r>
        <w:softHyphen/>
        <w:t>ния.</w:t>
      </w:r>
    </w:p>
    <w:p w:rsidR="009E158A" w:rsidRDefault="009E158A">
      <w:pPr>
        <w:pStyle w:val="a4"/>
        <w:ind w:firstLine="1094"/>
      </w:pPr>
      <w:r>
        <w:t>К числу важнейших мероприятий по ограничению иностранных капиталовложений относятся: а) установление особого государственного контроля за допуском иностранного капитала к разработке недр и естествен</w:t>
      </w:r>
      <w:r>
        <w:softHyphen/>
        <w:t>ных богатств; б) недопущение иностранного капитала в определенные, наиболее важные для народного хозяйства отрасли; в) установление обязательной доли участия национального государственного или частного капитала в предприятиях, создаваемых иностранными фирмами  (в смешанных обществах); г) мероприятие направленные на использование какой-то части прибылей иностранных предприятий для внутренних нужд разви</w:t>
      </w:r>
      <w:r>
        <w:softHyphen/>
        <w:t>вающейся страны (налогообложение, ограничения при переводе прибылей за границу и т. п.); д) определение, концессионной политики.</w:t>
      </w:r>
    </w:p>
    <w:p w:rsidR="009E158A" w:rsidRDefault="009E158A">
      <w:pPr>
        <w:pStyle w:val="30"/>
      </w:pPr>
      <w:r>
        <w:t>Инвестиционные кодексы предусматривают обычно несколько режимов для иностранных инвестиций, причем особо привилегированный режим устанавливается для предприятий, требующих крупных капиталовложений и создаваемых в тех отраслях экономики, в которых наибо</w:t>
      </w:r>
      <w:r>
        <w:softHyphen/>
        <w:t>лее заинтересована развивающаяся страна. Основные льготы, предоставляемые привилегированным режимом обычно следующие: освобождение от таможенных пошлин при ввозе оборудования и сырья, необходимого для строительства и деятельности предприятия; полное или частичное освобождение в течение определенного срока от налога на прибыли; беспошлинный вывоз готовой продукции; право, полного или частичного перевода прибылей за границу; предоставление гарантий на случай национализации и т. п.</w:t>
      </w:r>
    </w:p>
    <w:p w:rsidR="009E158A" w:rsidRDefault="009E158A">
      <w:pPr>
        <w:pStyle w:val="30"/>
      </w:pPr>
      <w:r>
        <w:t>В государствах Латинской Америки были приняты специальные законы об иностранных капиталовложени</w:t>
      </w:r>
      <w:r>
        <w:softHyphen/>
        <w:t>ях, устанавливающие порядок перевода прибылей за гра</w:t>
      </w:r>
      <w:r>
        <w:softHyphen/>
        <w:t xml:space="preserve">ницу и другие условия иностранных капиталовложений.  Например, такой закон действует в Мексике с 8 мая  1973г.                                            </w:t>
      </w:r>
    </w:p>
    <w:p w:rsidR="009E158A" w:rsidRDefault="009E158A">
      <w:pPr>
        <w:pStyle w:val="30"/>
      </w:pPr>
      <w:r>
        <w:t>Подробное регулирование правового режима иностранных инвестиций имеется в тех государствах (КНР, Польша, Венгрия и др.), которые проводят активную политику привлечения иностранного капитала и использования его для решения задач экономического развития своих стран.</w:t>
      </w:r>
    </w:p>
    <w:p w:rsidR="009E158A" w:rsidRDefault="009E158A">
      <w:pPr>
        <w:spacing w:line="360" w:lineRule="auto"/>
        <w:ind w:firstLine="811"/>
        <w:rPr>
          <w:sz w:val="28"/>
        </w:rPr>
      </w:pPr>
    </w:p>
    <w:p w:rsidR="009E158A" w:rsidRDefault="009E158A">
      <w:pPr>
        <w:spacing w:line="360" w:lineRule="auto"/>
        <w:ind w:firstLine="811"/>
        <w:rPr>
          <w:sz w:val="28"/>
        </w:rPr>
      </w:pPr>
    </w:p>
    <w:p w:rsidR="009E158A" w:rsidRDefault="009E158A">
      <w:pPr>
        <w:spacing w:line="360" w:lineRule="auto"/>
        <w:ind w:firstLine="811"/>
        <w:rPr>
          <w:sz w:val="28"/>
        </w:rPr>
      </w:pPr>
    </w:p>
    <w:p w:rsidR="009E158A" w:rsidRDefault="009E158A">
      <w:pPr>
        <w:spacing w:line="360" w:lineRule="auto"/>
        <w:ind w:firstLine="811"/>
        <w:rPr>
          <w:sz w:val="28"/>
        </w:rPr>
      </w:pPr>
    </w:p>
    <w:p w:rsidR="009E158A" w:rsidRDefault="009E158A">
      <w:pPr>
        <w:spacing w:line="360" w:lineRule="auto"/>
        <w:ind w:firstLine="811"/>
        <w:rPr>
          <w:sz w:val="28"/>
        </w:rPr>
      </w:pPr>
    </w:p>
    <w:p w:rsidR="009E158A" w:rsidRDefault="009E158A">
      <w:pPr>
        <w:pStyle w:val="a3"/>
        <w:ind w:firstLine="1134"/>
        <w:jc w:val="left"/>
      </w:pPr>
      <w:r>
        <w:t>Заключение</w:t>
      </w:r>
    </w:p>
    <w:p w:rsidR="009E158A" w:rsidRDefault="009E158A">
      <w:pPr>
        <w:spacing w:line="360" w:lineRule="auto"/>
        <w:ind w:left="0" w:firstLine="1134"/>
        <w:rPr>
          <w:sz w:val="28"/>
        </w:rPr>
      </w:pPr>
      <w:r>
        <w:rPr>
          <w:sz w:val="28"/>
        </w:rPr>
        <w:t>Проблемы собственности в современных международных  отношениях многообразны. В традиционных курсах международного частного права стран Запада раздел, о праве собственности сводится, как правило, исключительно к изложению коллизионных вопросов. Между тем ни вопросы национализации, ни вопросы участия иностранного капитала в разработке естественных ресурсов, ни вопросы режима иностранных инвестиций не могут быть сведены к проблемам коллизионного характера и должны рассматриваться наряду с ними.</w:t>
      </w:r>
    </w:p>
    <w:p w:rsidR="009E158A" w:rsidRDefault="009E158A">
      <w:pPr>
        <w:pStyle w:val="30"/>
      </w:pPr>
    </w:p>
    <w:p w:rsidR="009E158A" w:rsidRDefault="009E158A">
      <w:pPr>
        <w:pStyle w:val="30"/>
      </w:pPr>
    </w:p>
    <w:p w:rsidR="009E158A" w:rsidRDefault="009E158A">
      <w:pPr>
        <w:pStyle w:val="30"/>
      </w:pPr>
    </w:p>
    <w:p w:rsidR="009E158A" w:rsidRDefault="009E158A">
      <w:pPr>
        <w:pStyle w:val="30"/>
      </w:pPr>
    </w:p>
    <w:p w:rsidR="009E158A" w:rsidRDefault="009E158A">
      <w:pPr>
        <w:pStyle w:val="30"/>
      </w:pPr>
    </w:p>
    <w:p w:rsidR="009E158A" w:rsidRDefault="009E158A">
      <w:pPr>
        <w:pStyle w:val="30"/>
      </w:pPr>
    </w:p>
    <w:p w:rsidR="009E158A" w:rsidRDefault="009E158A">
      <w:pPr>
        <w:pStyle w:val="30"/>
      </w:pPr>
    </w:p>
    <w:p w:rsidR="009E158A" w:rsidRDefault="009E158A">
      <w:pPr>
        <w:pStyle w:val="30"/>
      </w:pPr>
    </w:p>
    <w:p w:rsidR="009E158A" w:rsidRDefault="009E158A">
      <w:pPr>
        <w:pStyle w:val="30"/>
      </w:pPr>
    </w:p>
    <w:p w:rsidR="009E158A" w:rsidRDefault="009E158A">
      <w:pPr>
        <w:pStyle w:val="30"/>
      </w:pPr>
    </w:p>
    <w:p w:rsidR="009E158A" w:rsidRDefault="009E158A">
      <w:pPr>
        <w:pStyle w:val="30"/>
      </w:pPr>
    </w:p>
    <w:p w:rsidR="009E158A" w:rsidRDefault="009E158A">
      <w:pPr>
        <w:pStyle w:val="30"/>
      </w:pPr>
    </w:p>
    <w:p w:rsidR="009E158A" w:rsidRDefault="009E158A">
      <w:pPr>
        <w:pStyle w:val="30"/>
      </w:pPr>
    </w:p>
    <w:p w:rsidR="009E158A" w:rsidRDefault="009E158A">
      <w:pPr>
        <w:pStyle w:val="30"/>
      </w:pPr>
    </w:p>
    <w:p w:rsidR="009E158A" w:rsidRDefault="009E158A">
      <w:pPr>
        <w:pStyle w:val="30"/>
      </w:pPr>
    </w:p>
    <w:p w:rsidR="009E158A" w:rsidRDefault="009E158A">
      <w:pPr>
        <w:pStyle w:val="30"/>
      </w:pPr>
    </w:p>
    <w:p w:rsidR="009E158A" w:rsidRDefault="009E158A">
      <w:pPr>
        <w:pStyle w:val="30"/>
      </w:pPr>
    </w:p>
    <w:p w:rsidR="009E158A" w:rsidRDefault="009E158A">
      <w:pPr>
        <w:pStyle w:val="30"/>
      </w:pPr>
    </w:p>
    <w:p w:rsidR="009E158A" w:rsidRDefault="009E158A">
      <w:pPr>
        <w:pStyle w:val="30"/>
      </w:pPr>
    </w:p>
    <w:p w:rsidR="009E158A" w:rsidRDefault="009E158A">
      <w:pPr>
        <w:pStyle w:val="30"/>
      </w:pPr>
    </w:p>
    <w:p w:rsidR="009E158A" w:rsidRDefault="009E158A">
      <w:pPr>
        <w:pStyle w:val="30"/>
      </w:pPr>
    </w:p>
    <w:p w:rsidR="009E158A" w:rsidRDefault="009E158A">
      <w:pPr>
        <w:pStyle w:val="30"/>
        <w:rPr>
          <w:b/>
          <w:bCs/>
        </w:rPr>
      </w:pPr>
      <w:r>
        <w:rPr>
          <w:b/>
          <w:bCs/>
        </w:rPr>
        <w:t>Литература:</w:t>
      </w:r>
    </w:p>
    <w:p w:rsidR="009E158A" w:rsidRDefault="009E158A">
      <w:pPr>
        <w:spacing w:line="360" w:lineRule="auto"/>
        <w:ind w:firstLine="811"/>
        <w:rPr>
          <w:sz w:val="28"/>
        </w:rPr>
      </w:pPr>
    </w:p>
    <w:p w:rsidR="009E158A" w:rsidRDefault="009E158A">
      <w:pPr>
        <w:spacing w:line="360" w:lineRule="auto"/>
        <w:ind w:firstLine="811"/>
        <w:rPr>
          <w:sz w:val="28"/>
        </w:rPr>
      </w:pPr>
      <w:r>
        <w:rPr>
          <w:sz w:val="28"/>
        </w:rPr>
        <w:t>1. Богуславский М.М. Международное частное право: - 2-е изд., переработанное и дополненное – М.: Международные отношения, 1994 г. – 416 с.</w:t>
      </w:r>
    </w:p>
    <w:p w:rsidR="009E158A" w:rsidRDefault="009E158A">
      <w:pPr>
        <w:spacing w:line="360" w:lineRule="auto"/>
        <w:ind w:firstLine="811"/>
        <w:rPr>
          <w:sz w:val="28"/>
        </w:rPr>
      </w:pPr>
      <w:r>
        <w:rPr>
          <w:sz w:val="28"/>
        </w:rPr>
        <w:t>2. Звеков В.П. Международное частное право. Курс лекций – М.: НОРМА-ИНФРА. М. 1999 г. – 686 с.</w:t>
      </w:r>
    </w:p>
    <w:p w:rsidR="009E158A" w:rsidRDefault="009E158A">
      <w:pPr>
        <w:spacing w:line="360" w:lineRule="auto"/>
        <w:ind w:firstLine="811"/>
        <w:rPr>
          <w:sz w:val="28"/>
        </w:rPr>
      </w:pPr>
      <w:r>
        <w:rPr>
          <w:sz w:val="28"/>
        </w:rPr>
        <w:t>3. Ермолаев В.Г., Сиваков О.В. Международное частное право. Курс лекций. «Былина». М. 1998 г.</w:t>
      </w:r>
    </w:p>
    <w:p w:rsidR="009E158A" w:rsidRDefault="009E158A">
      <w:pPr>
        <w:spacing w:line="360" w:lineRule="auto"/>
        <w:ind w:left="0" w:firstLine="851"/>
        <w:rPr>
          <w:sz w:val="28"/>
        </w:rPr>
      </w:pPr>
      <w:bookmarkStart w:id="0" w:name="_GoBack"/>
      <w:bookmarkEnd w:id="0"/>
    </w:p>
    <w:sectPr w:rsidR="009E158A">
      <w:type w:val="continuous"/>
      <w:pgSz w:w="11900" w:h="16820"/>
      <w:pgMar w:top="1134" w:right="1134" w:bottom="113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34054"/>
    <w:multiLevelType w:val="singleLevel"/>
    <w:tmpl w:val="4390431C"/>
    <w:lvl w:ilvl="0">
      <w:start w:val="1"/>
      <w:numFmt w:val="upperRoman"/>
      <w:lvlText w:val="%1."/>
      <w:lvlJc w:val="left"/>
      <w:pPr>
        <w:tabs>
          <w:tab w:val="num" w:pos="1571"/>
        </w:tabs>
        <w:ind w:left="1571" w:hanging="720"/>
      </w:pPr>
      <w:rPr>
        <w:rFonts w:hint="default"/>
      </w:rPr>
    </w:lvl>
  </w:abstractNum>
  <w:abstractNum w:abstractNumId="1">
    <w:nsid w:val="20A04BD1"/>
    <w:multiLevelType w:val="hybridMultilevel"/>
    <w:tmpl w:val="5F6041A2"/>
    <w:lvl w:ilvl="0" w:tplc="96781AC6">
      <w:start w:val="2"/>
      <w:numFmt w:val="decimal"/>
      <w:lvlText w:val="%1."/>
      <w:lvlJc w:val="left"/>
      <w:pPr>
        <w:tabs>
          <w:tab w:val="num" w:pos="320"/>
        </w:tabs>
        <w:ind w:left="320" w:hanging="360"/>
      </w:pPr>
      <w:rPr>
        <w:rFonts w:hint="default"/>
      </w:rPr>
    </w:lvl>
    <w:lvl w:ilvl="1" w:tplc="04190019" w:tentative="1">
      <w:start w:val="1"/>
      <w:numFmt w:val="lowerLetter"/>
      <w:lvlText w:val="%2."/>
      <w:lvlJc w:val="left"/>
      <w:pPr>
        <w:tabs>
          <w:tab w:val="num" w:pos="1040"/>
        </w:tabs>
        <w:ind w:left="1040" w:hanging="360"/>
      </w:pPr>
    </w:lvl>
    <w:lvl w:ilvl="2" w:tplc="0419001B" w:tentative="1">
      <w:start w:val="1"/>
      <w:numFmt w:val="lowerRoman"/>
      <w:lvlText w:val="%3."/>
      <w:lvlJc w:val="right"/>
      <w:pPr>
        <w:tabs>
          <w:tab w:val="num" w:pos="1760"/>
        </w:tabs>
        <w:ind w:left="1760" w:hanging="180"/>
      </w:pPr>
    </w:lvl>
    <w:lvl w:ilvl="3" w:tplc="0419000F" w:tentative="1">
      <w:start w:val="1"/>
      <w:numFmt w:val="decimal"/>
      <w:lvlText w:val="%4."/>
      <w:lvlJc w:val="left"/>
      <w:pPr>
        <w:tabs>
          <w:tab w:val="num" w:pos="2480"/>
        </w:tabs>
        <w:ind w:left="2480" w:hanging="360"/>
      </w:pPr>
    </w:lvl>
    <w:lvl w:ilvl="4" w:tplc="04190019" w:tentative="1">
      <w:start w:val="1"/>
      <w:numFmt w:val="lowerLetter"/>
      <w:lvlText w:val="%5."/>
      <w:lvlJc w:val="left"/>
      <w:pPr>
        <w:tabs>
          <w:tab w:val="num" w:pos="3200"/>
        </w:tabs>
        <w:ind w:left="3200" w:hanging="360"/>
      </w:pPr>
    </w:lvl>
    <w:lvl w:ilvl="5" w:tplc="0419001B" w:tentative="1">
      <w:start w:val="1"/>
      <w:numFmt w:val="lowerRoman"/>
      <w:lvlText w:val="%6."/>
      <w:lvlJc w:val="right"/>
      <w:pPr>
        <w:tabs>
          <w:tab w:val="num" w:pos="3920"/>
        </w:tabs>
        <w:ind w:left="3920" w:hanging="180"/>
      </w:pPr>
    </w:lvl>
    <w:lvl w:ilvl="6" w:tplc="0419000F" w:tentative="1">
      <w:start w:val="1"/>
      <w:numFmt w:val="decimal"/>
      <w:lvlText w:val="%7."/>
      <w:lvlJc w:val="left"/>
      <w:pPr>
        <w:tabs>
          <w:tab w:val="num" w:pos="4640"/>
        </w:tabs>
        <w:ind w:left="4640" w:hanging="360"/>
      </w:pPr>
    </w:lvl>
    <w:lvl w:ilvl="7" w:tplc="04190019" w:tentative="1">
      <w:start w:val="1"/>
      <w:numFmt w:val="lowerLetter"/>
      <w:lvlText w:val="%8."/>
      <w:lvlJc w:val="left"/>
      <w:pPr>
        <w:tabs>
          <w:tab w:val="num" w:pos="5360"/>
        </w:tabs>
        <w:ind w:left="5360" w:hanging="360"/>
      </w:pPr>
    </w:lvl>
    <w:lvl w:ilvl="8" w:tplc="0419001B" w:tentative="1">
      <w:start w:val="1"/>
      <w:numFmt w:val="lowerRoman"/>
      <w:lvlText w:val="%9."/>
      <w:lvlJc w:val="right"/>
      <w:pPr>
        <w:tabs>
          <w:tab w:val="num" w:pos="6080"/>
        </w:tabs>
        <w:ind w:left="60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1DC"/>
    <w:rsid w:val="00303441"/>
    <w:rsid w:val="005B2D18"/>
    <w:rsid w:val="009E158A"/>
    <w:rsid w:val="00B13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CE964E-A7B5-4F0F-8A8B-DD93607A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left="40"/>
      <w:jc w:val="both"/>
    </w:pPr>
    <w:rPr>
      <w:snapToGrid w:val="0"/>
      <w:sz w:val="16"/>
    </w:rPr>
  </w:style>
  <w:style w:type="paragraph" w:styleId="1">
    <w:name w:val="heading 1"/>
    <w:basedOn w:val="a"/>
    <w:next w:val="a"/>
    <w:qFormat/>
    <w:pPr>
      <w:keepNext/>
      <w:spacing w:line="360" w:lineRule="auto"/>
      <w:ind w:left="120"/>
      <w:outlineLvl w:val="0"/>
    </w:pPr>
    <w:rPr>
      <w:b/>
      <w:noProof/>
      <w:sz w:val="28"/>
    </w:rPr>
  </w:style>
  <w:style w:type="paragraph" w:styleId="2">
    <w:name w:val="heading 2"/>
    <w:basedOn w:val="a"/>
    <w:next w:val="a"/>
    <w:qFormat/>
    <w:pPr>
      <w:keepNext/>
      <w:spacing w:line="360" w:lineRule="auto"/>
      <w:ind w:left="851" w:firstLine="283"/>
      <w:outlineLvl w:val="1"/>
    </w:pPr>
    <w:rPr>
      <w:sz w:val="28"/>
    </w:rPr>
  </w:style>
  <w:style w:type="paragraph" w:styleId="3">
    <w:name w:val="heading 3"/>
    <w:basedOn w:val="a"/>
    <w:next w:val="a"/>
    <w:qFormat/>
    <w:pPr>
      <w:keepNext/>
      <w:spacing w:line="360" w:lineRule="auto"/>
      <w:ind w:left="0" w:firstLine="851"/>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900"/>
    </w:pPr>
    <w:rPr>
      <w:rFonts w:ascii="Arial" w:hAnsi="Arial"/>
      <w:b/>
      <w:i/>
      <w:snapToGrid w:val="0"/>
      <w:sz w:val="16"/>
    </w:rPr>
  </w:style>
  <w:style w:type="paragraph" w:customStyle="1" w:styleId="FR2">
    <w:name w:val="FR2"/>
    <w:pPr>
      <w:widowControl w:val="0"/>
      <w:ind w:left="40"/>
      <w:jc w:val="both"/>
    </w:pPr>
    <w:rPr>
      <w:snapToGrid w:val="0"/>
      <w:sz w:val="16"/>
    </w:rPr>
  </w:style>
  <w:style w:type="paragraph" w:styleId="a3">
    <w:name w:val="Body Text"/>
    <w:basedOn w:val="a"/>
    <w:semiHidden/>
    <w:pPr>
      <w:spacing w:before="280" w:line="360" w:lineRule="auto"/>
      <w:ind w:left="0"/>
      <w:jc w:val="center"/>
    </w:pPr>
    <w:rPr>
      <w:b/>
      <w:sz w:val="28"/>
    </w:rPr>
  </w:style>
  <w:style w:type="paragraph" w:styleId="a4">
    <w:name w:val="Body Text Indent"/>
    <w:basedOn w:val="a"/>
    <w:semiHidden/>
    <w:pPr>
      <w:spacing w:line="360" w:lineRule="auto"/>
      <w:ind w:firstLine="811"/>
    </w:pPr>
    <w:rPr>
      <w:sz w:val="28"/>
    </w:rPr>
  </w:style>
  <w:style w:type="paragraph" w:styleId="20">
    <w:name w:val="Body Text Indent 2"/>
    <w:basedOn w:val="a"/>
    <w:semiHidden/>
    <w:pPr>
      <w:spacing w:line="360" w:lineRule="auto"/>
      <w:ind w:firstLine="811"/>
      <w:jc w:val="left"/>
    </w:pPr>
    <w:rPr>
      <w:sz w:val="28"/>
    </w:rPr>
  </w:style>
  <w:style w:type="paragraph" w:styleId="30">
    <w:name w:val="Body Text Indent 3"/>
    <w:basedOn w:val="a"/>
    <w:semiHidden/>
    <w:pPr>
      <w:spacing w:line="360" w:lineRule="auto"/>
      <w:ind w:firstLine="1094"/>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2941</Words>
  <Characters>16764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ПРАВО  СОБСТВЕННОСТИ</vt:lpstr>
    </vt:vector>
  </TitlesOfParts>
  <Company>MCESI</Company>
  <LinksUpToDate>false</LinksUpToDate>
  <CharactersWithSpaces>19666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ПРАВО  СОБСТВЕННОСТИ</dc:title>
  <dc:subject/>
  <dc:creator>Ким С.</dc:creator>
  <cp:keywords/>
  <cp:lastModifiedBy>Irina</cp:lastModifiedBy>
  <cp:revision>2</cp:revision>
  <dcterms:created xsi:type="dcterms:W3CDTF">2014-09-22T12:00:00Z</dcterms:created>
  <dcterms:modified xsi:type="dcterms:W3CDTF">2014-09-22T12:00:00Z</dcterms:modified>
</cp:coreProperties>
</file>