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both"/>
        <w:rPr>
          <w:b/>
          <w:bCs/>
          <w:sz w:val="32"/>
          <w:szCs w:val="32"/>
        </w:rPr>
      </w:pP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Реферат по курсу «Мировая экономика» 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на тему «Социально-экономическая модель Германии»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br w:type="page"/>
        <w:t>Содержание</w:t>
      </w:r>
    </w:p>
    <w:p w:rsidR="00D42A74" w:rsidRDefault="00D42A74">
      <w:pPr>
        <w:pStyle w:val="1"/>
        <w:rPr>
          <w:sz w:val="32"/>
          <w:szCs w:val="32"/>
        </w:rPr>
      </w:pPr>
      <w:r>
        <w:rPr>
          <w:sz w:val="32"/>
          <w:szCs w:val="32"/>
        </w:rPr>
        <w:t>Введение. . . . . . . . . . . . . . . . . . . . . . . . . . . . . . . . . . . . . . . . . . . . . . . . .3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Глава 1. Теоретические и методологические аспекты понятия 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«экономическая модель». . . . . . . . . . . . . . . . . . . . . . . . . . . . . . . . . . . .4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Глава 2. Основные этапы развития и исторические особенности 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развития Германии с 1947 года до настоящего времени. . . . . . . . . .8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Глава 3. Результаты построения модели в соответствии с этапами 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подъемов и спадов экономики Германии. . . . . . . . . . . . . . . . . . . . . .14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Заключение. . . . . . . . . . . . . . . . . . . . . . . . . . . . . . . . . . . . . . . . . . . . . . 16</w:t>
      </w:r>
    </w:p>
    <w:p w:rsidR="00D42A74" w:rsidRDefault="00D42A74">
      <w:pPr>
        <w:pStyle w:val="a5"/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Список использованной литературы. . . . . . . . . . . . . . . . . . . . . . . . . .18</w:t>
      </w:r>
    </w:p>
    <w:p w:rsidR="00D42A74" w:rsidRDefault="00D42A74">
      <w:pPr>
        <w:pStyle w:val="21"/>
        <w:jc w:val="center"/>
        <w:rPr>
          <w:b/>
          <w:bCs/>
          <w:sz w:val="32"/>
          <w:szCs w:val="32"/>
        </w:rPr>
      </w:pPr>
      <w:r>
        <w:rPr>
          <w:sz w:val="28"/>
          <w:szCs w:val="28"/>
        </w:rPr>
        <w:br w:type="page"/>
      </w:r>
      <w:r>
        <w:rPr>
          <w:b/>
          <w:bCs/>
          <w:sz w:val="32"/>
          <w:szCs w:val="32"/>
        </w:rPr>
        <w:t>Введение</w:t>
      </w:r>
    </w:p>
    <w:p w:rsidR="00D42A74" w:rsidRDefault="00D42A74">
      <w:pPr>
        <w:pStyle w:val="21"/>
        <w:rPr>
          <w:sz w:val="28"/>
          <w:szCs w:val="28"/>
        </w:rPr>
      </w:pPr>
      <w:r>
        <w:rPr>
          <w:sz w:val="28"/>
          <w:szCs w:val="28"/>
        </w:rPr>
        <w:t>Из всех событий, произошедших в немецкой истории в первое десятилетие после окончания второй мировой войны, заграницей наибольшее внимание привлекла к себе немецкая экономическая политика. Сданной экономической политикой связывается экономическое возрождение, именуемое «чудом».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1947 году безвыходной представлялась ситуация в экономике и социальной сфере. Около 20 % промышленных строений и промышленного инвентаря, 20 – 25 % квартир, 40 % транспортных сооружений были разрушены войной. 25 % бывшей имперской территории в границах 1937 г. пришлось отдать. Немецкое имущество за границей подверглось конфискации. В общей сложности потерю мощностей германского народного хозяйства в результате войны и ее последствий можно оценить в 50 % от довоенного уровня. Оставшаяся часть реального капитала была большей частью устаревшей и изношенной.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Распределение по карточкам важнейших продуктов питания и других предметов потребления, таких как одежда, белье, обувь; нормирование и распределение всех основных материалов и сырья, а также всех производственных материалов (угля, железа, нефти и т.п.); положения о замораживании цен и заработной платы; государственный контроль над импортом и экспортом – это меры принятые союзниками и характеризующие экономический порядок в стране в конце 50–х годов.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 существовало и работоспособной денежной системы. Поэтому назрела необходимость реформирования экономики предприятия. Но прежде чем рассматривать особенности развития Германии необходимо упомянуть также в данной работе теоретические аспекты понятия «экономическая модель».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sz w:val="32"/>
          <w:szCs w:val="32"/>
        </w:rPr>
        <w:br w:type="page"/>
      </w:r>
      <w:r>
        <w:rPr>
          <w:b/>
          <w:bCs/>
          <w:sz w:val="32"/>
          <w:szCs w:val="32"/>
        </w:rPr>
        <w:t>Глава 1. Теоретические и методологические аспекты понятия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«экономическая модель»</w:t>
      </w:r>
    </w:p>
    <w:p w:rsidR="00D42A74" w:rsidRDefault="00D42A74">
      <w:pPr>
        <w:pStyle w:val="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Картину мира, по признаку взаимодействия государства и экономики, невозможно понять без некоторой типологизации национальных примеров взаимодействия. В экономической литературе такая типологизация связана с использованием устоявшегося термина «модель экономики»</w:t>
      </w:r>
    </w:p>
    <w:p w:rsidR="00D42A74" w:rsidRDefault="00D42A74">
      <w:pPr>
        <w:pStyle w:val="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Термин «страновая или национальная модель», был введен в научный оборот относительно недавно в последней четверти </w:t>
      </w:r>
      <w:r>
        <w:rPr>
          <w:sz w:val="28"/>
          <w:szCs w:val="28"/>
          <w:lang w:val="en-US"/>
        </w:rPr>
        <w:t>XX</w:t>
      </w:r>
      <w:r>
        <w:rPr>
          <w:sz w:val="28"/>
          <w:szCs w:val="28"/>
        </w:rPr>
        <w:t xml:space="preserve"> века. 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Само понятие «модель» имеет несколько трактовок. Среди них к реалиям мировой экономики применимы лишь 2. В первой модели – это схематичное описание какого-либо явления или процесса в обществе. Вторая модель – это образец, служащий эталоном для воспроизведения.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Всплеск научного и практического интереса к имеющимся в мировой экономике национальным моделям возникает тогда, когда в той или иной стране происходит глубокое реформирование стратегии и механизма экономического развития и, естественно, возникает проблема выбора наиболее достижимого и привлекательного образца подражания.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Это было характерно, например, для латиноамериканских стран в первой половине 80-х годов, когда под влиянием долгосрочных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Понятие страновой модели используется в случае, если социально-экономическое и политическое развитие того или иного национального государства в течении достаточно длительного периода демонстрирует стабильность ключевых параметров, заложенных в основу модели. Если воспроизводство этих параметров нарушается, можно ожидать либо частичную модификацию модели роста либо ее полную трансформацию.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менее важным компонентом понятия страновой модели является характеристика ее особенностей, иными словами, ее специфика. Это дает возможность проводить сравнительный анализ национальных моделей, существующих в мировом хозяйстве с учетом его эволюционного развития. Сравнительные исследования проводятся по одному или нескольким критериям. Результатом таких разработок могут быть предложения по типологизации национальных моделей. </w:t>
      </w:r>
    </w:p>
    <w:p w:rsidR="00D42A74" w:rsidRDefault="00D42A74">
      <w:pPr>
        <w:pStyle w:val="a3"/>
        <w:spacing w:line="360" w:lineRule="auto"/>
        <w:ind w:firstLine="720"/>
        <w:jc w:val="both"/>
      </w:pPr>
      <w:r>
        <w:rPr>
          <w:sz w:val="28"/>
          <w:szCs w:val="28"/>
        </w:rPr>
        <w:t>Страновая (региональная, субрегиональная) модель экономического развития – это совокупность элементов, формирующих целостность национального хозяйства, и механизм, обеспечивающий тесную связь и взаимодействие этих элементов. По своему характеру они являются природно-естественными, технологическими, экономическими, социальными, политическими, психологическими, социокультурными, историческими, конфессиональными.</w:t>
      </w:r>
    </w:p>
    <w:p w:rsidR="00D42A74" w:rsidRDefault="00D42A74">
      <w:pPr>
        <w:pStyle w:val="1"/>
        <w:spacing w:line="360" w:lineRule="auto"/>
        <w:ind w:firstLine="72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Модели экономического развития. 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Первая модель, используемая в США, построена на рыночных механизмах саморегулирования экономики, с низкой долей государственной собственности и незначительным прямым вмешательством государства в процесс производства товаров и услуг. Главные достоинства этой модели: 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большая гибкость экономического механизма, быстро ориентирующегося на меняющуюся конъюнктуру рынка;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высокая степень предпринимательской активности и ориентации на нововведения, обусловленная более широкими возможностями выгодного применения капитала.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Особенно результативна эта модель при высоком уровне развития производительных сил, в условиях большой емкости внутреннего и внешнего рынков и при высоком жизненном уровне населения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Вторая модель рыночной (капиталистической) экономики – японская. Ей свойственны: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четкое и эффективное взаимодействие труда, капитала и государства (профсоюзов, промышленников, финансистов и правительства) в интересах достижения национальных целей;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дух коллективизма и патернализма на производстве;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внушительный упор на человеческий фактор.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Эта модель распространена в значительной части стран Юго-Восточной Азии и Дальнего Востока, особенно в практике экономического роста так называемых азиатских молодых тигров – Гонконга, Сингапура, Тайваня, Южной Кореи.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Третья модель – латиноамериканская. Ее характеризуют: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сильное и не всегда грамотное вмешательство государство в экономику;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коррупция, даже криминализация общества, включая хозяйственные связи;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ориентация производства на удовлетворение спроса ведущих капиталистических стран, использующих две предыдущие модели экономики, на природные ресурсы и дешевую рабочую силу.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Четвертая модель капиталистической экономики – африканская – базируется на многообразии форм собственности и рыночных отношениях. В странах Африки, использующих эту модель, наблюдается, прежде всего, малограмотность и даже беспомощность в регулировании и управлении хозяйственными процессами на уровне как предприятий и фирм, так и государства в целом. Без помощи развитых капиталистических стран африканцы вряд ли вообще могут создать современную экономику.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Африканской экономике присущи: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нещадная эксплуатация неквалифицированного труда;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широкое применение силовых методов прямого вмешательства в производство «сверху»;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неразвитость трудовых отношений и демократии вообще;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крайне низкая эффективность.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Пятая модель, созданная после Второй мировой войны в Германии и Франции, получила название социально-ориентированной рыночной экономики. Она отличается от остальных следующими параметрами: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« смешанная экономика», в которой достаточно весома доля государственной собственности;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макроэкономическое регулирование осуществляется не только средствами кредитно-денежной и налогово-бюджетной политики, но и охватывает другие сферы экономики (структурная, инвестиционная политика) и трудовых отношений (регулирование занятости);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особое значение для государственных органов имеет поддержание конкурентных отношений в экономике, которое обеспечивается средствами структурной политики и содействием развитию малого и среднего бизнеса;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высокая доля госбюджета в ВВП («государство благосостояния»);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развитая система социальной поддержки населения при ведущей роли в ней государства, расходы которого по этой линии составляют значительную часть государственного бюджета;</w:t>
      </w:r>
    </w:p>
    <w:p w:rsidR="00D42A74" w:rsidRDefault="00D42A74">
      <w:pPr>
        <w:pStyle w:val="a3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функционирование института производственной демократии.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sz w:val="28"/>
          <w:szCs w:val="28"/>
        </w:rPr>
        <w:br w:type="page"/>
      </w:r>
      <w:r>
        <w:rPr>
          <w:b/>
          <w:bCs/>
          <w:sz w:val="32"/>
          <w:szCs w:val="32"/>
        </w:rPr>
        <w:t>Глава 2. Основные этапы развития и исторические особенности развития Германии с 1947 года до настоящего времени.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1945 году Германия оказалась в катастрофическом положении. Тот факт, что 15 лет спустя западная часть этой разгромленной страны вышла на 1 место в Европе по уровню экономического развития, был единодушно охарактеризован как «немецкое чудо». Институты ФРГ формировались довольно долго, потому что государственное образование, объединившее 3 зоны оккупации, официально возникло только в 1949. До провозглашения ФРГ эта территория управлялась странами победительницами, которые экспроприировали в свою пользу часть немецкого промышленного потенциала. Союзные державы лишь в марте 1949 года прекратили демонтаж оборудования немецких заводов, а в апреле 1950 года разрешили восстановление тяжелой промышленности Германии. Окончательно от идеи репараций победители отказались только в марте 1951 года. Немецкая марка, новая немецкая валюта, ставшая воплощением политического и экономического бессилия послевоенной Германии, была девальвирована в сентябре 1949 года более чем на 20 %. Но это была ее последняя девальвация.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Главным идеологом и архитектором «немецкого чуда» был профессор Мюнхенского университета, впоследствии ставший федеральным канцлером, Л. Эрхард.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трудах по экономическим вопросам и в своей практической деятельности Эрхард выступал за формирование так называемого социального рыночного хозяйства. Его концепция строилась на реальных представлениях о человеке, исходя из того, что он старается принимать решения, которые идут на пользу ему самому или его семье, социальной группе. Социальная рыночная экономика считается истинным двигателем общественного благополучия, постоянное стремление человека к улучшению условий собственной жизни в совокупности с его социальной ответственностью. Рыночная экономика, по Эрхарду, функционирует только при условии свободы: потребления, выбора профессии и рабочего места, предпринимательской деятельности, распоряжения частным имуществом, включая средства производства, заключения договоров.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Рычаги экономического возрождения страны Эрхард определял как свободную частную инициативу и конкуренцию в сочетании с активной ролью государства в хозяйственной жизни.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Эрхард провел множество реформ, в том числе и хозяйственную. Хозяйственная реформа 1948 года представляла сочетание денежной реформы и реформы цен. Цель первой -  избавление от обесцененных денег и создание твердой валюты. Были введены новые деньги дойчмарки вместо недействительных рейхсмарок. Каждому гражданину полагалось по 40 новых дойчмарок, потом эта сумма была увеличена еще на 20 дойчмарок.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Пенсии, заработная и квартирная плата подлежала пересчету в новые марки в соотношении 1:1; половину сбережений и наличных разрешалось обменять в соотношении 1:10, а вторая половина была заморожена и позже обменивалась по курсу 1:20. Большая часть денежных обязательств предприятий пересчитывалась в соотношении 1:10. Обязательства банков и других учреждений старой Германии в основном аннулировались. Был учрежден Эмиссионный банк немецких земель и утвержден устав, регулировавший его отношения с частными банками.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 заставила себя ждать и реформа цен. Ровно через три дня после денежной реформы был обнародован закон о принципах хозяйственной структуры и политике цен. Цены отпускались «на свободу», отменялись административное распределение ресурсов и многочисленные нормативные документы, регулировавшие до этого экономические отношения.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Несколько позже были приняты законодательные акты о кредитной и налоговой политике, о мерах против произвольного завышения цен, антимонопольные и антикартельные указы и другие.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Важнейшим элементом социального рыночного хозяйства считался мелкий и средний бизнес – «основа благосостояния для всех», и политика государства направлялась на его всемерную поддержку и развитие. Уже в 1953 году на предприятиях с численностью до 500 человек работало 50,8 % всех занятых и производилась половина промышленной продукции. В начале 50-х годов практически сразу же после восстановления разрушенных домов и предприятий, началось бурное возрождение немецкой экономики.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завершении стадии восстановления экономики, приблизительно с середины 50-х годов в ФРГ наступил подъем, длившийся более 10 лет. ФРГ становится передовой страной Западной Европы, оказавшись на втором месте в мире (после США) по уровню промышленного производства и объему экспорта. Она стала одним из главнейших учредителей Европейского объединения угля и стали, стояла у истоков европейской экономической интеграции. На ее долю в то время приходилось более 60 % добычи угля, около 50 % производства стали, около 40 % экспорта и 35 % импорта общего рынка.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Основными факторами, под воздействие которых формировалось и развивалось народное хозяйство ФРГ в 60-е годы, явились быстрое развитие научно-технического прогресса, усиление ориентации на внешний рынок и увеличение государственно-монополистического капитала. Научно-технический прогресс в ФРГ происходил в несколько своеобразных условиях. Его особенность заключалась в том, что главной базой для внедрения новой техники в промышленность страны в первый период были не собственные научные исследования и разработки, а иностранные лицензии. Было выгоднее их импортировать, чем затрачивать большие суммы на повторение уже созданных передовых технологий.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Однако с начала 60-х гг. опасность технологического отставания ФРГ в области научно-исследовательских и опытно-конструкторских работ от других развитых стран обусловила и потребовала изменения политики технического прогресса и усиления внимания к развитию собственных исследований на основных направлениях научно-технического прогресса. Расходы на них в период с 1960 по 1970 года увеличилась в 5,2 раза. В результате доля иностранных лицензий, используемых в промышленности, снизилась и составила в начале 70-х годов 14% против 20 % в 60-е годы.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Замедление темпов экономического роста в начале 60-х годов вызвало необходимость более активного вмешательства государства в процесс экономического развития. От обычных мер экономической политики (финансовой, кредитной и налоговой) государство перешло к практике составления общих народнохозяйственных, отраслевых и региональных планов, предусматривавших расходы на военные нужды, научные исследования, образование, транспортные проблемы, контроль над ценами и т.п.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1967 год ознаменовал конец «немецкого чуда». Однако незначительный спад производства, отмеченный в этом году, не означал прекращения фазы экономического роста, поскольку период с 1968 по 1970 характеризовался среднегодовым показателем, превышавшим 6 % 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1968 и 1969 гг. темпы роста промышленного производства увеличились соответственно до 11,8 12,9 %, но в 1970 они вдруг снова сократились до 6,3 %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глубокими спадами в середине 70-х – начале 80-х и относительно незначительным подъемом между ними последовал продолжительный объем в 1983 – 1990 годах.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Всего основе лежали интенсивные процессы накопления и расширения экспорта, существенного увеличения инвестиций. Важным фактором экономического роста стало значительное расширение внешнего спроса. Так в 1989 году экспорт Германии по сравнению с предыдущим годом вырос на 10 %. При этом, впервые начиная с 1982 года, доля новых продуктов превысила долю товаров устаревшего ассортимента.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Подъем, длившийся около восьми лет, достиг наивысшей точки в 1990 году, когда темпы роста ВНП (4,5 %) оказались максимальными за последние 14 лет. Выпуск промышленной продукции увеличился на 5,2 %, это самый большой прирост за все 80-е годы. Уровень безработицы снизился с 7,6 % до 7 %.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После длительного подъема в 80-е годы произошло резкое снижение экономического роста. В фазу спада германская экономика стала сползать с середины 1991года, а зимой 1993 года он достиг самой низкой отметки за всю послевоенную историю. ВВП в начале 1993 года по сравнению с аналогичным периодом 1992 года упал на 3,2 % , а по сравнению с последним кварталом 1992 г. – на 1,5 %. Такое наблюдалось последний раз в первом полугодии 1974 года.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 второй половины 1992 года начали набирать силу негативные тенденции и на рынке труда: стало возрастать число предприятий с занятыми неполный рабочий день. В августе 1992 года таких предприятий было 3,4 тысячи, а в феврале 1993 года – более 15 тысяч. К лету 1993 года уровень официальной безработицы достиг 2,2 млн. человек, а весной 1996 года – 3,1 млн. человек. Хуже было только во время великого кризиса.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Одной из причин кризиса стало объединение Германии. Рыночные и политические преобразования потребовали гигантских капиталовложений в новых землях. Бывшая ГДР стала поистине «черной дырой» для экономики объединенной Германии. Финансовые трансферты из западной части в восточную часть страны в 1991 году составили 140млрд. марок, в 1992 году – 152 млрд. марок, а в 1993 году – 182 млрд. марок, затем они стали значительно снижаться.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1994 году стало заметно оживление экономической деятельности в западной части Германии. Рост реального ВВП там составил 2,5 % и был в основном обусловлен ростом экспорта и увеличением жилищного строительства. Что касается восточной части Германии, то там завершилось создание основных условий для самостоятельного экономического роста, хотя трансфертные поступления из западной части страны продолжали играть важную роль и еще больше укрепили внутренние факторы роста.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Благодаря экономическому подъему в середине 90-х годов уровень безработицы в Германии снизился до 6,9 % в год и оказался одним из самых низких показателей среди развитых индустриальных стран.</w:t>
      </w:r>
    </w:p>
    <w:p w:rsidR="00D42A74" w:rsidRDefault="00D42A74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1996 –1997 годах экономическая конъюнктура значительно ухудшилась. До настоящего времени экономика переживает то кратковременные спады, то подъемы.</w:t>
      </w:r>
    </w:p>
    <w:p w:rsidR="00D42A74" w:rsidRDefault="00D42A74">
      <w:pPr>
        <w:pStyle w:val="a5"/>
        <w:spacing w:line="360" w:lineRule="auto"/>
        <w:jc w:val="center"/>
        <w:rPr>
          <w:b/>
          <w:bCs/>
          <w:sz w:val="32"/>
          <w:szCs w:val="32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 xml:space="preserve">Глава </w:t>
      </w:r>
      <w:r>
        <w:rPr>
          <w:b/>
          <w:bCs/>
          <w:sz w:val="32"/>
          <w:szCs w:val="32"/>
        </w:rPr>
        <w:t>3. Результаты построения модели в соответствии с этапами подъемов и спадов экономики Германии.</w:t>
      </w:r>
    </w:p>
    <w:p w:rsidR="00D42A74" w:rsidRDefault="00D42A74">
      <w:pPr>
        <w:pStyle w:val="a3"/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Низкие налоги, свободные цены, антитрестовское законодательство, льготы для свободного частного инвестирования, защита внутреннего рынка от внешней конкуренции – все это и многое другое творило экономическое чудо, создавая общий тонус защищенности, перспективы и свободы действий в своем экономическом пространстве.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Реформы Эрхарда дали положительный результат в самые короткие сроки. За два года производство товаров широкого потребления увеличилось вдвое, магазины наполнились товарами, исчез черный рынок вместе со спекулянтами, появилась надежная валюта – дойчмарка. Цены выросли лишь на несколько процентов. Производительность труда только за первый год увеличилась на 1/3, что благоприятно отразилось на заработной плате, а поэтому инфляция не сказалась на социально-экономическом положении населения страны. К концу 1949 года валовой объем промышленного производства приблизился к уровню 1936 года (98,4 %), а к концу 1950 года превысил его (114,4 %).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1953 –1955 годах ежегодный прирост промышленного производства составлял 10 – 15 %, что обусловило его рост за период 1953 – 1956 года на 39 %. Быстрое расширение производственных мощностей сопровождалось некоторыми инфляционными явлениями. Правительство приняло ряд мер, направленных на «приглушение конъюнктуры, что привело к известному сокращению темпов прироста промышленного производства. Заторможение экономического подъема обеспечило переход к спокойному прогрессу.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1952 году прекратилось повышение цен, а с 1953 года при росте объемов производства, производительности труда и заработной платы цены стабилизировались ли даже снизились.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60- 70-е годы научно технический прогресс превратился в решающий фактор экономического роста страны. Он обусловил значительную перестройку материальной базы народного хозяйства. Изменения в структуре промышленности ФРГ выразились в уменьшении более чем вдвое доли добывающей промышленности, в первую очередь за счет каменноугольной, что связано с падением роли угля как источника топлива. Уменьшилась доля отраслей легкой промышленности.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эти годы произошло укрепление новой немецкой денежной единицы – дойчмарки. Благодаря этому Западная Германия превратилась в великую денежную державу.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80-е годы до объединения Германии экономика терпела то спады то подъемы, После 1990 года произошли существенные изменения в структуре экономики в связи с объединением ГДР и ФРГ в одно государство. На протяжении 90-х годов экономика Германии постепенно стабилизировалась. Но после 1996 года наступил кризис. В этот период была проведена новая политика «экономии», результатами которой стали:</w:t>
      </w:r>
    </w:p>
    <w:p w:rsidR="00D42A74" w:rsidRDefault="00D42A74">
      <w:pPr>
        <w:numPr>
          <w:ilvl w:val="0"/>
          <w:numId w:val="2"/>
        </w:numPr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принятие пакета мер, направленных на снижение государственных расходов, в том числе и в социальной сфере, пенсионном обеспечении, здравоохранении, в содействии занятости.</w:t>
      </w:r>
    </w:p>
    <w:p w:rsidR="00D42A74" w:rsidRDefault="00D42A74">
      <w:pPr>
        <w:numPr>
          <w:ilvl w:val="0"/>
          <w:numId w:val="2"/>
        </w:numPr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были снижены налоги на предприятия.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Введение этой политики было обусловлено тем, что Германия превратилась в страну с самым дорогим трудом в мире: в 1995 году прямая и дополнительная оплата труда составила45 марок в час.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оценкам швейцарского Института развития управления, в 20 – 30 –е годы </w:t>
      </w:r>
      <w:r>
        <w:rPr>
          <w:sz w:val="28"/>
          <w:szCs w:val="28"/>
          <w:lang w:val="en-US"/>
        </w:rPr>
        <w:t>XXI</w:t>
      </w:r>
      <w:r>
        <w:rPr>
          <w:sz w:val="28"/>
          <w:szCs w:val="28"/>
        </w:rPr>
        <w:t xml:space="preserve"> века Германия будет вместе с США, Японией и Китаем в передовом отряде стран, располагающих самыми технологиями.</w:t>
      </w:r>
    </w:p>
    <w:p w:rsidR="00D42A74" w:rsidRDefault="00D42A74">
      <w:pPr>
        <w:pStyle w:val="2"/>
        <w:ind w:firstLine="7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br w:type="page"/>
        <w:t>Заключение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Нередко можно слышать, что стремление измученного голодом и обнищавшего населения к возрождению, трудолюбие и прилежность немцев, иностранная помощь, в особенности план Маршала, и прочие содействовавшие экономическому развитию ФРГ факторы не без влияния иных политико-экономических структурных признаков обусловили соответствующий экономический рост.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 эти факторы сыграли в экономическом возрождении действительно определяющую роль. Но этот подъем стал возможным еще потому, что в ФРГ были обеспечены важные предпосылки роста: в стране имелись прилежные высокодисциплинированые рабочие, обладавшие организационными способностями, вооруженные техническими и трудовыми навыками.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Хотя экономическому возрождению ФРГ способствовал ряд политических, экономических и социальных факторов, все же следует признать, что экономические свободы, которые социальное рыночное хозяйство предоставляет предпринимателям, работавших по найму и потребителям, в большей степени стимулировали и раскрывали индивидуальное желание работать, готовность к труду, к проявлению инициативы, прилежность и способности, чем иные экономические структуры с меньшим набором экономических свобод. Следует отметить, что конкуренция повышала производительность труда, заставляла выпускать высококачественные товары, содействовала рационализации, гарантировала способствующий росту удельный вес чистых капиталовложений.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прочих равных условиях социальное рыночное хозяйство обеспечило большой технический, цивилизованный, экономический и социальный прогресс.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целом высокой оценки заслуживают усилия парламента и правительства в области наведения экономического порядка. Примером налаживания развития экономики может служить объем и характер регенерации ФРГ в европейскую и мировую экономику.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введение модели социально ориентированной рыночной экономики в Германии в конце 40-х годов способствовало возрождению ее экономики и стабилизации народного хозяйства в настоящее время.</w:t>
      </w:r>
    </w:p>
    <w:p w:rsidR="00D42A74" w:rsidRDefault="00D42A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Высокая квалификация рабочих, производительность труда, высокое качество производимых товаров – очень весомые аргументы в пользу благоприятных экономических перспектив объединенной Германии.</w:t>
      </w:r>
    </w:p>
    <w:p w:rsidR="00D42A74" w:rsidRDefault="00D42A74">
      <w:pPr>
        <w:pStyle w:val="a3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42A74" w:rsidRDefault="00D42A74">
      <w:pPr>
        <w:pStyle w:val="2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Список использованной литературы</w:t>
      </w:r>
    </w:p>
    <w:p w:rsidR="00D42A74" w:rsidRDefault="00D42A74">
      <w:pPr>
        <w:pStyle w:val="a3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Альбер М. Капитализм против капитализма. СПб.: Экономическая школа, 1998 г., с.139–201.</w:t>
      </w:r>
    </w:p>
    <w:p w:rsidR="00D42A74" w:rsidRDefault="00D42A74">
      <w:pPr>
        <w:pStyle w:val="a3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Бритта С. Капитализм с человеческим лицом. СПб.: Экономическая школа, 1998 г., с.18,40,181, 211-214,226-236, 240-241, 260, 283-288, 313.</w:t>
      </w:r>
    </w:p>
    <w:p w:rsidR="00D42A74" w:rsidRDefault="00D42A74">
      <w:pPr>
        <w:pStyle w:val="a3"/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Кудров В.М. Мировая экономика: Учебник. – М.: Издательство БЕК, 2000 г., с. 2-4.</w:t>
      </w:r>
    </w:p>
    <w:p w:rsidR="00D42A74" w:rsidRDefault="00D42A7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Мировая экономика. Экономика зарубежных стран: Учебник / Под ред. Доктора экон. Наук, профессора М.Н. Осьмовой. – М.:Флинта: Московский психолого-социальный институт, 2000 г., с. 185-191.</w:t>
      </w:r>
    </w:p>
    <w:p w:rsidR="00D42A74" w:rsidRDefault="00D42A7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Хайнц Л. Социальная рыночная экономика, германский путь. – М.: «Дело ЛТД», 1994 г., с. 57-59, 68-69, 210-218.</w:t>
      </w:r>
    </w:p>
    <w:p w:rsidR="00D42A74" w:rsidRDefault="00D42A7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Халевинская Е.Д., Крозе И. Мировая экономика: Учебник / Под редакцией Е.Д. Халевинской. – М.: Юристъ, 2000 г., с. 57-62,137-140, 279-284.</w:t>
      </w: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</w:p>
    <w:p w:rsidR="00D42A74" w:rsidRDefault="00D42A74">
      <w:pPr>
        <w:pStyle w:val="a3"/>
        <w:spacing w:line="360" w:lineRule="auto"/>
        <w:ind w:left="720"/>
        <w:jc w:val="both"/>
        <w:rPr>
          <w:sz w:val="28"/>
          <w:szCs w:val="28"/>
        </w:rPr>
      </w:pPr>
      <w:bookmarkStart w:id="0" w:name="_GoBack"/>
      <w:bookmarkEnd w:id="0"/>
    </w:p>
    <w:sectPr w:rsidR="00D42A74">
      <w:headerReference w:type="default" r:id="rId7"/>
      <w:pgSz w:w="11906" w:h="16838"/>
      <w:pgMar w:top="1134" w:right="70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6B64" w:rsidRDefault="00496B64">
      <w:r>
        <w:separator/>
      </w:r>
    </w:p>
  </w:endnote>
  <w:endnote w:type="continuationSeparator" w:id="0">
    <w:p w:rsidR="00496B64" w:rsidRDefault="00496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6B64" w:rsidRDefault="00496B64">
      <w:r>
        <w:separator/>
      </w:r>
    </w:p>
  </w:footnote>
  <w:footnote w:type="continuationSeparator" w:id="0">
    <w:p w:rsidR="00496B64" w:rsidRDefault="00496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A74" w:rsidRDefault="005015E9">
    <w:pPr>
      <w:pStyle w:val="a6"/>
      <w:framePr w:wrap="auto" w:vAnchor="text" w:hAnchor="margin" w:xAlign="right" w:y="1"/>
      <w:rPr>
        <w:rStyle w:val="a8"/>
      </w:rPr>
    </w:pPr>
    <w:r>
      <w:rPr>
        <w:rStyle w:val="a8"/>
        <w:noProof/>
      </w:rPr>
      <w:t>2</w:t>
    </w:r>
  </w:p>
  <w:p w:rsidR="00D42A74" w:rsidRDefault="00D42A74" w:rsidP="00D42A74">
    <w:pPr>
      <w:pStyle w:val="a6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A567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6B421D32"/>
    <w:multiLevelType w:val="singleLevel"/>
    <w:tmpl w:val="6E06540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7FED6B56"/>
    <w:multiLevelType w:val="singleLevel"/>
    <w:tmpl w:val="0778C57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2A74"/>
    <w:rsid w:val="00496B64"/>
    <w:rsid w:val="005015E9"/>
    <w:rsid w:val="00D30154"/>
    <w:rsid w:val="00D42A74"/>
    <w:rsid w:val="00EA2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A816C98-B82A-4826-AAAE-62F2DFF71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line="360" w:lineRule="auto"/>
      <w:jc w:val="both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1">
    <w:name w:val="Body Text 2"/>
    <w:basedOn w:val="a"/>
    <w:link w:val="22"/>
    <w:uiPriority w:val="99"/>
    <w:pPr>
      <w:spacing w:line="360" w:lineRule="auto"/>
      <w:ind w:firstLine="720"/>
      <w:jc w:val="both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a3">
    <w:name w:val="Body Text"/>
    <w:basedOn w:val="a"/>
    <w:link w:val="a4"/>
    <w:uiPriority w:val="99"/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customStyle="1" w:styleId="a5">
    <w:name w:val="Стиль"/>
    <w:uiPriority w:val="99"/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0"/>
      <w:szCs w:val="20"/>
    </w:rPr>
  </w:style>
  <w:style w:type="character" w:styleId="a8">
    <w:name w:val="page number"/>
    <w:uiPriority w:val="99"/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3597</Words>
  <Characters>20508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 всех событий, произошедших в немецкой истории в первое десятилетие после окончания второй мировой войны, заграницей наибольшее внимание привлекла к себе немецкая экономическая политика</vt:lpstr>
    </vt:vector>
  </TitlesOfParts>
  <Company> </Company>
  <LinksUpToDate>false</LinksUpToDate>
  <CharactersWithSpaces>24057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 всех событий, произошедших в немецкой истории в первое десятилетие после окончания второй мировой войны, заграницей наибольшее внимание привлекла к себе немецкая экономическая политика</dc:title>
  <dc:subject/>
  <dc:creator>*</dc:creator>
  <cp:keywords/>
  <dc:description/>
  <cp:lastModifiedBy>admin</cp:lastModifiedBy>
  <cp:revision>2</cp:revision>
  <dcterms:created xsi:type="dcterms:W3CDTF">2014-02-28T06:54:00Z</dcterms:created>
  <dcterms:modified xsi:type="dcterms:W3CDTF">2014-02-28T06:54:00Z</dcterms:modified>
</cp:coreProperties>
</file>