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028" w:rsidRDefault="008B5028" w:rsidP="008B50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B5028" w:rsidRDefault="008B5028" w:rsidP="008B50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B5028" w:rsidRDefault="008B5028" w:rsidP="008B50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B5028" w:rsidRDefault="008B5028" w:rsidP="008B50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B5028" w:rsidRDefault="008B5028" w:rsidP="008B50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B5028" w:rsidRDefault="008B5028" w:rsidP="008B50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B5028" w:rsidRDefault="008B5028" w:rsidP="008B50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B5028" w:rsidRDefault="008B5028" w:rsidP="008B50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B5028" w:rsidRDefault="008B5028" w:rsidP="008B50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B5028" w:rsidRDefault="008B5028" w:rsidP="008B50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B5028" w:rsidRDefault="008B5028" w:rsidP="008B50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B5028" w:rsidRDefault="008B5028" w:rsidP="008B50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B5028" w:rsidRDefault="008B5028" w:rsidP="008B50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B5028" w:rsidRDefault="008B5028" w:rsidP="008B50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B5028" w:rsidRDefault="008B5028" w:rsidP="008B50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D7CBA" w:rsidRPr="008B5028" w:rsidRDefault="008D7CBA" w:rsidP="008B5028">
      <w:pPr>
        <w:spacing w:line="360" w:lineRule="auto"/>
        <w:ind w:firstLine="709"/>
        <w:jc w:val="center"/>
        <w:rPr>
          <w:sz w:val="28"/>
          <w:szCs w:val="28"/>
        </w:rPr>
      </w:pPr>
      <w:r w:rsidRPr="008B5028">
        <w:rPr>
          <w:b/>
          <w:bCs/>
          <w:sz w:val="28"/>
          <w:szCs w:val="28"/>
        </w:rPr>
        <w:t>СОЦИАЛЬНЫЕ ПРАВА ЧЕЛОВЕКА И ИХ ОБЕСПЕЧЕНИЕ В РЕСПУБЛИКЕ СЕВЕРНАЯ ОСЕТИЯ – АЛАНИЯ</w:t>
      </w:r>
    </w:p>
    <w:p w:rsidR="008D7CBA" w:rsidRDefault="008D7CBA" w:rsidP="008B5028">
      <w:pPr>
        <w:spacing w:line="360" w:lineRule="auto"/>
        <w:ind w:firstLine="709"/>
        <w:jc w:val="both"/>
        <w:rPr>
          <w:sz w:val="28"/>
          <w:szCs w:val="28"/>
        </w:rPr>
      </w:pPr>
    </w:p>
    <w:p w:rsidR="008D7CBA" w:rsidRPr="008B5028" w:rsidRDefault="008B5028" w:rsidP="008B50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7CBA" w:rsidRPr="008B5028">
        <w:rPr>
          <w:sz w:val="28"/>
          <w:szCs w:val="28"/>
        </w:rPr>
        <w:t>В Конституции Российской Федерации наше государство определяется как социальное, политика которого направлена на создание условий, обеспечивающих достойную жизнь и свободное развитие человека. Воплощение в жизнь данного конституционного положения является обязанностью государства. Это обуславливает необходимость научной разработки и реализации мер социальной защиты. Среди них значительное место занимают правовое регулирование и судебная защита социальных прав человека.</w:t>
      </w:r>
    </w:p>
    <w:p w:rsidR="008B5028" w:rsidRDefault="008D7CBA" w:rsidP="008B5028">
      <w:pPr>
        <w:spacing w:line="360" w:lineRule="auto"/>
        <w:ind w:firstLine="709"/>
        <w:jc w:val="both"/>
        <w:rPr>
          <w:sz w:val="28"/>
          <w:szCs w:val="28"/>
        </w:rPr>
      </w:pPr>
      <w:r w:rsidRPr="008B5028">
        <w:rPr>
          <w:sz w:val="28"/>
          <w:szCs w:val="28"/>
        </w:rPr>
        <w:t xml:space="preserve">Правовое регулирование прав и свобод человека и гражданина, в соответствии со статьей 71 Конституции Российской Федерации, относится к исключительному ведению Российской Федерации, а их защита находится в совместном ведении Российской Федерации и ее субъектов (ст. 72). Несмотря на сказанное, органы государственной власти субъектов Российской Федерации активно участвуют в правовом регулировании прав и свобод, особенно социальных, поскольку в Конституции Российской Федерации на это нет прямого запрета. Более того, как правильно отмечается в юридической литературе, «с одной стороны, обеспечение правовой защиты прав и свобод невозможно без правого регулирования, а с другой – установление прав и свобод в конституции или в уставе субъекта Федерации уже есть дополнительная мера правовой защиты в силу юридических свойств конституции и устава» [1]. </w:t>
      </w:r>
    </w:p>
    <w:p w:rsidR="008D7CBA" w:rsidRPr="008B5028" w:rsidRDefault="008D7CBA" w:rsidP="008B5028">
      <w:pPr>
        <w:spacing w:line="360" w:lineRule="auto"/>
        <w:ind w:firstLine="709"/>
        <w:jc w:val="both"/>
        <w:rPr>
          <w:sz w:val="28"/>
          <w:szCs w:val="28"/>
        </w:rPr>
      </w:pPr>
      <w:r w:rsidRPr="008B5028">
        <w:rPr>
          <w:sz w:val="28"/>
          <w:szCs w:val="28"/>
        </w:rPr>
        <w:t xml:space="preserve">Поэтому Парламент Республики Северная Осетия – Алания принял правильное решение, закрепив в Конституции Республики Северная Осетия – Алания все права и свободы человека и гражданина и гарантии их обеспечения, предусмотренные Конституцией Российской Федерации, а в отдельных случаях Конституция Республики Северная Осетия – Алания предоставляет человеку более широкие социальные права. </w:t>
      </w:r>
      <w:r w:rsidR="008B5028">
        <w:rPr>
          <w:sz w:val="28"/>
          <w:szCs w:val="28"/>
        </w:rPr>
        <w:t>Е</w:t>
      </w:r>
      <w:r w:rsidRPr="008B5028">
        <w:rPr>
          <w:sz w:val="28"/>
          <w:szCs w:val="28"/>
        </w:rPr>
        <w:t>сли в соответствии со статьей 38 Конституции Российской Федерации под защитой государства находятся материнство, детство и семья, то статья 38 Конституции Республики Северная Осетия – Алания устанавливает в качестве объекта социальной защиты и отцовство. Такое законодательное положение подкрепляется позицией Президента Российской Федерации, изложенной им в Послании Федеральному Собранию в 2005 году, в котором была отмечена необходимость повысить престиж не только материнства, но и отцовства [2]. В то время как статья 41 Конституции Российской Федерации предусматривает право на медицинскую помощь, Конституция Республики Северная Осетия – Алания предоставляет право на квалифицированную медицинскую помощь. Она же гарантирует бесплатное среднее (полное) образование, тогда как Конституция Российской Федерации только основное.</w:t>
      </w:r>
    </w:p>
    <w:p w:rsidR="008B5028" w:rsidRDefault="008D7CBA" w:rsidP="008B5028">
      <w:pPr>
        <w:spacing w:line="360" w:lineRule="auto"/>
        <w:ind w:firstLine="709"/>
        <w:jc w:val="both"/>
        <w:rPr>
          <w:sz w:val="28"/>
          <w:szCs w:val="28"/>
        </w:rPr>
      </w:pPr>
      <w:r w:rsidRPr="008B5028">
        <w:rPr>
          <w:sz w:val="28"/>
          <w:szCs w:val="28"/>
        </w:rPr>
        <w:t xml:space="preserve">Наряду с конституционными нормами, важную роль в регулировании и, тем самым, в обеспечении социальных прав граждан играют текущие законы и иные нормативно-правовые акты. Необходимо согласиться с Руководителем Администрации Президента Российской Федерации С.С. Собяниным в том, что принятие нормативно-правовых актов в социальной сфере остается первоочередной задачей на настоящий момент для правотворческой деятельности субъектов Российской Федерации [3]. Понимая это, региональные органы государственной власти ведут активную правотворческую деятельность. Так Парламент Республики Северная Осетия – Алания только за последние полтора года принял 15 законов, обеспечивающих социальную защиту граждан. Они во многом обеспечивают права социально незащищенных групп населения республики: ветеранов, инвалидов, семей, имеющих детей-инвалидов, семей погибших и др. Так, например, Законом Республики Северная Осетия – Алания от 5 марта 2005 года № 20-РЗ «О мерах социальной поддержки ветеранов» установлены правовые гарантии социальной поддержки ветеранов в целях создания им условий, обеспечивающих достойную жизнь, активную деятельность, почет и уважение в обществе. </w:t>
      </w:r>
    </w:p>
    <w:p w:rsidR="008D7CBA" w:rsidRPr="008B5028" w:rsidRDefault="008D7CBA" w:rsidP="008B5028">
      <w:pPr>
        <w:spacing w:line="360" w:lineRule="auto"/>
        <w:ind w:firstLine="709"/>
        <w:jc w:val="both"/>
        <w:rPr>
          <w:sz w:val="28"/>
          <w:szCs w:val="28"/>
        </w:rPr>
      </w:pPr>
      <w:r w:rsidRPr="008B5028">
        <w:rPr>
          <w:sz w:val="28"/>
          <w:szCs w:val="28"/>
        </w:rPr>
        <w:t>В числе таких гарантий сохранение бесплатного обслуживания в медицинских учреждениях, бесплатное обеспечение путевками на санаторно-курортное обслуживание, бесплатное получение земельного участка, бесплатный проезд на всех видах городского пассажирского транспорта (кроме такси) на территории республики, льготная оплата (50%) предоставляемых коммунальных услуг и др.</w:t>
      </w:r>
    </w:p>
    <w:p w:rsidR="008D7CBA" w:rsidRPr="008B5028" w:rsidRDefault="008D7CBA" w:rsidP="008B5028">
      <w:pPr>
        <w:spacing w:line="360" w:lineRule="auto"/>
        <w:ind w:firstLine="709"/>
        <w:jc w:val="both"/>
        <w:rPr>
          <w:sz w:val="28"/>
          <w:szCs w:val="28"/>
        </w:rPr>
      </w:pPr>
      <w:r w:rsidRPr="008B5028">
        <w:rPr>
          <w:sz w:val="28"/>
          <w:szCs w:val="28"/>
        </w:rPr>
        <w:t>В республике ежегодно принимаются целевые программы в социальной сфере («Развитие общей врачебной практики», «Борьба со СПИДом», «Здоровье ребенка», «Онкология»), на реализацию которых законом о бюджете выделяются денежные средства. В 2007 году законом о бюджете утвержден перечень социальных программ («Неотложные меры борьбы с туберкулезом в Республики Северная Осетия – Алания на 2006-2010 годы», «Обеспечение населения питьевой водой», «Улучшение условий и охраны труда» и др.), на которые выделено 25 млн. рублей.</w:t>
      </w:r>
    </w:p>
    <w:p w:rsidR="008D7CBA" w:rsidRPr="008B5028" w:rsidRDefault="008D7CBA" w:rsidP="008B5028">
      <w:pPr>
        <w:spacing w:line="360" w:lineRule="auto"/>
        <w:ind w:firstLine="709"/>
        <w:jc w:val="both"/>
        <w:rPr>
          <w:sz w:val="28"/>
          <w:szCs w:val="28"/>
        </w:rPr>
      </w:pPr>
      <w:r w:rsidRPr="008B5028">
        <w:rPr>
          <w:sz w:val="28"/>
          <w:szCs w:val="28"/>
        </w:rPr>
        <w:t>В республике серьезное внимание уделяется профилактике заболеваний, обусловленных особенностями ее природного характера, как, например, заболеваний, связанных с дефицитом йода. В связи с этим задействована Республиканская целевая программа «Профилактика заболеваний, связанных с дефицитом йода и других микронутриентов в питании населения Республики Северная Осетия – Алания на 2007-2011 годы» (утверждена Законом Республики Северная Осетия – Алания от 18 апреля 2007 года № 12-РЗ). Кроме того, Законом республики утверждена Республиканская целевая программа «Социальная поддержка инвалидов в Республике Северная Осетия – Алания» на 2007-2009 годы, задачами которой являются: усиление социальной поддержки и улучшение качества жизни инвалидов; содействие решению социальных, профессиональных, экономических, медицинских и правовых проблем инвалидов в обществе путем обеспечения их техническими средствами реабилитации; повышение качества медико-социальной экспертизы и др.</w:t>
      </w:r>
    </w:p>
    <w:p w:rsidR="008D7CBA" w:rsidRPr="008B5028" w:rsidRDefault="008D7CBA" w:rsidP="008B5028">
      <w:pPr>
        <w:spacing w:line="360" w:lineRule="auto"/>
        <w:ind w:firstLine="709"/>
        <w:jc w:val="both"/>
        <w:rPr>
          <w:sz w:val="28"/>
          <w:szCs w:val="28"/>
        </w:rPr>
      </w:pPr>
      <w:r w:rsidRPr="008B5028">
        <w:rPr>
          <w:sz w:val="28"/>
          <w:szCs w:val="28"/>
        </w:rPr>
        <w:t>Республика за счет собственных возможностей (республиканский и местные бюджеты), несмотря на все сложности, связанные с миграционными процессами, имеющими место на ее территории, пытается расширить объем гарантий, обеспечивающих охрану здоровья своих граждан, что нашло закрепление в республиканском Законе от 28 апреля 1997 года (в ред. от 19 июля 2006 года) «Об охране здоровья граждан Республики Северная Осетия – Алания». Заслуживают упоминания и законы Республики Северная Осетия – Алания «О жилищной политике в Республике Северная Осетия – Алания» от 27.10.06 г. № 51-РЗ, «О мерах социальной поддержки реабилитированных лиц и лиц, признанных пострадавшими от политических репрессий» от 05.03.05 г. № 19-РЗ, «О молодежной политике в Республике Северная Осетия – Алания» от 14 января 2003 года (в ред. от 22 мая 2006 года), «Об охране труда в Республике Северная Осетия – Алания» от 15 марта 1999 года № 4-РЗ (в ред. от 22 мая 2006 года), «Об оплате труда приемных родителей и льготах, предоставляемых приемной семье и семье усыновителей (удочерителей)» от 21 июля 2004 года № 24-РЗ (в ред. от 29 марта 2006 года).</w:t>
      </w:r>
    </w:p>
    <w:p w:rsidR="008D7CBA" w:rsidRPr="008B5028" w:rsidRDefault="008D7CBA" w:rsidP="008B5028">
      <w:pPr>
        <w:spacing w:line="360" w:lineRule="auto"/>
        <w:ind w:firstLine="709"/>
        <w:jc w:val="both"/>
        <w:rPr>
          <w:sz w:val="28"/>
          <w:szCs w:val="28"/>
        </w:rPr>
      </w:pPr>
      <w:r w:rsidRPr="008B5028">
        <w:rPr>
          <w:sz w:val="28"/>
          <w:szCs w:val="28"/>
        </w:rPr>
        <w:t>Отметим, что одной из первых среди субъектов Российской Федерации республика учредила институт Уполномоченного по правам ребенка» согласно Положению об Уполномоченном по правам ребенка при Главе Республики Северная Осетия – Алания, утвержденному Указом Главы Республики Северная Осетия – Алания от 16 октября 2002 года № 175 а.</w:t>
      </w:r>
    </w:p>
    <w:p w:rsidR="008D7CBA" w:rsidRPr="008B5028" w:rsidRDefault="008D7CBA" w:rsidP="008B5028">
      <w:pPr>
        <w:spacing w:line="360" w:lineRule="auto"/>
        <w:ind w:firstLine="709"/>
        <w:jc w:val="both"/>
        <w:rPr>
          <w:sz w:val="28"/>
          <w:szCs w:val="28"/>
        </w:rPr>
      </w:pPr>
      <w:r w:rsidRPr="008B5028">
        <w:rPr>
          <w:sz w:val="28"/>
          <w:szCs w:val="28"/>
        </w:rPr>
        <w:t>Аналогичные нормативные правовые акты приняты также еще в 15 субъектах Российской Федерации (Москва, Краснодарский край, Ивановская область и др.), однако, к сожалению, несмотря на постановление Совета Федерации Российской Федерации от 23 июня 2006 года № 199-ФС, в котором содержится предложение учредить институт Уполномоченного по правам ребенка, данный институт до сих пор не прописан в федеральном законодательстве.</w:t>
      </w:r>
    </w:p>
    <w:p w:rsidR="008D7CBA" w:rsidRPr="008B5028" w:rsidRDefault="008D7CBA" w:rsidP="008B5028">
      <w:pPr>
        <w:spacing w:line="360" w:lineRule="auto"/>
        <w:ind w:firstLine="709"/>
        <w:jc w:val="both"/>
        <w:rPr>
          <w:sz w:val="28"/>
          <w:szCs w:val="28"/>
        </w:rPr>
      </w:pPr>
      <w:r w:rsidRPr="008B5028">
        <w:rPr>
          <w:sz w:val="28"/>
          <w:szCs w:val="28"/>
        </w:rPr>
        <w:t>Активную роль в защите социальных прав играет и Правительство Республики Северная Осетия – Алания, которое за последние два года приняло 25 постановлений и 5 распоряжений в социальной сфере: Постановление от 5 февраля 2007 года № 15 «Об утверждении форм документов для ведения органами местного самоуправления учета граждан, нуждающихся в жилых помещениях, предоставляемых по договорам социального найма», Постановление от 5 февраля 2007 года № 28 «О выплате единовременного пособия усыновителям, опекунам (попечителям) и приемным родителям при передаче ребенка на воспитание в семью», Постановление от 23 сентября 2005 года № 260 «Об утверждении Положения о порядке назначения и выплаты государственного адресного ежемесячного пособия гражданам, имеющим детей». Не зря по социальным показателям республика занимает первое место среди субъектов Южного федерального округа [4].</w:t>
      </w:r>
    </w:p>
    <w:p w:rsidR="008D7CBA" w:rsidRPr="008B5028" w:rsidRDefault="008D7CBA" w:rsidP="008B5028">
      <w:pPr>
        <w:spacing w:line="360" w:lineRule="auto"/>
        <w:ind w:firstLine="709"/>
        <w:jc w:val="both"/>
        <w:rPr>
          <w:sz w:val="28"/>
          <w:szCs w:val="28"/>
        </w:rPr>
      </w:pPr>
      <w:r w:rsidRPr="008B5028">
        <w:rPr>
          <w:sz w:val="28"/>
          <w:szCs w:val="28"/>
        </w:rPr>
        <w:t>Защита прав и свобод, будучи в совместном ведении Российской Федерации и ее субъектов, осуществляется не только с помощью правового регулирования, но и путем судебной защиты. Причем все права и свободы, как предусмотренные в Конституции Российской Федерации, конституции (уставе) субъекта Федерации, федеральных и региональных законах, так и не нашедшие нормативного закрепления, подлежат судебной защите.</w:t>
      </w:r>
    </w:p>
    <w:p w:rsidR="008D7CBA" w:rsidRPr="008B5028" w:rsidRDefault="008D7CBA" w:rsidP="008B5028">
      <w:pPr>
        <w:spacing w:line="360" w:lineRule="auto"/>
        <w:ind w:firstLine="709"/>
        <w:jc w:val="both"/>
        <w:rPr>
          <w:sz w:val="28"/>
          <w:szCs w:val="28"/>
        </w:rPr>
      </w:pPr>
      <w:r w:rsidRPr="008B5028">
        <w:rPr>
          <w:sz w:val="28"/>
          <w:szCs w:val="28"/>
        </w:rPr>
        <w:t>Защита социальных прав человека занимает также значительное место в работе конституционных (уставных) судов субъектов Российской Федерации. В этом можно убедиться на примере деятельности Конституционного Суда Республики Северная Осетия – Алания, который был образован в соответствии со ст.ст. 98 и 1011 Конституции республики и относится к числу дополнительных гарантий обеспечения и защиты прав и свобод человека и гражданина. Так по запросу Владикавказской общественной организации инвалидов Чернобыля России Конституционный Суд республики рассмотрел дело о проверке конституционности положения пункта 3 Временного порядка предоставления инвалидам автотранспортных средств (утвержденного Постановлением Правительства Республики Северная Осетия – Алания от 30 июля 1999 года № 219а). Оспариваемыми положениями нарушались права некоторых категорий инвалидов на бесплатное обеспечение их специальными транспортными средствами, так как был снижен уровень социальных гарантий по сравнению с тем, который был установлен федеральными законами. В частности, оспариваемым актом определена только та часть инвалидов, которая имеет медико-социальные показания и у которой отсутствуют противопоказания к вождению специального транспортного средства. Между тем, в соответствии с федеральными законами «О социальной защите инвалидов в Российской Федерации» и «О социальной защите граждан, подвергшихся воздействию радиации вследствие катастрофы на Чернобыльской АЭС», указанные транспортные средства предоставляются независимо от противопоказаний к вождению. Конституционный Суд республики признал ограничительное требование не соответствующим Конституции Республики Северная Осетия – Алания.</w:t>
      </w:r>
    </w:p>
    <w:p w:rsidR="008D7CBA" w:rsidRPr="008B5028" w:rsidRDefault="008D7CBA" w:rsidP="008B5028">
      <w:pPr>
        <w:spacing w:line="360" w:lineRule="auto"/>
        <w:ind w:firstLine="709"/>
        <w:jc w:val="both"/>
        <w:rPr>
          <w:sz w:val="28"/>
          <w:szCs w:val="28"/>
        </w:rPr>
      </w:pPr>
      <w:r w:rsidRPr="008B5028">
        <w:rPr>
          <w:sz w:val="28"/>
          <w:szCs w:val="28"/>
        </w:rPr>
        <w:t>В 2006 году в Конституционный Суд Республики Северная Осетия – Алания обратилась гражданка Саджая М.Я. с запросом о проверке конституционности отдельных норм Положения о порядке предоставления безвозмездных субсидий на обустройство в Республике Северная Осетия – Алания и возвращение в места прежнего проживания беженцев и вынужденных переселенцев, пострадавших в результате грузино-осетинского конфликта 1991 года и временно проживающих в санаториях «Осетия» и «Редант» (утвержденное Постановлением Правительства Республики Северная Осетия – Алания от 21 февраля 2000 года № 43 «О мерах по ускорению процесса отселения беженцев и вынужденных переселенцев из аварийных зданий санаториев «Осетия» и «Редант»). Конституционный Суд Республики Северная Осетия – Алания пришел к выводу, что нормы оспариваемого Положения в части, устанавливающей требования об освобождении беженцами и вынужденными переселенцами занимаемых ими и членами их семей жилых помещений по месту временного размещения за день до получения субсидии, а также в части установления требования о снятии вынужденных переселенцев с учета нуждающихся в улучшении жилищных условий при получении ими субсидий до фактического жилищного обустройства не соответствуют Конституции Республики Северная Осетия – Алания и, тем самым, нарушают право на жилище указанных лиц.</w:t>
      </w:r>
    </w:p>
    <w:p w:rsidR="008D7CBA" w:rsidRPr="008B5028" w:rsidRDefault="008D7CBA" w:rsidP="008B5028">
      <w:pPr>
        <w:spacing w:line="360" w:lineRule="auto"/>
        <w:ind w:firstLine="709"/>
        <w:jc w:val="both"/>
        <w:rPr>
          <w:sz w:val="28"/>
          <w:szCs w:val="28"/>
        </w:rPr>
      </w:pPr>
      <w:r w:rsidRPr="008B5028">
        <w:rPr>
          <w:sz w:val="28"/>
          <w:szCs w:val="28"/>
        </w:rPr>
        <w:t>Эффективность судебной защиты социальных прав во многом зависит от состава субъектов, наделенных правом инициировать рассмотрение дела в суде. В числе их, на наш взгляд, в первую очередь должны быть предусмотрены граждане. Однако, анализ законодательства о конституционных (уставных) судах субъектов Российской Федерации показывает, что граждане, как носители социальных прав, в большинстве субъектов Федерации не обладают правом на обращение в конституционные (уставные) суды не только с запросом о неконституционности того или иного нормативного правового акта субъекта, но даже с жалобой на нарушение их конституционных прав в конкретном деле. Так, в Республике Тыва граждане вообще не являются субъектами права на обращение в конституционный (уставный) суд, также как и в Москве, Курганской области, Иркутской области, Тюменской области. Согласно законам об Уставном суде Самарской областей, о Конституционном суде Республики Карелия граждане не наделены правом на обращение с жалобой в соответствующий конституционный (уставный) суд на нарушение конституционных прав примененным или подлежащим применению в деле законом или нормативно-правовым актом. Во многих законах не предусмотрены в качестве субъектов права на обращение в конституционные (уставные) суды и объединения граждан, как, например, в Республике Тыва (Конституционный закон от 4 января 2003 года № 1300 «О Конституционном Суде Республики Тыва»), в Республике Дагестан (Закон от 7 мая 1996 года «О Конституционном Суде Республики Дагестан»), в Республике Коми (Закон от 31 октября 1994 года № 7-РЗ «О Конституционном Суде Республики Коми»).</w:t>
      </w:r>
    </w:p>
    <w:p w:rsidR="008D7CBA" w:rsidRPr="008B5028" w:rsidRDefault="008D7CBA" w:rsidP="008B5028">
      <w:pPr>
        <w:spacing w:line="360" w:lineRule="auto"/>
        <w:ind w:firstLine="709"/>
        <w:jc w:val="both"/>
        <w:rPr>
          <w:sz w:val="28"/>
          <w:szCs w:val="28"/>
        </w:rPr>
      </w:pPr>
      <w:r w:rsidRPr="008B5028">
        <w:rPr>
          <w:sz w:val="28"/>
          <w:szCs w:val="28"/>
        </w:rPr>
        <w:t>В то время как организации, союзы, фонды и иные объединения стремятся (и это подтверждается практикой конституционных (уставных) судов) защитить в первую очередь своих членов (участников) и, как правило, это социально незащищенные группы людей: инвалиды, ветераны, дети, вынужденные переселенцы, беженцы.</w:t>
      </w:r>
    </w:p>
    <w:p w:rsidR="008D7CBA" w:rsidRPr="008B5028" w:rsidRDefault="008D7CBA" w:rsidP="008B5028">
      <w:pPr>
        <w:spacing w:line="360" w:lineRule="auto"/>
        <w:ind w:firstLine="709"/>
        <w:jc w:val="both"/>
        <w:rPr>
          <w:sz w:val="28"/>
          <w:szCs w:val="28"/>
        </w:rPr>
      </w:pPr>
      <w:r w:rsidRPr="008B5028">
        <w:rPr>
          <w:sz w:val="28"/>
          <w:szCs w:val="28"/>
        </w:rPr>
        <w:t>Анализ законодательства о конституционных (уставных) судах показывает, что наиболее широкие возможности судебной защиты социальных прав самими гражданами предоставляются в Республике Северная Осетия – Алания, так как это единственный пока субъект Российской Федерации, где они наделены правом на обращение в Конституционный Суд республики не только с запросом о проверке конституционности закона, нормативного правового акта, изданного Главой республики, Парламентом и Правительством республики, министерствами, государственными комитетами, другими органами государственной власти и органами местного самоуправления, но и с запросом о конституционности нормативного правового акта общественного объединения, государственного и муниципального учреждения, противоречащего, по их мнению, Конституции республики; с запросом о толковании норм Конституции Республики Северная Осетия – Алания и проверке конституционности договоров и соглашений. И, как показывает практика Конституционного Суда республики, такие широкие возможности позволяют не только восстанавливать уже нарушенные права, но и предупреждать их нарушение нормативным правовым актом. В заключение отметим, что в Республике Северная Осетия – Алания в социальной защите граждан значительное место занимает правовое обеспечение социальных прав, которое дополняется широкими законодательными возможностями их судебной защиты.</w:t>
      </w:r>
    </w:p>
    <w:p w:rsidR="001715ED" w:rsidRPr="001F5FED" w:rsidRDefault="001715ED" w:rsidP="001715E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1F5FED">
        <w:rPr>
          <w:color w:val="FFFFFF"/>
          <w:sz w:val="28"/>
          <w:szCs w:val="28"/>
        </w:rPr>
        <w:t>право конституционный республика осетия</w:t>
      </w:r>
    </w:p>
    <w:p w:rsidR="008D7CBA" w:rsidRPr="008B5028" w:rsidRDefault="006C570C" w:rsidP="008B50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7CBA" w:rsidRPr="008B5028">
        <w:rPr>
          <w:b/>
          <w:bCs/>
          <w:sz w:val="28"/>
          <w:szCs w:val="28"/>
        </w:rPr>
        <w:t>Литература</w:t>
      </w:r>
    </w:p>
    <w:p w:rsidR="006C570C" w:rsidRDefault="006C570C" w:rsidP="008B5028">
      <w:pPr>
        <w:spacing w:line="360" w:lineRule="auto"/>
        <w:ind w:firstLine="709"/>
        <w:jc w:val="both"/>
        <w:rPr>
          <w:sz w:val="28"/>
          <w:szCs w:val="28"/>
        </w:rPr>
      </w:pPr>
    </w:p>
    <w:p w:rsidR="008D7CBA" w:rsidRPr="008B5028" w:rsidRDefault="008D7CBA" w:rsidP="006C570C">
      <w:pPr>
        <w:spacing w:line="360" w:lineRule="auto"/>
        <w:jc w:val="both"/>
        <w:rPr>
          <w:sz w:val="28"/>
          <w:szCs w:val="28"/>
        </w:rPr>
      </w:pPr>
      <w:r w:rsidRPr="008B5028">
        <w:rPr>
          <w:sz w:val="28"/>
          <w:szCs w:val="28"/>
        </w:rPr>
        <w:t>1. Конституционное право субъектов Российской Федерации / Под ред. В.А. Кряжкова. – М., 2002. – С. 254.</w:t>
      </w:r>
    </w:p>
    <w:p w:rsidR="008D7CBA" w:rsidRPr="008B5028" w:rsidRDefault="008D7CBA" w:rsidP="006C570C">
      <w:pPr>
        <w:spacing w:line="360" w:lineRule="auto"/>
        <w:jc w:val="both"/>
        <w:rPr>
          <w:sz w:val="28"/>
          <w:szCs w:val="28"/>
        </w:rPr>
      </w:pPr>
      <w:r w:rsidRPr="008B5028">
        <w:rPr>
          <w:sz w:val="28"/>
          <w:szCs w:val="28"/>
        </w:rPr>
        <w:t>2. См.: РГ. 2005. 26 апреля.</w:t>
      </w:r>
    </w:p>
    <w:p w:rsidR="008D7CBA" w:rsidRPr="008B5028" w:rsidRDefault="008D7CBA" w:rsidP="006C570C">
      <w:pPr>
        <w:spacing w:line="360" w:lineRule="auto"/>
        <w:jc w:val="both"/>
        <w:rPr>
          <w:sz w:val="28"/>
          <w:szCs w:val="28"/>
        </w:rPr>
      </w:pPr>
      <w:r w:rsidRPr="008B5028">
        <w:rPr>
          <w:sz w:val="28"/>
          <w:szCs w:val="28"/>
        </w:rPr>
        <w:t>3. См.: Собянин С.С. Тенденции развития законодательства субъектов Российской Федерации в социально-экономической сфере // Журнал российского права.</w:t>
      </w:r>
    </w:p>
    <w:p w:rsidR="008D7CBA" w:rsidRPr="008B5028" w:rsidRDefault="008D7CBA" w:rsidP="006C570C">
      <w:pPr>
        <w:spacing w:line="360" w:lineRule="auto"/>
        <w:jc w:val="both"/>
        <w:rPr>
          <w:sz w:val="28"/>
          <w:szCs w:val="28"/>
        </w:rPr>
      </w:pPr>
      <w:r w:rsidRPr="008B5028">
        <w:rPr>
          <w:sz w:val="28"/>
          <w:szCs w:val="28"/>
        </w:rPr>
        <w:t>4. Ларина А. Главы по ранжиру // Российская газета. – 22 марта 2007 года. – № 106 (4369). – С. 17.</w:t>
      </w:r>
    </w:p>
    <w:p w:rsidR="006C570C" w:rsidRPr="008B5028" w:rsidRDefault="006C570C" w:rsidP="006C570C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6C570C" w:rsidRPr="008B5028" w:rsidSect="008B5028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FED" w:rsidRDefault="001F5FED" w:rsidP="008B5028">
      <w:r>
        <w:separator/>
      </w:r>
    </w:p>
  </w:endnote>
  <w:endnote w:type="continuationSeparator" w:id="0">
    <w:p w:rsidR="001F5FED" w:rsidRDefault="001F5FED" w:rsidP="008B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FED" w:rsidRDefault="001F5FED" w:rsidP="008B5028">
      <w:r>
        <w:separator/>
      </w:r>
    </w:p>
  </w:footnote>
  <w:footnote w:type="continuationSeparator" w:id="0">
    <w:p w:rsidR="001F5FED" w:rsidRDefault="001F5FED" w:rsidP="008B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028" w:rsidRPr="008B5028" w:rsidRDefault="008B5028" w:rsidP="008B5028">
    <w:pPr>
      <w:spacing w:line="360" w:lineRule="auto"/>
      <w:ind w:firstLine="709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CBA"/>
    <w:rsid w:val="00123B6C"/>
    <w:rsid w:val="001715ED"/>
    <w:rsid w:val="001F5FED"/>
    <w:rsid w:val="002E15AD"/>
    <w:rsid w:val="006C570C"/>
    <w:rsid w:val="006F4990"/>
    <w:rsid w:val="008B5028"/>
    <w:rsid w:val="008D7CBA"/>
    <w:rsid w:val="00A1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535AAB-2F64-4B4C-B1D5-95F2026D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7CBA"/>
    <w:pPr>
      <w:spacing w:before="100" w:beforeAutospacing="1" w:after="100" w:afterAutospacing="1"/>
    </w:pPr>
    <w:rPr>
      <w:color w:val="000000"/>
    </w:rPr>
  </w:style>
  <w:style w:type="character" w:styleId="a4">
    <w:name w:val="Strong"/>
    <w:uiPriority w:val="22"/>
    <w:qFormat/>
    <w:rsid w:val="008D7CBA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B50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B5028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B50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8B502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СОЦИАЛЬНЫЕ ПРАВА ЧЕЛОВЕКА И ИХ ОБЕСПЕЧЕНИЕ В РЕСПУБЛИКЕ СЕВЕРНАЯ ОСЕТИЯ – АЛАНИЯ</vt:lpstr>
    </vt:vector>
  </TitlesOfParts>
  <Company>Microsoft</Company>
  <LinksUpToDate>false</LinksUpToDate>
  <CharactersWithSpaces>15528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СОЦИАЛЬНЫЕ ПРАВА ЧЕЛОВЕКА И ИХ ОБЕСПЕЧЕНИЕ В РЕСПУБЛИКЕ СЕВЕРНАЯ ОСЕТИЯ – АЛАНИЯ</dc:title>
  <dc:subject/>
  <dc:creator>Admin</dc:creator>
  <cp:keywords/>
  <dc:description/>
  <cp:lastModifiedBy>admin</cp:lastModifiedBy>
  <cp:revision>2</cp:revision>
  <dcterms:created xsi:type="dcterms:W3CDTF">2014-03-28T06:42:00Z</dcterms:created>
  <dcterms:modified xsi:type="dcterms:W3CDTF">2014-03-28T06:42:00Z</dcterms:modified>
</cp:coreProperties>
</file>