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346258171"/>
      <w:bookmarkStart w:id="1" w:name="_Toc346268730"/>
      <w:bookmarkStart w:id="2" w:name="_Toc3893101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 и цель изучения БЖД.</w:t>
      </w:r>
      <w:bookmarkEnd w:id="0"/>
      <w:bookmarkEnd w:id="1"/>
      <w:bookmarkEnd w:id="2"/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346258172"/>
      <w:bookmarkStart w:id="4" w:name="_Toc346268731"/>
      <w:bookmarkStart w:id="5" w:name="_Toc389310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положения БЖД.</w:t>
      </w:r>
      <w:bookmarkEnd w:id="3"/>
      <w:bookmarkEnd w:id="4"/>
      <w:bookmarkEnd w:id="5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БЖД — система знаний, направленных на обеспечение безопасности в производственной и непроизводственной среде с учетом влияния человека на среду обитания.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346258173"/>
      <w:bookmarkStart w:id="7" w:name="_Toc346268732"/>
      <w:bookmarkStart w:id="8" w:name="_Toc3893103"/>
      <w:r>
        <w:rPr>
          <w:rFonts w:ascii="Times New Roman" w:hAnsi="Times New Roman" w:cs="Times New Roman"/>
          <w:color w:val="000000"/>
          <w:sz w:val="24"/>
          <w:szCs w:val="24"/>
        </w:rPr>
        <w:t>Цель БЖД</w:t>
      </w:r>
      <w:bookmarkEnd w:id="6"/>
      <w:bookmarkEnd w:id="7"/>
      <w:bookmarkEnd w:id="8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= БС + ПТ + СЗ + ПР + КТ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БС — достижение безаварийных ситуаций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ПТ — предупреждение травматизма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СЗ — сохранение здоровья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 — повышение работоспособности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 — повышение качества труда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решить две группы задач: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Научные (мат. модели в системах человек-машина; Среда обитания-человек-опасные (вредные) производственные факторы; человек-ПК и т.д.)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(обеспечение безопасных условий труда при обслуживании оборудования)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346258175"/>
      <w:bookmarkStart w:id="10" w:name="_Toc346268734"/>
      <w:bookmarkStart w:id="11" w:name="_Toc3893104"/>
      <w:r>
        <w:rPr>
          <w:rFonts w:ascii="Times New Roman" w:hAnsi="Times New Roman" w:cs="Times New Roman"/>
          <w:color w:val="000000"/>
          <w:sz w:val="24"/>
          <w:szCs w:val="24"/>
        </w:rPr>
        <w:t>Аксиома о потенциальной опасности</w:t>
      </w:r>
      <w:bookmarkEnd w:id="9"/>
      <w:bookmarkEnd w:id="10"/>
      <w:bookmarkEnd w:id="11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Любая деятельность потенциально опасна.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Количественная оценка опасности — риск (R).</w:t>
      </w:r>
    </w:p>
    <w:p w:rsidR="00A25A11" w:rsidRDefault="007B39D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>
            <v:imagedata r:id="rId5" o:title=""/>
          </v:shape>
        </w:pict>
      </w:r>
      <w:r w:rsidR="00A25A11">
        <w:rPr>
          <w:rFonts w:ascii="Times New Roman" w:hAnsi="Times New Roman" w:cs="Times New Roman"/>
          <w:color w:val="000000"/>
          <w:sz w:val="24"/>
          <w:szCs w:val="24"/>
        </w:rPr>
        <w:t>, где n - число случаев, N - общее количество людей.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статистике n = 500 тыс. чел. ( погибают неестественной гибелью на производстве за год)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= 160 млн. чел.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Существует понятие нормируемого риска (приемлемый риск) R=10-6 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46258176"/>
      <w:bookmarkStart w:id="13" w:name="_Toc346268735"/>
      <w:bookmarkStart w:id="14" w:name="_Toc3893105"/>
      <w:r>
        <w:rPr>
          <w:rFonts w:ascii="Times New Roman" w:hAnsi="Times New Roman" w:cs="Times New Roman"/>
          <w:color w:val="000000"/>
          <w:sz w:val="24"/>
          <w:szCs w:val="24"/>
        </w:rPr>
        <w:t>Правовые и нормативно-технические основы обеспечения БЖД.</w:t>
      </w:r>
      <w:bookmarkEnd w:id="12"/>
      <w:bookmarkEnd w:id="13"/>
      <w:bookmarkEnd w:id="14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положения изложены в Конституции (дек. 1994г) в законе по охране труда и охране природы (1992-93) в КЗоТе.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качестве подзаконных актов выступают ГОСТы, Нормы и Правила.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государственного надзора, ведомственного и общественного контроля.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Высший надзор по соблюдению законности осуществляет ген. прокурор.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надзор в соответствии со 107 ст. КЗоТ за соблюдением норм и правил по охране труда осуществляется: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специально уполномоченными инспекциями, независящие в своей деятельности от деятельности предприятия (Роскомгидромет, Госгортехнадзор, Госатомнадзор и т.д.);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профсоюзами в лице правовой и технической инспекцией труда.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Ведомственный контроль осуществляется министерствами и ведомствами в соответствии с подчиненностью.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Общественный контроль — ФНП в лице профсоюзных комитетах, находящихся на каждом предприятии.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5" w:name="_Toc346258177"/>
      <w:bookmarkStart w:id="16" w:name="_Toc346268736"/>
      <w:bookmarkStart w:id="17" w:name="_Toc389310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службы охраны труда и природы на предприятии</w:t>
      </w:r>
      <w:bookmarkEnd w:id="15"/>
      <w:bookmarkEnd w:id="16"/>
      <w:bookmarkEnd w:id="17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несет основную ответственность за охрану труда и природы.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Организационными работами, связанные с обеспечением охраны труда и природы занимается главный инженер.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охраны труда (подчиняется гл. инженеру) решает текущие вопросы, связанные с обеспечением безопасности труда.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Toc346258178"/>
      <w:bookmarkStart w:id="19" w:name="_Toc346268737"/>
      <w:bookmarkStart w:id="20" w:name="_Toc3893107"/>
      <w:r>
        <w:rPr>
          <w:rFonts w:ascii="Times New Roman" w:hAnsi="Times New Roman" w:cs="Times New Roman"/>
          <w:color w:val="000000"/>
          <w:sz w:val="24"/>
          <w:szCs w:val="24"/>
        </w:rPr>
        <w:t>Функции отдела охраны труда:</w:t>
      </w:r>
      <w:bookmarkEnd w:id="18"/>
      <w:bookmarkEnd w:id="19"/>
      <w:bookmarkEnd w:id="20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(соблюдение приказов)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обучающая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отдела выступают в качестве экспертов при разработке тех. решений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отчетность по вопросам травматизма и проф. заболеваниям.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Toc346258179"/>
      <w:bookmarkStart w:id="22" w:name="_Toc346268738"/>
      <w:bookmarkStart w:id="23" w:name="_Toc3893108"/>
      <w:r>
        <w:rPr>
          <w:rFonts w:ascii="Times New Roman" w:hAnsi="Times New Roman" w:cs="Times New Roman"/>
          <w:color w:val="000000"/>
          <w:sz w:val="24"/>
          <w:szCs w:val="24"/>
        </w:rPr>
        <w:t>Трехступенчатый контроль за охраной труда на предприятии</w:t>
      </w:r>
      <w:bookmarkEnd w:id="21"/>
      <w:bookmarkEnd w:id="22"/>
      <w:bookmarkEnd w:id="23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1этап.Контроль на рабочем месте (за цехом контроль осуществляет мастер, за лабораторией - рук. группой). Ежедневный контроль.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2этап.Уровень цеха, лаборатории (периодичность еженедельная).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3этап.Уровень предприятия (один из цехов выборочно проверяется комиссией, в состав которой входят: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гл. инженер;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начальник отдела охраны труда;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представитель мед. сан. части;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гл. специалист (технолог или энергетик)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Toc346258180"/>
      <w:bookmarkStart w:id="25" w:name="_Toc346268739"/>
      <w:bookmarkStart w:id="26" w:name="_Toc3893109"/>
      <w:r>
        <w:rPr>
          <w:rFonts w:ascii="Times New Roman" w:hAnsi="Times New Roman" w:cs="Times New Roman"/>
          <w:color w:val="000000"/>
          <w:sz w:val="24"/>
          <w:szCs w:val="24"/>
        </w:rPr>
        <w:t>Обучение работающих безопасности труда</w:t>
      </w:r>
      <w:bookmarkEnd w:id="24"/>
      <w:bookmarkEnd w:id="25"/>
      <w:bookmarkEnd w:id="26"/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стандартов безопасности труда — ГОСТ 12.0.004-90 ССБТ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инструктажа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Вводный — ознакомление с общими вопросами безопасности труда, проводит инженер безопасности труда.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Первичный — ознакомление с конкретными видами безопасности труда на данном предприятии на данном раб. месте, проводит руководитель работ.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— повторить информацию первичного инструктажа, периодичностью 1раз в полгода, проводит рук. работ.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Внеплановый — проводится рук. работ в том случае, когда имеют место изменения в технологическом процессе при поступлении нового оборудования, после того как произошел несчастный случай и при перерывах в работе, превышающие установленные.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Целевой — при выполнении работ, не связанных с основной специальностью, проводит рук. работ.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_Toc346258181"/>
      <w:bookmarkStart w:id="28" w:name="_Toc346268740"/>
      <w:bookmarkStart w:id="29" w:name="_Toc3893110"/>
      <w:r>
        <w:rPr>
          <w:rFonts w:ascii="Times New Roman" w:hAnsi="Times New Roman" w:cs="Times New Roman"/>
          <w:color w:val="000000"/>
          <w:sz w:val="24"/>
          <w:szCs w:val="24"/>
        </w:rPr>
        <w:t>Госты, Нормы и правила по охране труда и природы, их структура</w:t>
      </w:r>
      <w:bookmarkEnd w:id="27"/>
      <w:bookmarkEnd w:id="28"/>
      <w:bookmarkEnd w:id="29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стандартов БТ — комплекс мер, направленных на обеспечение БТ.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Госта:</w:t>
      </w:r>
    </w:p>
    <w:p w:rsidR="00A25A11" w:rsidRDefault="007B39D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286.5pt;height:57pt" fillcolor="window">
            <v:imagedata r:id="rId6" o:title=""/>
          </v:shape>
        </w:pic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Код группировки: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0:основополагающий стандарт;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1:перечень по группам опасных и вредных производственных факторов;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2:требование безопасности к производственному оборудованию;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3:требования безопасности, предъявляемые к технологическому процессу;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4:требования безопасности, предъявляемые к средствам индивидуальной защиты.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Нормы—перечень требований безопасности по производственной санитарии и гигиене труда.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 245-71 Санитарные нормы проектирования промышленных предприятий.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Правила—перечень мер по технике безопасности.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ПУЭ-85 Правила устройств электроустановки.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 и ПII-4-79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0" w:name="_Toc346258183"/>
      <w:bookmarkStart w:id="31" w:name="_Toc34626874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32" w:name="_Toc38931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Опасные и вредные факторы среды</w:t>
      </w:r>
      <w:bookmarkEnd w:id="30"/>
      <w:bookmarkEnd w:id="31"/>
      <w:bookmarkEnd w:id="32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Опасный фактор—фактор, воздействие которого на работающего, потенциально может привести к травме.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Вредный производственный фактор—фактор, воздействие которого на работающего может привести к заболеванию.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ГОСТ 12-0-003-74 ССБТ - Опасные и вредные производственные факторы. Классификация).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_Toc346258184"/>
      <w:bookmarkStart w:id="34" w:name="_Toc346268743"/>
      <w:bookmarkStart w:id="35" w:name="_Toc3893112"/>
      <w:r>
        <w:rPr>
          <w:rFonts w:ascii="Times New Roman" w:hAnsi="Times New Roman" w:cs="Times New Roman"/>
          <w:color w:val="000000"/>
          <w:sz w:val="24"/>
          <w:szCs w:val="24"/>
        </w:rPr>
        <w:t>Группы опасных и вредных производственных факторов:</w:t>
      </w:r>
      <w:bookmarkEnd w:id="33"/>
      <w:bookmarkEnd w:id="34"/>
      <w:bookmarkEnd w:id="35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Физические: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перемещающиеся изделия заготовки, незащищенные подвижные элементы производственного оборудования;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загазованность, запыленность раб. зоны;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повышенный уровень шума;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повышенный уровень напряжения в электрической сети, замыкание которого может произойти в теле человека;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повышенный уровень ионизирующего излучения;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повышенный уровень электромагнитных полей;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повышенный уровень ультрафиолетового излучения;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недостаточная освещенность раб. зоны.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Химические: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раздражающие вещества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Биологические: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макро- и микроорганизмы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Психо-физиологические: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физические перегрузки: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статические нагрузки;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динамические нагрузки;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гиподинамия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нервно-эмоциональные нагрузки: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умственное перенапряжение;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переутомление;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перенапряжение анализаторов (кожные, зрит., слуховые и т.д.)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монотонность труда;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эмоциональные перегрузки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6" w:name="_Toc346258187"/>
      <w:bookmarkStart w:id="37" w:name="_Toc346268746"/>
      <w:bookmarkStart w:id="38" w:name="_Toc38931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Травматизм и профзаболевания</w:t>
      </w:r>
      <w:bookmarkEnd w:id="36"/>
      <w:bookmarkEnd w:id="37"/>
      <w:bookmarkEnd w:id="38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Травма—внешнее повреждение организма человека, которое произошло в результате действия опасного производственного фактора.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Проф. заболевание—заболевание, при котором происходит внутреннее изменение в организме человека в результате действия вредного производственного фактора.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Несчастные случаи подразделяются: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легкие;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средней тяжести;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групповые;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инвалидным исходом;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 смертельным исходом.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Проф. заболевания подразделяются: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хронические;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внезапные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Совокупность производственных травм называется травматизмом.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_Toc346258188"/>
      <w:bookmarkStart w:id="40" w:name="_Toc346268747"/>
      <w:bookmarkStart w:id="41" w:name="_Toc3893114"/>
      <w:r>
        <w:rPr>
          <w:rFonts w:ascii="Times New Roman" w:hAnsi="Times New Roman" w:cs="Times New Roman"/>
          <w:color w:val="000000"/>
          <w:sz w:val="24"/>
          <w:szCs w:val="24"/>
        </w:rPr>
        <w:t>Отчетность по производственному травматизму:</w:t>
      </w:r>
      <w:bookmarkEnd w:id="39"/>
      <w:bookmarkEnd w:id="40"/>
      <w:bookmarkEnd w:id="41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I.Коэффициент тяжести травматизма (средняя продолжительность одной травмы)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Кт = Д/Т, где 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- кол-во (общее число) дней нетрудоспособности за отчетный период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 - кол-во травм за отчетный период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II.Коэффициент частоты травматизма (количество травм, приходящихся на 1000раб.)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Кч = (Т/Р)1000, где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- ср. списочное кол-во рабочих за отчетный период</w:t>
      </w:r>
    </w:p>
    <w:p w:rsidR="00A25A11" w:rsidRDefault="00A25A1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2" w:name="_Toc346258189"/>
      <w:bookmarkStart w:id="43" w:name="_Toc346268748"/>
      <w:bookmarkStart w:id="44" w:name="_Toc389311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 и расследование несчастных случаев</w:t>
      </w:r>
      <w:bookmarkEnd w:id="42"/>
      <w:bookmarkEnd w:id="43"/>
      <w:bookmarkEnd w:id="44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_Toc346258190"/>
      <w:bookmarkStart w:id="46" w:name="_Toc346268749"/>
      <w:bookmarkStart w:id="47" w:name="_Toc3893116"/>
      <w:r>
        <w:rPr>
          <w:rFonts w:ascii="Times New Roman" w:hAnsi="Times New Roman" w:cs="Times New Roman"/>
          <w:color w:val="000000"/>
          <w:sz w:val="24"/>
          <w:szCs w:val="24"/>
        </w:rPr>
        <w:t>Виды расследования:</w:t>
      </w:r>
      <w:bookmarkEnd w:id="45"/>
      <w:bookmarkEnd w:id="46"/>
      <w:bookmarkEnd w:id="47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Обычные (используется для несчастных случаев с временной потерей нетрудоспособности)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Специальные (используется для несчастных случаев со смертельным исходом)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обычного расследования в состав комиссии по расследованию причин несчастного случая входят: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администрации где произошел несчастный случай;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отдела охраны труда (или инженер этого отдела);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общественный инспектор по охране труда или другой представитель общественной организации)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24 часов с момента происшествия несчастного случая проводят расследование, причем результаты расследования заносятся в акт по форме Н-1 (4 экз.).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направляется к гл. инженеру (в течение 3-х дней акт должен быть заверен).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1-ый экз. - отдается на руки пострадавшему (хранится 45 лет);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2-ой экз. - в подразделении, где произошел несчастный случай;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3-ий экз. - в отделе охраны труда предприятия;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4-ый экз. - в министерство по его затребованию.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несет ответственность: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Дисциплинарную;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Материальную;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Административную;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Уголовную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несчастных случаев: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организационные (объективные);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технические (субъективные).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_Toc346258191"/>
      <w:bookmarkStart w:id="49" w:name="_Toc346268750"/>
      <w:bookmarkStart w:id="50" w:name="_Toc3893117"/>
      <w:r>
        <w:rPr>
          <w:rFonts w:ascii="Times New Roman" w:hAnsi="Times New Roman" w:cs="Times New Roman"/>
          <w:color w:val="000000"/>
          <w:sz w:val="24"/>
          <w:szCs w:val="24"/>
        </w:rPr>
        <w:t>Методы исследования причин травматизма</w:t>
      </w:r>
      <w:bookmarkEnd w:id="48"/>
      <w:bookmarkEnd w:id="49"/>
      <w:bookmarkEnd w:id="50"/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 исследования: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производственная обстановка;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технологические процессы;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Монографический (изучение одного из объектов причин травматизма);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Статистический (КТ,КС);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Топографический (нанести опасные раб. места на план цеха и оценить обстановку);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Экономический (анализ затрат на травматизм по б/л);</w:t>
      </w:r>
    </w:p>
    <w:p w:rsidR="00A25A11" w:rsidRDefault="00A25A1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Комбинированный (системный).</w:t>
      </w:r>
    </w:p>
    <w:p w:rsidR="00A25A11" w:rsidRDefault="00A25A11">
      <w:pPr>
        <w:widowControl w:val="0"/>
        <w:spacing w:before="120"/>
        <w:ind w:firstLine="5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_GoBack"/>
      <w:bookmarkEnd w:id="51"/>
    </w:p>
    <w:sectPr w:rsidR="00A25A11">
      <w:pgSz w:w="11906" w:h="16838" w:code="1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T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57AC4"/>
    <w:multiLevelType w:val="multilevel"/>
    <w:tmpl w:val="E2E89520"/>
    <w:lvl w:ilvl="0">
      <w:start w:val="1"/>
      <w:numFmt w:val="decimal"/>
      <w:pStyle w:val="1TimesNewRoman"/>
      <w:suff w:val="space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pStyle w:val="2TimesNewRoman"/>
      <w:suff w:val="space"/>
      <w:lvlText w:val="%1.%2."/>
      <w:lvlJc w:val="left"/>
      <w:pPr>
        <w:ind w:left="-360"/>
      </w:pPr>
      <w:rPr>
        <w:rFonts w:hint="default"/>
      </w:rPr>
    </w:lvl>
    <w:lvl w:ilvl="2">
      <w:start w:val="1"/>
      <w:numFmt w:val="decimal"/>
      <w:pStyle w:val="3TimesNewRoman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consecutiveHyphenLimit w:val="1"/>
  <w:hyphenationZone w:val="142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F9B"/>
    <w:rsid w:val="007B39D9"/>
    <w:rsid w:val="00A25A11"/>
    <w:rsid w:val="00AE55FF"/>
    <w:rsid w:val="00C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BF2A9B9-BD01-463D-95FC-9D8F2F9D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 w:cs="TimesET"/>
      <w:lang w:val="ru-RU" w:eastAsia="ru-RU"/>
    </w:rPr>
  </w:style>
  <w:style w:type="paragraph" w:styleId="1">
    <w:name w:val="heading 1"/>
    <w:basedOn w:val="a"/>
    <w:next w:val="a0"/>
    <w:link w:val="10"/>
    <w:uiPriority w:val="99"/>
    <w:qFormat/>
    <w:pPr>
      <w:pageBreakBefore/>
      <w:suppressAutoHyphens/>
      <w:spacing w:before="120" w:after="120"/>
      <w:ind w:firstLine="425"/>
      <w:jc w:val="center"/>
      <w:outlineLvl w:val="0"/>
    </w:pPr>
    <w:rPr>
      <w:rFonts w:ascii="HeliosBlack" w:hAnsi="HeliosBlack" w:cs="HeliosBlack"/>
      <w:b/>
      <w:bCs/>
      <w:kern w:val="28"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20" w:after="120"/>
      <w:outlineLvl w:val="1"/>
    </w:pPr>
    <w:rPr>
      <w:rFonts w:ascii="Helios" w:hAnsi="Helios" w:cs="Helios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spacing w:before="60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Plain Text"/>
    <w:basedOn w:val="a"/>
    <w:link w:val="a4"/>
    <w:uiPriority w:val="99"/>
    <w:pPr>
      <w:ind w:firstLine="426"/>
      <w:jc w:val="both"/>
    </w:pPr>
  </w:style>
  <w:style w:type="character" w:customStyle="1" w:styleId="a4">
    <w:name w:val="Текст Знак"/>
    <w:link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acro"/>
    <w:link w:val="a6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TM" w:hAnsi="CourierTM" w:cs="CourierTM"/>
      <w:lang w:val="ru-RU" w:eastAsia="ru-RU"/>
    </w:rPr>
  </w:style>
  <w:style w:type="character" w:customStyle="1" w:styleId="a6">
    <w:name w:val="Текст макроса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spacing w:before="240" w:after="60"/>
      <w:jc w:val="center"/>
    </w:pPr>
    <w:rPr>
      <w:rFonts w:ascii="Helios" w:hAnsi="Helios" w:cs="Helios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703"/>
        <w:tab w:val="right" w:pos="94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ET" w:hAnsi="TimesET" w:cs="TimesET"/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703"/>
        <w:tab w:val="right" w:pos="9406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ET" w:hAnsi="TimesET" w:cs="TimesET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6690"/>
      </w:tabs>
      <w:spacing w:before="60"/>
      <w:ind w:right="454"/>
    </w:pPr>
    <w:rPr>
      <w:b/>
      <w:bCs/>
    </w:rPr>
  </w:style>
  <w:style w:type="paragraph" w:styleId="21">
    <w:name w:val="toc 2"/>
    <w:basedOn w:val="a"/>
    <w:next w:val="a"/>
    <w:uiPriority w:val="99"/>
    <w:pPr>
      <w:tabs>
        <w:tab w:val="right" w:leader="dot" w:pos="6690"/>
      </w:tabs>
      <w:ind w:left="200" w:right="453"/>
    </w:pPr>
  </w:style>
  <w:style w:type="paragraph" w:styleId="31">
    <w:name w:val="toc 3"/>
    <w:basedOn w:val="a"/>
    <w:next w:val="a"/>
    <w:uiPriority w:val="99"/>
    <w:pPr>
      <w:tabs>
        <w:tab w:val="right" w:leader="dot" w:pos="6690"/>
      </w:tabs>
      <w:ind w:left="400" w:right="453"/>
    </w:pPr>
    <w:rPr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6690"/>
      </w:tabs>
      <w:ind w:left="600"/>
    </w:pPr>
  </w:style>
  <w:style w:type="paragraph" w:styleId="5">
    <w:name w:val="toc 5"/>
    <w:basedOn w:val="a"/>
    <w:next w:val="a"/>
    <w:uiPriority w:val="99"/>
    <w:pPr>
      <w:tabs>
        <w:tab w:val="right" w:leader="dot" w:pos="6690"/>
      </w:tabs>
      <w:ind w:left="800"/>
    </w:pPr>
  </w:style>
  <w:style w:type="paragraph" w:styleId="6">
    <w:name w:val="toc 6"/>
    <w:basedOn w:val="a"/>
    <w:next w:val="a"/>
    <w:uiPriority w:val="99"/>
    <w:pPr>
      <w:tabs>
        <w:tab w:val="right" w:leader="dot" w:pos="6690"/>
      </w:tabs>
      <w:ind w:left="1000"/>
    </w:pPr>
  </w:style>
  <w:style w:type="paragraph" w:styleId="7">
    <w:name w:val="toc 7"/>
    <w:basedOn w:val="a"/>
    <w:next w:val="a"/>
    <w:uiPriority w:val="99"/>
    <w:pPr>
      <w:tabs>
        <w:tab w:val="right" w:leader="dot" w:pos="6690"/>
      </w:tabs>
      <w:ind w:left="1200"/>
    </w:pPr>
  </w:style>
  <w:style w:type="paragraph" w:styleId="8">
    <w:name w:val="toc 8"/>
    <w:basedOn w:val="a"/>
    <w:next w:val="a"/>
    <w:uiPriority w:val="99"/>
    <w:pPr>
      <w:tabs>
        <w:tab w:val="right" w:leader="dot" w:pos="6690"/>
      </w:tabs>
      <w:ind w:left="1400"/>
    </w:pPr>
  </w:style>
  <w:style w:type="paragraph" w:styleId="9">
    <w:name w:val="toc 9"/>
    <w:basedOn w:val="a"/>
    <w:next w:val="a"/>
    <w:uiPriority w:val="99"/>
    <w:pPr>
      <w:tabs>
        <w:tab w:val="right" w:leader="dot" w:pos="6690"/>
      </w:tabs>
      <w:ind w:left="1600"/>
    </w:pPr>
  </w:style>
  <w:style w:type="paragraph" w:customStyle="1" w:styleId="1TimesNewRoman">
    <w:name w:val="Стиль Заголовок 1 + Times New Roman"/>
    <w:basedOn w:val="1"/>
    <w:uiPriority w:val="99"/>
    <w:pPr>
      <w:pageBreakBefore w:val="0"/>
      <w:numPr>
        <w:numId w:val="1"/>
      </w:numPr>
      <w:spacing w:after="0"/>
    </w:pPr>
    <w:rPr>
      <w:rFonts w:ascii="Times New Roman" w:hAnsi="Times New Roman" w:cs="Times New Roman"/>
    </w:rPr>
  </w:style>
  <w:style w:type="paragraph" w:customStyle="1" w:styleId="2TimesNewRoman">
    <w:name w:val="Стиль Заголовок 2 + Times New Roman"/>
    <w:basedOn w:val="2"/>
    <w:uiPriority w:val="99"/>
    <w:pPr>
      <w:numPr>
        <w:ilvl w:val="1"/>
        <w:numId w:val="1"/>
      </w:numPr>
      <w:jc w:val="center"/>
    </w:pPr>
    <w:rPr>
      <w:rFonts w:ascii="Times New Roman" w:hAnsi="Times New Roman" w:cs="Times New Roman"/>
    </w:rPr>
  </w:style>
  <w:style w:type="character" w:customStyle="1" w:styleId="2TimesNewRoman0">
    <w:name w:val="Стиль Заголовок 2 + Times New Roman Знак"/>
    <w:uiPriority w:val="99"/>
  </w:style>
  <w:style w:type="paragraph" w:customStyle="1" w:styleId="3TimesNewRoman">
    <w:name w:val="Стиль Заголовок 3 + Times New Roman"/>
    <w:basedOn w:val="3"/>
    <w:uiPriority w:val="99"/>
    <w:pPr>
      <w:numPr>
        <w:ilvl w:val="2"/>
        <w:numId w:val="1"/>
      </w:numPr>
    </w:pPr>
    <w:rPr>
      <w:rFonts w:ascii="Times New Roman" w:hAnsi="Times New Roman" w:cs="Times New Roman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5198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по БЖД</vt:lpstr>
    </vt:vector>
  </TitlesOfParts>
  <Company>some_people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по БЖД</dc:title>
  <dc:subject>мини</dc:subject>
  <dc:creator>Ирина и Алексей</dc:creator>
  <cp:keywords/>
  <dc:description/>
  <cp:lastModifiedBy>admin</cp:lastModifiedBy>
  <cp:revision>2</cp:revision>
  <cp:lastPrinted>1996-01-14T16:31:00Z</cp:lastPrinted>
  <dcterms:created xsi:type="dcterms:W3CDTF">2014-01-26T19:24:00Z</dcterms:created>
  <dcterms:modified xsi:type="dcterms:W3CDTF">2014-01-26T19:24:00Z</dcterms:modified>
</cp:coreProperties>
</file>