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53C" w:rsidRDefault="001A453C">
      <w:pPr>
        <w:pStyle w:val="1"/>
        <w:rPr>
          <w:b/>
        </w:rPr>
      </w:pPr>
      <w:r>
        <w:rPr>
          <w:b/>
        </w:rPr>
        <w:t>1. СОСТАВЛЕНИЕ БУХГАЛТЕРСКОЙ ОТЧЕТНОСТИ</w:t>
      </w:r>
    </w:p>
    <w:p w:rsidR="001A453C" w:rsidRDefault="001A453C">
      <w:pPr>
        <w:pStyle w:val="2"/>
      </w:pPr>
      <w:r>
        <w:t>1.1. Понятие, состав и порядок заполнения форм бухгалтерской отчетности в 2000 г.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b/>
          <w:lang w:val="ru-RU"/>
        </w:rPr>
        <w:t xml:space="preserve">Бухгалтерская отчетность – </w:t>
      </w:r>
      <w:r>
        <w:rPr>
          <w:lang w:val="ru-RU"/>
        </w:rPr>
        <w:t>единая система данных об имущественном и финансовом положении организации и о результате ее хозяйственной деятельности, составляемая на основе данных бухгалтерского учета по установленным формам [1, статья 2</w:t>
      </w:r>
      <w:r>
        <w:t>]</w:t>
      </w:r>
      <w:r>
        <w:rPr>
          <w:rStyle w:val="a3"/>
        </w:rPr>
        <w:footnoteReference w:id="1"/>
      </w:r>
      <w:r>
        <w:rPr>
          <w:lang w:val="ru-RU"/>
        </w:rPr>
        <w:t>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Под организацией в дальнейшем понимаются юридические лица по законодательству Российской Федерации (кроме банков), включая организации, основная деятельность которых финансируется за счет средств бюджета.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Бухгалтерская отчетность – это совокупность форм отчетности, составленных на основе данных финансового учета с целью предоставления внешним и внутренним пользователям обобщенной информации о финансовом положении организации в форме, удобной и понятной для принятия этими пользователями определенных деловых решений.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Организация должна составлять промежуточную бухгалтерскую отчетность за месяц, квартал нарастающим итогом отчетного года, если иное не установлено законодательством Российской Федерации [4,п. 48].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Пользователь бухгалтерской отчетности – юридическое или физическое лицо, заинтересованное в информации об организации [4, п. 4</w:t>
      </w:r>
      <w:r>
        <w:t>]</w:t>
      </w:r>
      <w:r>
        <w:rPr>
          <w:lang w:val="ru-RU"/>
        </w:rPr>
        <w:t>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Бухгалтерский учет представляет собой упорядоченную систему сбора, регистрации и обобщения информации в денежном выражении об имуществе, обязательствах организаций и их движении путем сплошного, непрерывного и документального учета всех хозяйственных операций [1, статья 1.1].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Объектами бухгалтерского учета являются имущество организаций, их обязательства и хозяйственные операции, осуществляемые организациями в процессе их деятельности [1, статья 1.2].</w:t>
      </w:r>
    </w:p>
    <w:p w:rsidR="001A453C" w:rsidRDefault="001A453C">
      <w:pPr>
        <w:pStyle w:val="10"/>
        <w:widowControl/>
        <w:ind w:firstLine="426"/>
        <w:jc w:val="both"/>
        <w:rPr>
          <w:b/>
          <w:i/>
          <w:lang w:val="ru-RU"/>
        </w:rPr>
      </w:pPr>
      <w:r>
        <w:rPr>
          <w:b/>
          <w:i/>
          <w:lang w:val="ru-RU"/>
        </w:rPr>
        <w:t xml:space="preserve">Основными </w:t>
      </w:r>
      <w:r>
        <w:rPr>
          <w:b/>
          <w:lang w:val="ru-RU"/>
        </w:rPr>
        <w:t xml:space="preserve">задачами </w:t>
      </w:r>
      <w:r>
        <w:rPr>
          <w:b/>
          <w:i/>
          <w:lang w:val="ru-RU"/>
        </w:rPr>
        <w:t xml:space="preserve">бухгалтерского </w:t>
      </w:r>
      <w:r>
        <w:rPr>
          <w:b/>
          <w:lang w:val="ru-RU"/>
        </w:rPr>
        <w:t xml:space="preserve">учета </w:t>
      </w:r>
      <w:r>
        <w:rPr>
          <w:b/>
          <w:i/>
          <w:lang w:val="ru-RU"/>
        </w:rPr>
        <w:t>являются: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 xml:space="preserve">- формирование полной и достоверной информации о деятельности организации и ее имущественном положении, необходимой внутренним пользователям бухгалтерской отчетности – руководителям, учредителям, участникам и собственникам имущества организации, а </w:t>
      </w:r>
      <w:r>
        <w:rPr>
          <w:lang w:val="ru-RU"/>
        </w:rPr>
        <w:lastRenderedPageBreak/>
        <w:t>также внешним инвесторам, кредиторам и другим пользователям бухгалтерской отчетности;</w:t>
      </w:r>
    </w:p>
    <w:p w:rsidR="001A453C" w:rsidRDefault="001A453C">
      <w:pPr>
        <w:pStyle w:val="10"/>
        <w:widowControl/>
        <w:tabs>
          <w:tab w:val="left" w:pos="504"/>
        </w:tabs>
        <w:ind w:firstLine="426"/>
        <w:jc w:val="both"/>
        <w:rPr>
          <w:lang w:val="ru-RU"/>
        </w:rPr>
      </w:pPr>
      <w:r>
        <w:rPr>
          <w:lang w:val="ru-RU"/>
        </w:rPr>
        <w:t>- обеспечение информацией,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целесообразностью, наличием и движением имущества и обязательств, использованием материальных, трудовых и финансовых ресурсов в соответствии с утвержденными нормами, нормативами и сметами;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- 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 [1, статья 1.3].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Все организации обязаны составлять на основе данных синтетического и аналитического учета бухгалтерскую отчетность [1, статья 13.1</w:t>
      </w:r>
      <w:r>
        <w:t>]</w:t>
      </w:r>
      <w:r>
        <w:rPr>
          <w:lang w:val="ru-RU"/>
        </w:rPr>
        <w:t>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i/>
          <w:lang w:val="ru-RU"/>
        </w:rPr>
        <w:t xml:space="preserve">Синтетический учет – </w:t>
      </w:r>
      <w:r>
        <w:rPr>
          <w:lang w:val="ru-RU"/>
        </w:rPr>
        <w:t>это учет обобщенных данных бухгалтерского учета о видах имущества, обязательств и хозяйственных операций по определенным экономическим признакам, который ведется на синтетических счетах бухгалтерского учета.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i/>
          <w:lang w:val="ru-RU"/>
        </w:rPr>
        <w:t xml:space="preserve">Аналитический учет – </w:t>
      </w:r>
      <w:r>
        <w:rPr>
          <w:lang w:val="ru-RU"/>
        </w:rPr>
        <w:t>это учет, который ведется в лицевых, материальных и иных аналитических счетах бухгалтерского учета, группирующих детальную информацию об имуществе, обязательствах и о хозяйственных операциях внутри каждого синтетическом счета [1, статья 2].</w:t>
      </w:r>
    </w:p>
    <w:p w:rsidR="001A453C" w:rsidRDefault="001A453C">
      <w:pPr>
        <w:pStyle w:val="10"/>
        <w:widowControl/>
        <w:ind w:firstLine="426"/>
        <w:jc w:val="both"/>
        <w:rPr>
          <w:b/>
          <w:i/>
          <w:lang w:val="ru-RU"/>
        </w:rPr>
      </w:pPr>
      <w:r>
        <w:rPr>
          <w:b/>
          <w:lang w:val="ru-RU"/>
        </w:rPr>
        <w:t xml:space="preserve">Об объеме </w:t>
      </w:r>
      <w:r>
        <w:rPr>
          <w:b/>
          <w:i/>
          <w:lang w:val="ru-RU"/>
        </w:rPr>
        <w:t>форм бухгалтерской отчетности</w:t>
      </w:r>
    </w:p>
    <w:p w:rsidR="001A453C" w:rsidRDefault="001A453C">
      <w:pPr>
        <w:pStyle w:val="10"/>
        <w:widowControl/>
        <w:ind w:firstLine="426"/>
        <w:jc w:val="both"/>
        <w:rPr>
          <w:b/>
          <w:lang w:val="ru-RU"/>
        </w:rPr>
      </w:pPr>
      <w:r>
        <w:rPr>
          <w:lang w:val="ru-RU"/>
        </w:rPr>
        <w:t xml:space="preserve">В соответствии с Федеральным законом № 129-ФЗ «0 бухгалтерском учете», а также ПБУ 4/99 «Бухгалтерская отчетность организации» </w:t>
      </w:r>
      <w:r>
        <w:rPr>
          <w:b/>
          <w:lang w:val="ru-RU"/>
        </w:rPr>
        <w:t xml:space="preserve">промежуточная бухгалтерская отчетность </w:t>
      </w:r>
      <w:r>
        <w:rPr>
          <w:lang w:val="ru-RU"/>
        </w:rPr>
        <w:t xml:space="preserve">состоит из </w:t>
      </w:r>
      <w:r>
        <w:rPr>
          <w:b/>
          <w:lang w:val="ru-RU"/>
        </w:rPr>
        <w:t>бухгалтерского баланса (форма № 1) и отчета о прибылях и  убытках (форма № 2).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b/>
          <w:lang w:val="ru-RU"/>
        </w:rPr>
        <w:t xml:space="preserve">В состав годовой бухгалтерской отчетности </w:t>
      </w:r>
      <w:r>
        <w:rPr>
          <w:lang w:val="ru-RU"/>
        </w:rPr>
        <w:t xml:space="preserve">также включаются  </w:t>
      </w:r>
      <w:r>
        <w:rPr>
          <w:b/>
          <w:lang w:val="ru-RU"/>
        </w:rPr>
        <w:t>отчет об изменениях капитала (форма № 3)</w:t>
      </w:r>
      <w:r>
        <w:rPr>
          <w:lang w:val="ru-RU"/>
        </w:rPr>
        <w:t xml:space="preserve">, </w:t>
      </w:r>
      <w:r>
        <w:rPr>
          <w:b/>
          <w:lang w:val="ru-RU"/>
        </w:rPr>
        <w:t xml:space="preserve">отчет о движении  денежных средств (форма № 4), приложение к бухгалтерскому балансу (форма М 5) и пояснительная записка, </w:t>
      </w:r>
      <w:r>
        <w:rPr>
          <w:lang w:val="ru-RU"/>
        </w:rPr>
        <w:t xml:space="preserve">а также </w:t>
      </w:r>
      <w:r>
        <w:rPr>
          <w:b/>
          <w:lang w:val="ru-RU"/>
        </w:rPr>
        <w:t xml:space="preserve">аудиторское заключение, </w:t>
      </w:r>
      <w:r>
        <w:rPr>
          <w:lang w:val="ru-RU"/>
        </w:rPr>
        <w:t>подтверждающее достоверность бухгалтерской отчетности организации, если она в соответствии с федеральными законами подлежит обязательному аудиту.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Приказом 3Ф 4н Минфина РФ от 13.01.2000 определены состав, порядок составления и предоставления отчетности за 1 квартал 2000 г., а также рекомендованы образцы отчетных форм. Организации самостоятельно, согласно общим требованиям, представленным в Положении по бухгалтерскому учету «Бухгалтерская отчетность» (ПБУ 4/99), должны разработать собственные формы отчетности.</w:t>
      </w:r>
    </w:p>
    <w:p w:rsidR="001A453C" w:rsidRDefault="001A453C">
      <w:pPr>
        <w:pStyle w:val="10"/>
        <w:widowControl/>
        <w:ind w:firstLine="426"/>
        <w:jc w:val="both"/>
        <w:rPr>
          <w:b/>
          <w:lang w:val="ru-RU"/>
        </w:rPr>
      </w:pPr>
      <w:r>
        <w:rPr>
          <w:lang w:val="ru-RU"/>
        </w:rPr>
        <w:t>При разработке новых форм отчетности организации в соответствии со своей спецификой обязаны сохранить коды групп статей, коды</w:t>
      </w:r>
      <w:r>
        <w:rPr>
          <w:b/>
          <w:lang w:val="ru-RU"/>
        </w:rPr>
        <w:t xml:space="preserve"> </w:t>
      </w:r>
      <w:r>
        <w:rPr>
          <w:lang w:val="ru-RU"/>
        </w:rPr>
        <w:t>строк разделов и коды итоговых строк бухгалтерского баланса.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b/>
          <w:lang w:val="ru-RU"/>
        </w:rPr>
        <w:t xml:space="preserve">Новым </w:t>
      </w:r>
      <w:r>
        <w:rPr>
          <w:lang w:val="ru-RU"/>
        </w:rPr>
        <w:t xml:space="preserve">указанием в приказе № 4н является то, что </w:t>
      </w:r>
      <w:r>
        <w:rPr>
          <w:b/>
          <w:lang w:val="ru-RU"/>
        </w:rPr>
        <w:t xml:space="preserve">организация может представлять в составе промежуточной (квартальной) бухгалтерской отчетности </w:t>
      </w:r>
      <w:r>
        <w:rPr>
          <w:lang w:val="ru-RU"/>
        </w:rPr>
        <w:t xml:space="preserve">кроме предусмотренных нормативными документами по бухгалтерскому учету формы № 1 и формы № 2 </w:t>
      </w:r>
      <w:r>
        <w:rPr>
          <w:b/>
          <w:lang w:val="ru-RU"/>
        </w:rPr>
        <w:t>и иные отчетные показатели (форму № 3</w:t>
      </w:r>
      <w:r>
        <w:rPr>
          <w:lang w:val="ru-RU"/>
        </w:rPr>
        <w:t xml:space="preserve">, </w:t>
      </w:r>
      <w:r>
        <w:rPr>
          <w:b/>
          <w:lang w:val="ru-RU"/>
        </w:rPr>
        <w:t>4 и 5), а также пояснительную записку. (п. 2, статья 2).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Организации могут в отчете о прибылях и убытках (форма № 2) показатели, приведенные в разделе «Расшифровка отдельных прибылей и убытков» образца формы, представлять в виде расшифровок к соответствующим статьям отчета («в том числе» или «из них»).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Отдельные показатели, включенные в приложение к бухгалтерскому балансу (форма № 5) согласно образцу формы, допускается представлять в виде самостоятельных форм бухгалтерской отчетности или включать в пояснительную записку.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Если организация принимает решение в представляемой бухгалтерской отчетности раскрывать по каждому числовому показателю данные более чем за два года (три и более лет), то организацией обеспечивается при разработке, принятии и изготовлении бланков форм достаточное количество граф (строк), необходимых для такого раскрытия.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Пояснительная записка к годовой бухгалтерской отчетности должна содержать существенную информацию об организации, ее финансовом положении, сопоставимости данных за отчетный и предшествующий ему годы, методах оценки и существенных статьях бухгалтерской отчетности.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В пояснительной записке должно сообщаться о фактах неприменения правил бухгалтерского учета в случаях, когда они не позволяют достоверно отразить имущественное состояние и финансовые результаты деятельности организации с соответствующим обоснованием. В противном случае неприменение правил бухгалтерского учета рассматривается как уклонение от их выполнения и признается нарушением законодательства Российской Федерации о бухгалтерском учете.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В пояснительной записке к бухгалтерской отчетности организация объявляет об изменениях в своей учетной политике на следующий отчетный год [1, статья.13.4].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Эта статья российского закона соответствует международному стандарту бухгалтерского учета № 5 «Данные финансовых отчетов» (</w:t>
      </w:r>
      <w:r>
        <w:t>IAS</w:t>
      </w:r>
      <w:r>
        <w:rPr>
          <w:lang w:val="ru-RU"/>
        </w:rPr>
        <w:t xml:space="preserve"> 5-77). В нем сказано, что финансовые отчеты составляются, помимо прочего, и для удобства оценки и принятия финансовых решений. Если в отчете нет ясности и четкости, на его основе невозможно выносить ответственные решения и суждения. Это в полной мере должно относиться и к сведениям, содержащимся в российской бухгалтерской отчетности.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В стандарте № 5, в п. 9, указано, что в финансовых отчетах должны содержаться соответствующие цифры за предшествующий период. Это несомненно повышает аналитичность отчетов. Однако в российской бухгалтерской отчетности этому пункту соответствуют только формы № 1 и 2, а формы № 3, 4, 5 и 6  лишь частично содержат сведения прошлого периода, что затрудняет проведение финансового анализа. Для того чтобы сделать правильные выводы и принять верное решение, необходимо располагать не только отчетами за текущий период времени, но и за прошлые периоды, которые доступны не для любого пользователя.</w:t>
      </w:r>
    </w:p>
    <w:p w:rsidR="001A453C" w:rsidRDefault="001A453C">
      <w:pPr>
        <w:pStyle w:val="10"/>
        <w:widowControl/>
        <w:ind w:firstLine="426"/>
        <w:jc w:val="both"/>
        <w:rPr>
          <w:b/>
          <w:i/>
          <w:lang w:val="ru-RU"/>
        </w:rPr>
      </w:pPr>
      <w:r>
        <w:rPr>
          <w:b/>
          <w:i/>
          <w:lang w:val="ru-RU"/>
        </w:rPr>
        <w:t xml:space="preserve">В </w:t>
      </w:r>
      <w:r>
        <w:rPr>
          <w:b/>
          <w:lang w:val="ru-RU"/>
        </w:rPr>
        <w:t xml:space="preserve">состав </w:t>
      </w:r>
      <w:r>
        <w:rPr>
          <w:b/>
          <w:i/>
          <w:lang w:val="ru-RU"/>
        </w:rPr>
        <w:t>бухгалтерской отчетности включаются: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а) бухгалтерский баланс – форма № 1;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б) отчет о прибылях и убытках – форма № 2;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в) приложения к ним, в частности: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– отчет о об изменениях капитала – форма № 3;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– отчет о движении денежных средств – форма № 4;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– приложение к бухгалтерскому балансу – форма № 5;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– отчет о целевом использовании полученных средств – форма № 6 (годовая) – для общественных организаций (объединений);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– пояснительная записка;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– итоговая часть аудиторского заключения, выданного по результатам обязательного по законодательству Российской Федерации аудита бухгалтерской отчетности.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Субъекты малого предпринимательства, не применяющие в соответствии с законодательством упрощенную систему налогообложения, учета и отчетности и не обязанные проводить независимую аудиторскую проверку, имеют право не представлять составляющие годовой бухгалтерской отчетности, формы № 3, 4, 5 и пояснительную записку.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Общественные организации (объединения), не осуществляющие предпринимательскую деятельность и не имеющие, кроме выбывшего имущества, оборотов по реализации товаров (работ, услуг), не представляют в составе годовой бухгалтерской отчетности формы № 3, 4, 5 и пояснительную записку.</w:t>
      </w:r>
    </w:p>
    <w:p w:rsidR="001A453C" w:rsidRDefault="001A453C">
      <w:pPr>
        <w:pStyle w:val="10"/>
        <w:widowControl/>
        <w:ind w:firstLine="426"/>
        <w:jc w:val="both"/>
        <w:rPr>
          <w:b/>
          <w:i/>
          <w:lang w:val="ru-RU"/>
        </w:rPr>
      </w:pPr>
      <w:r>
        <w:rPr>
          <w:b/>
          <w:i/>
          <w:lang w:val="ru-RU"/>
        </w:rPr>
        <w:t>Пользователи бухгалтерской отчетности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Работа по анализу бухгалтерской отчетности должна удовлетворять многим требованиям. Круг пользователей содержащейся в финансовых документах информации включает различные категории – от серьезных аналитиков до случайных «любителей». Все они пользуются информацией о вашем предприятии, но с разной степенью понимания и компетенции.</w:t>
      </w:r>
    </w:p>
    <w:p w:rsidR="001A453C" w:rsidRDefault="001A453C">
      <w:pPr>
        <w:pStyle w:val="10"/>
        <w:widowControl/>
        <w:ind w:firstLine="426"/>
        <w:jc w:val="both"/>
        <w:rPr>
          <w:i/>
          <w:lang w:val="ru-RU"/>
        </w:rPr>
      </w:pPr>
      <w:r>
        <w:rPr>
          <w:lang w:val="ru-RU"/>
        </w:rPr>
        <w:t xml:space="preserve">Бухгалтерская отчетность в России представляет интерес </w:t>
      </w:r>
      <w:r>
        <w:rPr>
          <w:b/>
          <w:i/>
          <w:lang w:val="ru-RU"/>
        </w:rPr>
        <w:t>для двух групп внешних и одной группы внутренних пользователей</w:t>
      </w:r>
      <w:r>
        <w:rPr>
          <w:i/>
          <w:lang w:val="ru-RU"/>
        </w:rPr>
        <w:t>: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1. Непосредственно заинтересованных в деятельности организации.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2. Опосредованно заинтересованных в ней.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b/>
          <w:lang w:val="ru-RU"/>
        </w:rPr>
        <w:t xml:space="preserve">К </w:t>
      </w:r>
      <w:r>
        <w:rPr>
          <w:b/>
          <w:i/>
          <w:lang w:val="ru-RU"/>
        </w:rPr>
        <w:t xml:space="preserve">первой группе </w:t>
      </w:r>
      <w:r>
        <w:rPr>
          <w:lang w:val="ru-RU"/>
        </w:rPr>
        <w:t>относятся следующие пользователи: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а) государство, прежде всего в лице налоговых органов, которые проверяют правильность составления отчетных документов, расчета налогов, определяют налоговую политику;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б) существующие и потенциальные кредиторы, использующие отчетность для оценки целесообразности предоставления или продления кредита, определения условий кредитования, усиления гарантий возврата кредита, оценки доверия к организации как к клиенту;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в) поставщики и покупатели, определяющие надежность деловых связей с данным клиентом;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г) существующие и потенциальные собственники средств организации, которым необходимо определить увеличение или уменьшение доли собственных средств и оценить эффективность использования ресурсов для руководства организации;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д) потенциальные служащие, интересующиеся данными отчетности с точки зрения уровня их заработной платы и перспектив работы в данной организации.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b/>
          <w:i/>
          <w:lang w:val="ru-RU"/>
        </w:rPr>
        <w:t xml:space="preserve">Вторая группа </w:t>
      </w:r>
      <w:r>
        <w:rPr>
          <w:lang w:val="ru-RU"/>
        </w:rPr>
        <w:t>внешних пользователей бухгалтерской отчетности – это те, кто непосредственно не заинтересован в деятельности предприятия. Однако изучение отчетности им необходимо для того, чтобы защитить интересы первой группы пользователей отчетности. К этой группе относятся: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а) аудиторские службы, проверяющие соответствие данных отчетности соответствующим правилам с целью защиты интересов инвесторов;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б) консультанты по финансовым вопросам, использующие отчетность в целях выработки рекомендаций своим клиентам относительно помещения их капиталов в ту или иную компанию;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в) биржи ценных бумаг, оценивающие информацию, представленную в отчетности, при регистрации соответствующих фирм, принимающие решения о приостановке деятельности какой-либо компании, оценивающие необходимость изменения методов учета и составления отчетности;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г) законодательные органы;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д) юристы, нуждающиеся в отчетной информации для оценки выполнения условий контрактов, соблюдения законодательных норм при распределении прибыли и выплате дивидендов, а также для определения условий пенсионного обеспечения;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е) пресса и информационные агентства, использующие отчетность для подготовки обзоров, оценки тенденций развития и анализа деятельности отдельных компаний и отраслей, расчета обобщающих показателей финансовой деятельности;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ж) государственные организации по статистике, использующие отчетность для статистических обобщений по отраслям и сравнительного анализа и оценки результатов деятельности на отраслевом уровне;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з) профсоюзы, заинтересованные в отчетной информации для определения своих требований в отношении заработной платы и условий трудовых соглашений, а также для оценки тенденций развития отрасли, к которой относится данная организация.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 xml:space="preserve">К </w:t>
      </w:r>
      <w:r>
        <w:rPr>
          <w:b/>
          <w:i/>
          <w:lang w:val="ru-RU"/>
        </w:rPr>
        <w:t>внутренним пользователям</w:t>
      </w:r>
      <w:r>
        <w:rPr>
          <w:i/>
          <w:lang w:val="ru-RU"/>
        </w:rPr>
        <w:t xml:space="preserve"> </w:t>
      </w:r>
      <w:r>
        <w:rPr>
          <w:lang w:val="ru-RU"/>
        </w:rPr>
        <w:t>отчетности относятся высшее руководство организации, общее собрание участников, управляющие соответствующих уровней, которые по данным отчетности определяют правильность принятых инвестиционных решений и эффективность структуры капитала, определяют основные направления политики дивидендов, составляют прогнозные формы отчетности и осуществляют предварительные расчеты финансовых показателей предстоящих отчетных периодов, оценивают возможности слияния с другой организацией или ее приобретения, структурной реорганизации; а также работники организации.</w:t>
      </w:r>
    </w:p>
    <w:p w:rsidR="001A453C" w:rsidRDefault="001A453C">
      <w:pPr>
        <w:pStyle w:val="10"/>
        <w:widowControl/>
        <w:ind w:firstLine="426"/>
        <w:jc w:val="both"/>
        <w:rPr>
          <w:b/>
          <w:lang w:val="ru-RU"/>
        </w:rPr>
      </w:pPr>
      <w:r>
        <w:rPr>
          <w:b/>
          <w:i/>
          <w:lang w:val="ru-RU"/>
        </w:rPr>
        <w:t xml:space="preserve">Отчетный период н отчетная </w:t>
      </w:r>
      <w:r>
        <w:rPr>
          <w:b/>
          <w:lang w:val="ru-RU"/>
        </w:rPr>
        <w:t>дата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Отчетным периодом для всех организаций является календарный год – с 1 января по 31 декабря включительно [1, статья 14.1].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Отчетная дата – дата, по состоянию на которую организация должна составлять бухгалтерскую отчетность [4, п. 4].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Для составления бухгалтерской отчетности отчетной датой считается последний календарный день отчетного периода [4,  п. 12].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Организация должна сформировать периодическую бухгалтерскую отчетность не позднее чем по прошествии 30 дней после окончания отчетного периода, если иное не предусмотрено законодательством РФ [4, п. 51].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Первым отчетным годом для вновь созданных организаций считается период с даты их государственной регистрации по 31 декабря соответствующего года, а для организаций, созданных после 1 октября, – по 31 декабря следующего года [1, статья 14.2].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Данные о хозяйственных операциях, проведенных до государственной регистрации организаций, включаются в их бухгалтерскую отчетность за первый отчетный год [1, статья 14.2].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Месячная и квартальная отчетность является промежуточной и составляется нарастающим итогом с начала отчетного года [1, ст. 14.2].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С 1 января 1999 г. введено в действие Положение по бухгалтерскому учету «События после отчетной даты» (ПБУ 7/98).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Положение устанавливает порядок отражения в бухгалтерской отчетности коммерческих организаций (кроме кредитных организаций), являющихся юридическими лицами по законодательству Российской Федерации, событий после отчетной даты.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i/>
          <w:lang w:val="ru-RU"/>
        </w:rPr>
        <w:t xml:space="preserve">Событием после отчетной даты </w:t>
      </w:r>
      <w:r>
        <w:rPr>
          <w:lang w:val="ru-RU"/>
        </w:rPr>
        <w:t>признается факт хозяйственной деятельности, который оказал или может оказать влияние на финансовое состояние, движение денежных средств или результаты деятельности организации и который имел место в период между отчетной датой и датой подписания бухгалтерской отчетности за каждый год.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Событием после отчетной даты признается также объявление годовых дивидендов по результатам деятельности акционерного общества за отчетный год.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К событиям после отчетной даты относятся: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события, подтверждающие существование на отчетную дату хозяйственных условий, в которых организация вела свою деятельность;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события, свидетельствующие о возникших после отчетной даты хозяйственных условиях, в которых организация ведет свою деятельность.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Примерный перечень фактов хозяйственной деятельности, которые могут быть признаны событием после отчетной даты, приведен в приложении к настоящему Положению [12, п. 2].</w:t>
      </w:r>
    </w:p>
    <w:p w:rsidR="001A453C" w:rsidRDefault="001A453C">
      <w:pPr>
        <w:pStyle w:val="10"/>
        <w:widowControl/>
        <w:ind w:firstLine="426"/>
        <w:jc w:val="both"/>
        <w:rPr>
          <w:b/>
          <w:i/>
          <w:lang w:val="ru-RU"/>
        </w:rPr>
      </w:pPr>
      <w:r>
        <w:rPr>
          <w:b/>
          <w:i/>
          <w:lang w:val="ru-RU"/>
        </w:rPr>
        <w:t xml:space="preserve">Нормативная </w:t>
      </w:r>
      <w:r>
        <w:rPr>
          <w:b/>
          <w:lang w:val="ru-RU"/>
        </w:rPr>
        <w:t xml:space="preserve">база </w:t>
      </w:r>
      <w:r>
        <w:rPr>
          <w:b/>
          <w:i/>
          <w:lang w:val="ru-RU"/>
        </w:rPr>
        <w:t>составления бухгалтерской отчетности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Нормативной базой составления бухгалтерской отчетности является: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1. Федеральный закон «0 бухгалтерском учете» от 12 ноября 1996 г. № 129-ФЗ.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2. Федеральный закон «0 несостоятельности (банкротстве)» от 8 января 1998 г. № 6-ФЗ.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3. Положение по бухгалтерскому учету «Учетная политика предприятий», утвержденное приказом Минфина РФ № 60н от 9 декабря 1998 г. (ПБУ 1/98).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4. Положение по бухгалтерскому учету «Бухгалтерская отчетность организаций», утвержденное приказом Минфина РФ № 43н от 6 июля 1999 г. (ПБУ 4/99) (действует с 01.01.2000).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5. Положение по бухгалтерскому учету «Учет основных средств» (ПБУ 6/97) от 3 сентября 1997 г. № 65н.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6. План счетов бухгалтерского учета финансово-хозяйственной деятельности предприятий и Инструкция по его применению, утвержденные приказом Минфина СССР от 1 ноября 1991 г. № 56, с учетом изменений, утвержденных приказами Минфина РФ от</w:t>
      </w:r>
      <w:r>
        <w:rPr>
          <w:b/>
          <w:lang w:val="ru-RU"/>
        </w:rPr>
        <w:t xml:space="preserve"> </w:t>
      </w:r>
      <w:r>
        <w:rPr>
          <w:lang w:val="ru-RU"/>
        </w:rPr>
        <w:t>28 декабря 1994 г. № 173, от 27 марта 199б г. № 91, от  17 февраля 1997 г. Ж 15, от 21 ноября 1997 г. М 81н и ведомственными документами, согласованными с Минфином РФ.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7. Приказ Минфина РФ от 13 января 2000 г. № 4н «0 формах бухгалтерской отчетности организаций».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8. Положение по бухгалтерскому учету «События после отчетной даты» (ПБУ 7/98), утвержденное приказом Минфина РФ от 25 ноября 1998 г. № 56н.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9. Положение по бухгалтерскому учету «Условные факты хозяйственной деятельности» (ПБУ 8/98), утвержденное приказом Минфина РФ от 25 ноября 1998 г. № 57н.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10. Положение по бухгалтерскому учету «Доходы организации» (ПБУ 9/99), утвержденное приказом Минфина РФ от 6 мая 1999 г. № 32н.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11. Положение по бухгалтерскому учету «Расходы организации» (ПБУ 10/99), утвержденное приказом Минфина РФ от 6 мая 1999 г. № 33н.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12. Положение по бухгалтерскому учету «Учет активов и обязательств, стоимость которых выражена в иностранной валюте» ПДБУ 3/2000), утвержденное приказом Минфина РФ от 10 января 2000 г. № 2н.</w:t>
      </w:r>
    </w:p>
    <w:p w:rsidR="001A453C" w:rsidRDefault="001A453C">
      <w:pPr>
        <w:pStyle w:val="10"/>
        <w:widowControl/>
        <w:ind w:firstLine="426"/>
        <w:jc w:val="both"/>
        <w:rPr>
          <w:b/>
          <w:i/>
          <w:lang w:val="ru-RU"/>
        </w:rPr>
      </w:pPr>
      <w:r>
        <w:rPr>
          <w:b/>
          <w:i/>
          <w:lang w:val="ru-RU"/>
        </w:rPr>
        <w:t xml:space="preserve">Бухгалтерская отчетность </w:t>
      </w:r>
      <w:r>
        <w:rPr>
          <w:b/>
          <w:lang w:val="ru-RU"/>
        </w:rPr>
        <w:t xml:space="preserve">подразделений </w:t>
      </w:r>
      <w:r>
        <w:rPr>
          <w:b/>
          <w:i/>
          <w:lang w:val="ru-RU"/>
        </w:rPr>
        <w:t>организации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Организация составляет бухгалтерскую отчетность, отражающую состав имущества и источники его формирования, включая имущество производств, хозяйств, иных структурных подразделений, выделенных на отдельный баланс и не являющихся юридическими лицами [6, п. 31].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Под отдельным балансом понимается система показателей, формируемы подразделением организации и отражающая его имущественное и финансовое положение на отчетную дату для управления организацией, в том числе составление бухгалтерской отчетности.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В случае наличия у организации дочерних и зависимых обществ, помимо собственного бухгалтерского отчета, составляется сводная бухгалтерская отчетность, включающая показатели отчетов таких обществ, находящихся на территории Российской Федерации и за ее пределами, в порядке, установленном Министерством финансов Российской Федерации [6, п. 31].</w:t>
      </w:r>
    </w:p>
    <w:p w:rsidR="001A453C" w:rsidRDefault="001A453C">
      <w:pPr>
        <w:pStyle w:val="10"/>
        <w:widowControl/>
        <w:ind w:firstLine="426"/>
        <w:jc w:val="both"/>
        <w:rPr>
          <w:b/>
          <w:i/>
          <w:lang w:val="ru-RU"/>
        </w:rPr>
      </w:pPr>
      <w:r>
        <w:rPr>
          <w:b/>
          <w:lang w:val="ru-RU"/>
        </w:rPr>
        <w:t xml:space="preserve">Порядок </w:t>
      </w:r>
      <w:r>
        <w:rPr>
          <w:b/>
          <w:i/>
          <w:lang w:val="ru-RU"/>
        </w:rPr>
        <w:t>подписания бухгалтерской отчетности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Бухгалтерская отчетность подписывается руководителем и главным бухгалтером (бухгалтером) организации [1, статья 13.5].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При подписании бухгалтерского баланса, начиная с 1 квартала 2000 г., главный бухгалтер может указать номер своего квалификационного аттестата профессионального бухгалтера (если таковой имеется).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В организациях, где бухгалтерский учет ведется на договорных началах специализированной организацией (централизованной бухгалтерией) или специалистом, бухгалтерская отчетность подписывается руководителем организации, руководителем специализированной организации (централизованной бухгалтерии) либо специалистом, ведущим бухгалтерский учет.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В организациях, где бухгалтерский учет ведется централизованной бухгалтерией, специализированной организацией или бухгалтером-специалистом, отчетность подписывается руководителем организации, централизованной бухгалтерии или специализированной организации либо бухгалтером-специалистом, ведущим бухгалтерский учет [1, статья 13.5].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ПБУ 7/98 «События после отчетной даты» вводит новое понятие подписания бухгалтерской отчетности в систему регулирования бухгалтерского учета.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Датой подписания бухгалтерской отчетности считается дата, указанная в предоставляемой в адреса, определенные законодательством Российской Федерации, бухгалтерской отчетности при подписании ее в установленном порядке [12, п. 4].</w:t>
      </w:r>
    </w:p>
    <w:p w:rsidR="001A453C" w:rsidRDefault="001A453C">
      <w:pPr>
        <w:pStyle w:val="10"/>
        <w:widowControl/>
        <w:ind w:firstLine="426"/>
        <w:jc w:val="both"/>
        <w:rPr>
          <w:b/>
          <w:i/>
          <w:lang w:val="ru-RU"/>
        </w:rPr>
      </w:pPr>
      <w:r>
        <w:rPr>
          <w:b/>
          <w:lang w:val="ru-RU"/>
        </w:rPr>
        <w:t>Адреса и</w:t>
      </w:r>
      <w:r>
        <w:rPr>
          <w:b/>
          <w:i/>
          <w:lang w:val="ru-RU"/>
        </w:rPr>
        <w:t xml:space="preserve"> сроки представления бухгалтерской отчетности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Организации представляют годовую бухгалтерскую отчетность в соответствии с учредительными документами учредителям, участникам организации или собственникам ее имущества, а также территориальным органам государственной статистики по месту их регистрации. Государственные и муниципальные унитарные предприятия представляют бухгалтерскую отчетность органам, уполномоченным управлять государственным имуществом [1, статья 15.1].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Другим органам исполнительной власти, банкам и иным пользователям бухгалтерская отчетность представляется в соответствии с законодательством Российской Федерации [1, статья 15.1].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Организации обязаны представлять промежуточную (квартальную) бухгалтерскую отчетность в течение 30 дней по окончании квартала, а годовую – в течение 90 дней по окончании года, если иное не предусмотрено законодательством Российской Федерации [1, статья 15.2].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Представляемая годовая бухгалтерская отчетность должна быть утверждена в порядке, установленном учредительными документами организации [1, статья 15.2].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День представления организацией бухгалтерской отчетности определяется по дате ее почтового отправления или дате фактической передачи по принадлежности [1, статья 15.4</w:t>
      </w:r>
      <w:r>
        <w:t>]</w:t>
      </w:r>
      <w:r>
        <w:rPr>
          <w:lang w:val="ru-RU"/>
        </w:rPr>
        <w:t>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Если дата представления бухгалтерской отчетности приходится на нерабочий (выходной) день, то сроком представления бухгалтерской отчетности считается первый следующий за ним рабочий день [4, п. 47].</w:t>
      </w:r>
    </w:p>
    <w:p w:rsidR="001A453C" w:rsidRDefault="001A453C">
      <w:pPr>
        <w:pStyle w:val="10"/>
        <w:widowControl/>
        <w:ind w:firstLine="426"/>
        <w:jc w:val="both"/>
        <w:rPr>
          <w:b/>
          <w:i/>
          <w:lang w:val="ru-RU"/>
        </w:rPr>
      </w:pPr>
      <w:r>
        <w:rPr>
          <w:b/>
          <w:i/>
          <w:lang w:val="ru-RU"/>
        </w:rPr>
        <w:t>Порядок составления форм отчетности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В формах бухгалтерской отчетности приводятся все предусмотренные в них показатели.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В случае не заполнения той или иной статьи (строки, графы) типовой формы бухгалтерской отчетности ввиду отсутствия у организации соответствующих активов, пассивов, операций эта - статья (строка, графа) прочеркивается.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Если при составлении типовых форм бухгалтерской отчетности организацией выявляется недостаточность данных для формирования полного представления об имущественном и финансовом положении организации, а также финансовых результатах ее деятельности, то в бухгалтерскую отчетность организации включаются соответствующие дополнительные показатели.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При этом организация имеет право представлять формы бухгалтерской отчетности на бланках, изготовленных самостоятельно. В этом случае организация должна соблюдать требования, предусмотренные Положением по бухгалтерскому учету «Бухгалтерская отчетность организации» (ПБУ 4/99), утвержденным приказом Министерства финансов Российской Федерации от 6 июля 1999 г. № 43н. В представляемых формах бухгалтерской отчетности организации могут не приводиться статьи ввиду отсутствия у организации соответствующих активов, пассивов, хозяйственных операций, для раскрытия информации могут включаться дополнительные показатели. При этом должны быть сохранены коды строк по показателям, предусмотренным в типовых формах и сохраняемым организацией при заполнении, а также итоговые показатели и коды строк разделов и групп статей бухгалтерского баланса.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Заголовочная часть форм заполняется в следующем порядке: указание отчетной даты или отчетного периода, за который составлена бухгалтерская отчетность («на ...2000 г.», «за ...2000 г.»); реквизит «Организация» – указывается полное наименование юридического лица (в соответствии с учредительными документами, зарегистрированными в установленном порядке);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идентификационный номер налогоплательщика (ИНН) (указывается присвоенный налоговым органом в установленном порядке идентификационный номер налогоплательщика);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Реквизит «Вид деятельности» – указывается вид деятельности, который признается основным в соответствии с требованиями нормативных документов, утверждаемых Государственным  комитетом Российской федерации по статистике;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реквизит «Организационно-правовая форма/форма собственности» – по данной строке указывается организационно-правовая форма организации согласно Классификатору организационно-правовых форм хозяйствующих субъектов (КОПФ). При этом в левой половине графы указывается код по КОПФ, а в правой – код собственности по Классификатору форм собственности (КОФ);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реквизит «Единица измерения» – указывается формат представления числовых показателей: тыс. руб. – код по ОКЕИ 384,.  млн. руб. – код по ОКЕИ 385;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реквизит «Адрес» – указывается полный почтовый адрес организации;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реквизит «Дата утверждения» – указывается установленная дата для годовой бухгалтерской отчетности;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реквизит «Дата отправки/принятия» – указывается конкретная дата почтового отправления бухгалтерской отчетности или дата ее фактической передачи по принадлежности;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реквизит «Орган управления государственным имуществом» – организации, имеющие федеральное имущество и обязанные в соответствии с Постановлением Правительства РФ от 03.07.98 № 696 «Об организации учета федерального имущества» получить свидетельства о внесении в реестр указанного имущества, должны указать номер в реестре федеральной (государственной) собственности («Номер в реестре федерального (государственного) имущества») и наименование органа, на который возложены координация и регулирование деятельности государственного или муниципального унитарного предприятия и которому направляется бухгалтерская отчетность.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 xml:space="preserve">Составление и представление бухгалтерской отчетности производятся </w:t>
      </w:r>
      <w:r>
        <w:rPr>
          <w:i/>
          <w:lang w:val="ru-RU"/>
        </w:rPr>
        <w:t xml:space="preserve">в тысячах рублей </w:t>
      </w:r>
      <w:r>
        <w:rPr>
          <w:lang w:val="ru-RU"/>
        </w:rPr>
        <w:t xml:space="preserve">без десятичных знаков. Организациям, имеющим существенные объемы оборотов товаров, обязательств и т.п., разрешается представлять бухгалтерскую отчетность </w:t>
      </w:r>
      <w:r>
        <w:rPr>
          <w:i/>
          <w:lang w:val="ru-RU"/>
        </w:rPr>
        <w:t xml:space="preserve">в миллионах рублей </w:t>
      </w:r>
      <w:r>
        <w:rPr>
          <w:lang w:val="ru-RU"/>
        </w:rPr>
        <w:t>без десятичных знаков.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Субъекты малого предпринимательства, общественные организации (объединения) и иные организации при незначительной сумме активов, учитываемых в бухгалтерском балансе, и во избежание трудностей использования данных бухгалтерской отчетности могут составлять и представлять годовую бухгалтерскую отчетность в целых рублях.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Бухгалтерская отчетность должна быть составлена на русском языке [4, п. 15].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Бухгалтерская отчетность должна быть составлена в валюте Российской Федерации [4, п. 16].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Организация, подлежащая ликвидации или реорганизации, изменяющая государственную форму собственности на иную в отчетном году, представляет отчет по формам годовой бухгалтерской отчетности за период с начала года до момента ликвидации (реорганизации).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Вновь</w:t>
      </w:r>
      <w:r>
        <w:rPr>
          <w:b/>
          <w:lang w:val="ru-RU"/>
        </w:rPr>
        <w:t xml:space="preserve"> </w:t>
      </w:r>
      <w:r>
        <w:rPr>
          <w:lang w:val="ru-RU"/>
        </w:rPr>
        <w:t>созданная организация показывает в отчетности средства (по стоимости приобретения, получения) и их источники со дня ее государственной регистрации в установленном порядке по 31 декабря включительно отчетного года, а для организации</w:t>
      </w:r>
      <w:r>
        <w:rPr>
          <w:b/>
          <w:lang w:val="ru-RU"/>
        </w:rPr>
        <w:t xml:space="preserve">, </w:t>
      </w:r>
      <w:r>
        <w:rPr>
          <w:lang w:val="ru-RU"/>
        </w:rPr>
        <w:t>созданной после 1 октября отчетного года, включая 1 октября – по 31 декабря следующего года включительно (указанный порядок не распространяется на организации, созданные на базе ликвидированных (реорганизованных) организаций, их структурных подразделений).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Организация, передающая и приобретающая (получающая) новые подразделения не по состоянию на 1 января, в пояснительной записке приводит объяснения несоответствия данных баланса на начало и конец отчетного года.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ПБУ 7/98 «События после отчетной даты» и ПБУ 8/98» Условные факты хозяйственной деятельности» устанавливают правила отражения указанных событий и фактов в бухгалтерской отчетности. При этом события после отчетной даты и условные факты отражаются в бухгалтерском учете в зависимости от их существенности (значимости). Существенность фактов и событий определяется организацией самостоятельно, исходя из требований положений по бухгалтерскому учету.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Последствия событий после отчетной даты и условных фактов оцениваются в денежном выражении в специальном расчете и показываются в бухгалтерской отчетности либо путем отражения в синтетическом и аналитическом учете заключительными оборотами отчетного периода до утверждения годовой бухгалтерской отчетности, либо путем раскрытия соответствующей информации в пояснениях к бухгалтерскому балансу и отчету о Финансовых результатах. При этом условны прибыль как финансовый результат условного факта раскрывается только в пояснениях к бухгалтерскому балансу и отчету о прибыли и убытках за отчетный период, а в синтетическом и аналитическом учете отчетного периода записи об условной прибыли не производятся.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Порядок расчета отражения в бухгалтерском учете и отчетности после отчетной даты и условных фактов устанавливается отдельным положением по бухгалтерскому учету, которое пока не разработано.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В отдельных случаях, когда раскрытие информации по условным фактам хозяйственной деятельности может отрицательно повлиять на вероятность наступления этих фактов, организация может не раскрывать информацию в полном объеме, а указать в пояснениях к отчету о прибылях и убытках лишь общий характер условного факта и причину, из-за которой более подробная информация ре раскрывается. Вопросы, регулируемые ПБУ  7/98 «События после отчетной даты» и ПБУ 8/98 «Условные факты хозяйственной деятельности», тесно связаны с ПБУ 4/99 «Бухгалтерская отчетность организации».</w:t>
      </w:r>
    </w:p>
    <w:p w:rsidR="001A453C" w:rsidRDefault="001A453C">
      <w:pPr>
        <w:pStyle w:val="10"/>
        <w:widowControl/>
        <w:ind w:firstLine="426"/>
        <w:jc w:val="both"/>
        <w:rPr>
          <w:b/>
          <w:i/>
          <w:lang w:val="ru-RU"/>
        </w:rPr>
      </w:pPr>
      <w:r>
        <w:rPr>
          <w:b/>
          <w:i/>
          <w:lang w:val="ru-RU"/>
        </w:rPr>
        <w:t>Порядок внесения изменений в отчетность организации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Изменения в бухгалтерской отчетности, относящиеся как к текущему, так и к прошлому году (после ее утверждения), производятся в отчетности, составляемой за отчетный период, в котором были обнаружены искажения ее данных.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Прибыль или убыток, выявленные в отчетном году, но относящиеся к операциям прошлых лет, включаются в финансовые результаты отчетного года.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Исправления ошибок в бухгалтерской отчетности подтверждаются подписью лиц, ее подписавших, с указанием даты исправления. Исправление отчетных данных как текущего, так и прошлого года (после их утверждения) производится в бухгалтерской отчетности, составленной за отчетный период, в котором были обнаружены искажения ее данных, причем исправления вносятся в данные за отчетный период (квартал, с начала года). Если не установлен период совершения искажения, исправление отчетных данных производится в аналогичном порядке. Указанный порядок исправления отчетных данных применяется при выявлении искажений отчетных данных в ходе проверок и инвентаризаций, проводимых самой организацией и контролирующими органами.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В случаях установления в ходе проверки годового бухгалтерского отчета занижения доходов или финансовых результатов при отнесении на издержки производства не связанных с ним затрат исправление в бухгалтерский учет и отчетность за прошлый год не вносится, а отражается в текущем году как прибыль прошлых лет, выявленная в отчетном периоде, в корреспонденции со счетами, по которым допущены искажения. Исправления неправильного исчисления затрат на производство, допущенного в результате того, что распределение отклонений фактической себестоимости сырья и материалов от их учетной (плановой) себестоимости (транспортно-заготовительных расходов) было искажено, а также допущено излишнее отражение затрат, относящихся к прошлому отчетному году, производятся записями по дебету счетов учета ценностей в корреспонденции со счетом «Прибыли и убытки».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В</w:t>
      </w:r>
      <w:r>
        <w:rPr>
          <w:b/>
          <w:lang w:val="ru-RU"/>
        </w:rPr>
        <w:t xml:space="preserve"> </w:t>
      </w:r>
      <w:r>
        <w:rPr>
          <w:lang w:val="ru-RU"/>
        </w:rPr>
        <w:t>тех случаях, когда в затраты на производство продукции включены расходы, подлежащие отнесению в соответствии с действующим законодательством на прибыль, оставшуюся в распоряжении организации, либо другие источники или излишне начислены амортизационные отчисления, исправления осуществляются путем уменьшения соответствующего источника на сумму указанных расходов (отчислений) в корреспонденции с кредитом счета «Прибыли и убытки».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С момента введения в действие Налогового кодекса РФ организация несет ответственность за каждое налоговое нарушение, и даже в тех случаях, когда оно выявлено и исправлено им самостоятельно. Ошибки, допущенные в бухгалтерском учете, ведут к неправильному исчислению налогооблагаемой базы или самой суммы налога. В результате организацией неправильно заполняется налоговая декларация, и сумма налога перечисляется в бюджет не в полном размере.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Когда налогоплательщиком выявлена ошибка самостоятельно, он должен внести изменения в налоговую декларацию. В этом случае организации придется доплатить неуплаченную сумму налога, пени за несвоевременную уплату налога и в ряде случаев штраф за нарушение правил составления налоговой декларации.</w:t>
      </w:r>
    </w:p>
    <w:p w:rsidR="001A453C" w:rsidRDefault="001A453C">
      <w:pPr>
        <w:pStyle w:val="10"/>
        <w:widowControl/>
        <w:ind w:firstLine="426"/>
        <w:jc w:val="both"/>
        <w:rPr>
          <w:b/>
          <w:i/>
          <w:lang w:val="ru-RU"/>
        </w:rPr>
      </w:pPr>
      <w:r>
        <w:rPr>
          <w:b/>
          <w:i/>
          <w:lang w:val="ru-RU"/>
        </w:rPr>
        <w:t>Требования к достоверности отчетности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Бухгалтерская отчетность должна давать достоверное и полное представление об имущественном и финансовом положении организации, а также финансовых результатах ее деятельности. Достоверной считается бухгалтерская отчетность, сформированная и составленная исходя из правил, установленных нормативными актами системы нормативного регулирования бухгалтерского учета Российской Федерации.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Если при составлении бухгалтерской отчетности исходя из правил</w:t>
      </w:r>
      <w:r>
        <w:rPr>
          <w:b/>
          <w:lang w:val="ru-RU"/>
        </w:rPr>
        <w:t xml:space="preserve"> </w:t>
      </w:r>
      <w:r>
        <w:rPr>
          <w:lang w:val="ru-RU"/>
        </w:rPr>
        <w:t>Положения ПБУ 4/99 организацией выявляется недостаточность данных для формирования полного представления об имущественном и финансовом положении организации, а также финансовых результатах ее деятельности, то в бухгалтерскую отчетность организации включаются соответствующие дополнительные показатели.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Информация, содержащаяся в бухгалтерской отчетности, основывается на данных синтетического и аналитического учета.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Данные вступительного баланса должны соответствовать данным утвержденного заключительного баланса за период, предшествующий отчетному [2, п. 35].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Статьи бухгалтерской отчетности, составляемой за отчетный год, должны подтверждаться результатами инвентаризации имущества и финансовых результатов в соответствии с Методическими указаниями по инвентаризации имущества и финансовых обязательств, утвержденными приказом Минфина России от 13 июня 1995 г. № 49.</w:t>
      </w:r>
    </w:p>
    <w:p w:rsidR="001A453C" w:rsidRDefault="001A453C">
      <w:pPr>
        <w:pStyle w:val="10"/>
        <w:widowControl/>
        <w:ind w:firstLine="426"/>
        <w:jc w:val="both"/>
        <w:rPr>
          <w:b/>
          <w:i/>
          <w:lang w:val="ru-RU"/>
        </w:rPr>
      </w:pPr>
      <w:r>
        <w:rPr>
          <w:b/>
          <w:i/>
          <w:lang w:val="ru-RU"/>
        </w:rPr>
        <w:t xml:space="preserve">Оценка </w:t>
      </w:r>
      <w:r>
        <w:rPr>
          <w:b/>
          <w:lang w:val="ru-RU"/>
        </w:rPr>
        <w:t xml:space="preserve">статей </w:t>
      </w:r>
      <w:r>
        <w:rPr>
          <w:b/>
          <w:i/>
          <w:lang w:val="ru-RU"/>
        </w:rPr>
        <w:t>бухгалтерской отчетности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Организация осуществляет оценку имущества, обязательств и хозяйственных операций в валюте, действующей на территории Российской Федерации, – в рублях.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В случаях, когда законодательство или правила страны – места ведения хозяйственной деятельности за пределами Российской Федерации – требуют составления бухгалтерской отчетности в иной валюте, бухгалтерская отчетность составляется также в этой иностранной валюте [9,. п. 6.1</w:t>
      </w:r>
      <w:r>
        <w:t>]</w:t>
      </w:r>
      <w:r>
        <w:rPr>
          <w:lang w:val="ru-RU"/>
        </w:rPr>
        <w:t>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Имущество, обязательства и хозяйственные операции для отражения в бухгалтерском учете и отчетности подлежат оценке. Оценка осуществляется в денежном выражении путем суммирования произведенных расходов.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Применение других видов оценок допускается в случаях, предусмотренных законодательством Российской Федерации [1, статья 11] или другими нормативными актами Министерства финансов Российской Федерации [2. п. 23</w:t>
      </w:r>
      <w:r>
        <w:t>]</w:t>
      </w:r>
      <w:r>
        <w:rPr>
          <w:lang w:val="ru-RU"/>
        </w:rPr>
        <w:t>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В бухгалтерской отчетности не допускается зачет между статьями активов и пассивов, статьями прибылей и убытков, кроме случаев, когда такой зачет предусмотрен соответствующими положениями по бухгалтерскому учету [4, п</w:t>
      </w:r>
      <w:r>
        <w:rPr>
          <w:i/>
          <w:lang w:val="ru-RU"/>
        </w:rPr>
        <w:t xml:space="preserve">. </w:t>
      </w:r>
      <w:r>
        <w:rPr>
          <w:lang w:val="ru-RU"/>
        </w:rPr>
        <w:t>34].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Бухгалтерский баланс должен включать числовые показатели в нетто-оценке, т.е. за вычетом регулирующих величин, которые должны раскрываться в пояснениях к бухгалтерскому балансу и отчету о прибылях и убытках [4. п. 35].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Отклонения от правил, предусмотренных пунктами 32 – 35, допускаются в исключительных случаях. Каждое отклонение должно быть раскрыто в пояснениях к бухгалтерскому балансу и отчету о прибылях и убытках вместе с указанием его причин, вызвавших эти отступления, и результата, который данные отступления оказали на понимание состояния о финансовом положении организации, отражение финансовых результатов ее деятельности и изменений в ее финансовом положении [4, п. 37].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Правила оценки отдельных статей бухгалтерской отчетности устанавливаются соответствующими положениями по бухгалтерскому учету [4, п. 36].</w:t>
      </w:r>
    </w:p>
    <w:p w:rsidR="001A453C" w:rsidRDefault="001A453C">
      <w:pPr>
        <w:pStyle w:val="10"/>
        <w:widowControl/>
        <w:ind w:firstLine="426"/>
        <w:jc w:val="both"/>
        <w:rPr>
          <w:b/>
          <w:i/>
          <w:lang w:val="ru-RU"/>
        </w:rPr>
      </w:pPr>
      <w:r>
        <w:rPr>
          <w:b/>
          <w:i/>
          <w:lang w:val="ru-RU"/>
        </w:rPr>
        <w:t>Публичность бухгалтерской отчетности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Акционерные общества открытого типа, банки и другие кредитные организации, страховые организации, биржи, инвестиционные и иные фонды, создающиеся за счет частных, общественных и государственных средств (взносов), обязаны публиковать годовую бухгалтерскую отчетность не позднее 1 июня года, следующего за отчетным [1, статья 16].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Пенсионный фонд Российской Федерации, Фонд социального страхования Российской Федерации, Государственный фонд занятости населения Российской Федерации и их представительства и филиалы на территории субъектов Российской Федерации, Федеральный фонд обязательного медицинского страхования и территориальные фонды обязательного медицинского, страхования, а также в случаях, установленных федеральными законами, иные организации обязаны публиковать квартальную бухгалтерскую отчетность [1, статья 16].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Публичность бухгалтерской отчетности заключается в ее опубликовании в газетах и журналах, доступных пользователям бухгалтерской отчетности, либо распространении среди них брошюр, буклетов и других изданий, содержащих бухгалтерскую отчетность, а также в ее передаче территориальным органам государственной статистики по месту регистрации организации для предоставления заинтересованным пользователям [1, статья 16].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В связи с этим Министерством финансов Российской Федерации утвержден порядок публикации бухгалтерской отчетности (приказ Минфина РФ № 101 от 28.11.97).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В частности, в этом приказе сказано, что акционерные общества могут публиковать сокращенную форму бухгалтерского баланса и отчета о прибылях и убытках.</w:t>
      </w:r>
    </w:p>
    <w:p w:rsidR="001A453C" w:rsidRDefault="001A453C">
      <w:pPr>
        <w:pStyle w:val="10"/>
        <w:widowControl/>
        <w:ind w:firstLine="426"/>
        <w:jc w:val="both"/>
        <w:rPr>
          <w:b/>
          <w:lang w:val="ru-RU"/>
        </w:rPr>
      </w:pPr>
      <w:r>
        <w:rPr>
          <w:b/>
          <w:lang w:val="ru-RU"/>
        </w:rPr>
        <w:t>Бухгалтерский баланс может быть представлен только итоговыми показателями по разделам, предусмотренным пунктом 20 ПБУ 4/99, при наличии одновременно следующих условий: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1) валюта баланса (на конец отчетного периода) не должна превышать четыреста тысячекратного размера минимальной оплаты труда (33 млн. 396 тыс. руб.);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2) выручка (нетто) от реализации товаров, продукции, работ, услуг за отчетный период не должна превышать миллионнократного размера минимальной оплаты труда (83 млн. 490 тыс. руб.).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Если эти показатели у организации больше, то бухгалтерский баланс публикуется полностью.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Что касается формы № 2 «Отчет о прибылях и убытках», то при ее публикации можно не включать промежуточные итоги, предусмотренные пунктом 23 ПБУ 4/99, а также не приводить статьи отчета, по которым у общества отсутствуют показатели.</w:t>
      </w:r>
    </w:p>
    <w:p w:rsidR="001A453C" w:rsidRDefault="001A453C">
      <w:pPr>
        <w:pStyle w:val="10"/>
        <w:widowControl/>
        <w:ind w:firstLine="426"/>
        <w:jc w:val="both"/>
        <w:rPr>
          <w:b/>
          <w:i/>
          <w:lang w:val="ru-RU"/>
        </w:rPr>
      </w:pPr>
      <w:r>
        <w:rPr>
          <w:b/>
          <w:i/>
          <w:lang w:val="ru-RU"/>
        </w:rPr>
        <w:t>Анализ бухгалтерской отчетности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По нашему мнению, методика анализа бухгалтерской отчетности организации должна состоять из трех больших взаимосвязанных блоков: анализа финансового положения, анализа финансовых результатов и деловой активности и оценки возможных перспектив развития организации. Последовательность анализа можно представить в следующем виде (рисунок 1.1.).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  <w:sectPr w:rsidR="001A453C">
          <w:type w:val="continuous"/>
          <w:pgSz w:w="9185" w:h="12984" w:code="1"/>
          <w:pgMar w:top="737" w:right="1814" w:bottom="2211" w:left="1134" w:header="737" w:footer="1985" w:gutter="0"/>
          <w:cols w:space="720"/>
          <w:noEndnote/>
        </w:sectPr>
      </w:pPr>
    </w:p>
    <w:p w:rsidR="001A453C" w:rsidRDefault="00B9281D">
      <w:pPr>
        <w:pStyle w:val="10"/>
        <w:widowControl/>
        <w:ind w:firstLine="426"/>
        <w:jc w:val="both"/>
        <w:rPr>
          <w:lang w:val="ru-RU"/>
        </w:rPr>
      </w:pPr>
      <w:r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7.3pt;margin-top:9.35pt;width:172.8pt;height:21.6pt;z-index:251647488" o:allowincell="f">
            <v:textbox>
              <w:txbxContent>
                <w:p w:rsidR="001A453C" w:rsidRDefault="001A453C">
                  <w:pPr>
                    <w:jc w:val="center"/>
                  </w:pPr>
                  <w:r>
                    <w:t>Анализ бухгалтерской отчетности</w:t>
                  </w:r>
                </w:p>
              </w:txbxContent>
            </v:textbox>
          </v:shape>
        </w:pic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</w:p>
    <w:p w:rsidR="001A453C" w:rsidRDefault="00B9281D">
      <w:pPr>
        <w:pStyle w:val="10"/>
        <w:widowControl/>
        <w:ind w:firstLine="426"/>
        <w:jc w:val="both"/>
        <w:rPr>
          <w:lang w:val="ru-RU"/>
        </w:rPr>
      </w:pPr>
      <w:r>
        <w:rPr>
          <w:noProof/>
          <w:snapToGrid/>
        </w:rPr>
        <w:pict>
          <v:line id="_x0000_s1034" style="position:absolute;left:0;text-align:left;z-index:251655680" from="166.5pt,7.95pt" to="166.5pt,29.55pt" o:allowincell="f"/>
        </w:pic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</w:p>
    <w:p w:rsidR="001A453C" w:rsidRDefault="00B9281D">
      <w:pPr>
        <w:pStyle w:val="10"/>
        <w:widowControl/>
        <w:ind w:firstLine="426"/>
        <w:jc w:val="both"/>
        <w:rPr>
          <w:lang w:val="ru-RU"/>
        </w:rPr>
      </w:pPr>
      <w:r>
        <w:rPr>
          <w:noProof/>
          <w:snapToGrid/>
        </w:rPr>
        <w:pict>
          <v:shape id="_x0000_s1033" type="#_x0000_t202" style="position:absolute;left:0;text-align:left;margin-left:260.1pt;margin-top:6.55pt;width:36pt;height:129.6pt;z-index:251654656" o:allowincell="f">
            <v:textbox style="layout-flow:vertical;mso-layout-flow-alt:bottom-to-top">
              <w:txbxContent>
                <w:p w:rsidR="001A453C" w:rsidRDefault="001A453C">
                  <w:r>
                    <w:t>Анализ дивидендности (для акционерных обществ)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shape id="_x0000_s1032" type="#_x0000_t202" style="position:absolute;left:0;text-align:left;margin-left:209.7pt;margin-top:6.55pt;width:50.4pt;height:129.6pt;z-index:251653632" o:allowincell="f">
            <v:textbox style="layout-flow:vertical;mso-layout-flow-alt:bottom-to-top">
              <w:txbxContent>
                <w:p w:rsidR="001A453C" w:rsidRDefault="001A453C">
                  <w:pPr>
                    <w:jc w:val="center"/>
                  </w:pPr>
                  <w:r>
                    <w:t>Анализ прибыльности и фактов, влияющих на финансовый результат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shape id="_x0000_s1031" type="#_x0000_t202" style="position:absolute;left:0;text-align:left;margin-left:159.3pt;margin-top:6.55pt;width:50.4pt;height:129.6pt;z-index:251652608" o:allowincell="f">
            <v:textbox style="layout-flow:vertical;mso-layout-flow-alt:bottom-to-top">
              <w:txbxContent>
                <w:p w:rsidR="001A453C" w:rsidRDefault="001A453C">
                  <w:pPr>
                    <w:pStyle w:val="a5"/>
                  </w:pPr>
                  <w:r>
                    <w:t>Анализ потоков денежных средств и деловой активности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shape id="_x0000_s1030" type="#_x0000_t202" style="position:absolute;left:0;text-align:left;margin-left:130.5pt;margin-top:6.55pt;width:28.8pt;height:129.6pt;z-index:251651584" o:allowincell="f">
            <v:textbox style="layout-flow:vertical;mso-layout-flow-alt:bottom-to-top">
              <w:txbxContent>
                <w:p w:rsidR="001A453C" w:rsidRDefault="001A453C">
                  <w:pPr>
                    <w:pStyle w:val="a5"/>
                  </w:pPr>
                  <w:r>
                    <w:t>Анализ движения капитала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shape id="_x0000_s1029" type="#_x0000_t202" style="position:absolute;left:0;text-align:left;margin-left:87.3pt;margin-top:6.55pt;width:43.2pt;height:129.6pt;z-index:251650560" o:allowincell="f">
            <v:textbox style="layout-flow:vertical;mso-layout-flow-alt:bottom-to-top">
              <w:txbxContent>
                <w:p w:rsidR="001A453C" w:rsidRDefault="001A453C">
                  <w:pPr>
                    <w:pStyle w:val="a5"/>
                  </w:pPr>
                  <w:r>
                    <w:t>Анализ финансовой устойчивости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shape id="_x0000_s1028" type="#_x0000_t202" style="position:absolute;left:0;text-align:left;margin-left:36.9pt;margin-top:6.55pt;width:50.4pt;height:129.6pt;z-index:251649536" o:allowincell="f">
            <v:textbox style="layout-flow:vertical;mso-layout-flow-alt:bottom-to-top">
              <w:txbxContent>
                <w:p w:rsidR="001A453C" w:rsidRDefault="001A453C">
                  <w:pPr>
                    <w:pStyle w:val="a4"/>
                    <w:jc w:val="center"/>
                  </w:pPr>
                  <w:r>
                    <w:t>Анализ ликвидности средств и платежеспособности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shape id="_x0000_s1027" type="#_x0000_t202" style="position:absolute;left:0;text-align:left;margin-left:.9pt;margin-top:6.55pt;width:36pt;height:129.6pt;z-index:251648512" o:allowincell="f">
            <v:textbox style="layout-flow:vertical;mso-layout-flow-alt:bottom-to-top">
              <w:txbxContent>
                <w:p w:rsidR="001A453C" w:rsidRDefault="001A453C">
                  <w:pPr>
                    <w:jc w:val="center"/>
                  </w:pPr>
                  <w:r>
                    <w:t>Общая оценка структуры активов и их источников</w:t>
                  </w:r>
                </w:p>
              </w:txbxContent>
            </v:textbox>
          </v:shape>
        </w:pic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</w:p>
    <w:p w:rsidR="001A453C" w:rsidRDefault="00B9281D">
      <w:pPr>
        <w:pStyle w:val="10"/>
        <w:widowControl/>
        <w:ind w:firstLine="426"/>
        <w:jc w:val="both"/>
        <w:rPr>
          <w:lang w:val="ru-RU"/>
        </w:rPr>
      </w:pPr>
      <w:r>
        <w:rPr>
          <w:noProof/>
          <w:snapToGrid/>
        </w:rPr>
        <w:pict>
          <v:line id="_x0000_s1040" style="position:absolute;left:0;text-align:left;z-index:251661824" from="144.9pt,9.65pt" to="144.9pt,31.25pt" o:allowincell="f">
            <v:stroke endarrow="block"/>
          </v:line>
        </w:pic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</w:p>
    <w:p w:rsidR="001A453C" w:rsidRDefault="00B9281D">
      <w:pPr>
        <w:pStyle w:val="10"/>
        <w:widowControl/>
        <w:ind w:firstLine="426"/>
        <w:jc w:val="both"/>
        <w:rPr>
          <w:lang w:val="ru-RU"/>
        </w:rPr>
      </w:pPr>
      <w:r>
        <w:rPr>
          <w:noProof/>
          <w:snapToGrid/>
        </w:rPr>
        <w:pict>
          <v:shape id="_x0000_s1035" type="#_x0000_t202" style="position:absolute;left:0;text-align:left;margin-left:87.3pt;margin-top:8.25pt;width:108pt;height:21.6pt;z-index:251656704" o:allowincell="f">
            <v:textbox>
              <w:txbxContent>
                <w:p w:rsidR="001A453C" w:rsidRDefault="001A453C">
                  <w:pPr>
                    <w:jc w:val="center"/>
                  </w:pPr>
                  <w:r>
                    <w:t>Итоги и выводы</w:t>
                  </w:r>
                </w:p>
              </w:txbxContent>
            </v:textbox>
          </v:shape>
        </w:pic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</w:p>
    <w:p w:rsidR="001A453C" w:rsidRDefault="00B9281D">
      <w:pPr>
        <w:pStyle w:val="10"/>
        <w:widowControl/>
        <w:ind w:firstLine="426"/>
        <w:jc w:val="both"/>
        <w:rPr>
          <w:lang w:val="ru-RU"/>
        </w:rPr>
      </w:pPr>
      <w:r>
        <w:rPr>
          <w:noProof/>
          <w:snapToGrid/>
        </w:rPr>
        <w:pict>
          <v:line id="_x0000_s1044" style="position:absolute;left:0;text-align:left;z-index:251665920" from="144.9pt,6.85pt" to="144.9pt,14.05pt" o:allowincell="f">
            <v:stroke endarrow="block"/>
          </v:line>
        </w:pict>
      </w:r>
    </w:p>
    <w:p w:rsidR="001A453C" w:rsidRDefault="00B9281D">
      <w:pPr>
        <w:pStyle w:val="10"/>
        <w:widowControl/>
        <w:ind w:firstLine="426"/>
        <w:jc w:val="both"/>
        <w:rPr>
          <w:lang w:val="ru-RU"/>
        </w:rPr>
      </w:pPr>
      <w:r>
        <w:rPr>
          <w:noProof/>
          <w:snapToGrid/>
        </w:rPr>
        <w:pict>
          <v:line id="_x0000_s1043" style="position:absolute;left:0;text-align:left;z-index:251664896" from="260.1pt,2.6pt" to="260.1pt,17pt" o:allowincell="f"/>
        </w:pict>
      </w:r>
      <w:r>
        <w:rPr>
          <w:noProof/>
          <w:snapToGrid/>
        </w:rPr>
        <w:pict>
          <v:line id="_x0000_s1042" style="position:absolute;left:0;text-align:left;z-index:251663872" from="44.1pt,2.6pt" to="44.1pt,17pt" o:allowincell="f"/>
        </w:pict>
      </w:r>
      <w:r>
        <w:rPr>
          <w:noProof/>
          <w:snapToGrid/>
        </w:rPr>
        <w:pict>
          <v:line id="_x0000_s1041" style="position:absolute;left:0;text-align:left;z-index:251662848" from="44.1pt,2.6pt" to="260.1pt,2.6pt" o:allowincell="f"/>
        </w:pict>
      </w:r>
    </w:p>
    <w:p w:rsidR="001A453C" w:rsidRDefault="00B9281D">
      <w:pPr>
        <w:pStyle w:val="10"/>
        <w:widowControl/>
        <w:ind w:firstLine="426"/>
        <w:jc w:val="both"/>
        <w:rPr>
          <w:lang w:val="ru-RU"/>
        </w:rPr>
      </w:pPr>
      <w:r>
        <w:rPr>
          <w:noProof/>
          <w:snapToGrid/>
        </w:rPr>
        <w:pict>
          <v:shape id="_x0000_s1036" type="#_x0000_t202" style="position:absolute;left:0;text-align:left;margin-left:.9pt;margin-top:5.5pt;width:100.8pt;height:21.6pt;z-index:251657728" o:allowincell="f">
            <v:textbox>
              <w:txbxContent>
                <w:p w:rsidR="001A453C" w:rsidRDefault="001A453C">
                  <w:pPr>
                    <w:jc w:val="center"/>
                  </w:pPr>
                  <w:r>
                    <w:t>Положительные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shape id="_x0000_s1037" type="#_x0000_t202" style="position:absolute;left:0;text-align:left;margin-left:202.5pt;margin-top:5.5pt;width:108pt;height:21.6pt;z-index:251658752" o:allowincell="f">
            <v:textbox>
              <w:txbxContent>
                <w:p w:rsidR="001A453C" w:rsidRDefault="001A453C">
                  <w:pPr>
                    <w:jc w:val="center"/>
                  </w:pPr>
                  <w:r>
                    <w:t>Отрицательные</w:t>
                  </w:r>
                </w:p>
              </w:txbxContent>
            </v:textbox>
          </v:shape>
        </w:pic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</w:p>
    <w:p w:rsidR="001A453C" w:rsidRDefault="00B9281D">
      <w:pPr>
        <w:pStyle w:val="10"/>
        <w:widowControl/>
        <w:ind w:firstLine="426"/>
        <w:jc w:val="both"/>
        <w:rPr>
          <w:lang w:val="ru-RU"/>
        </w:rPr>
      </w:pPr>
      <w:r>
        <w:rPr>
          <w:noProof/>
          <w:snapToGrid/>
        </w:rPr>
        <w:pict>
          <v:line id="_x0000_s1046" style="position:absolute;left:0;text-align:left;z-index:251667968" from="252.9pt,4.1pt" to="252.9pt,32.9pt" o:allowincell="f">
            <v:stroke endarrow="block"/>
          </v:line>
        </w:pict>
      </w:r>
      <w:r>
        <w:rPr>
          <w:noProof/>
          <w:snapToGrid/>
        </w:rPr>
        <w:pict>
          <v:line id="_x0000_s1045" style="position:absolute;left:0;text-align:left;z-index:251666944" from="51.3pt,4.1pt" to="51.3pt,32.9pt" o:allowincell="f">
            <v:stroke endarrow="block"/>
          </v:line>
        </w:pic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</w:p>
    <w:p w:rsidR="001A453C" w:rsidRDefault="00B9281D">
      <w:pPr>
        <w:pStyle w:val="10"/>
        <w:widowControl/>
        <w:ind w:firstLine="426"/>
        <w:jc w:val="both"/>
        <w:rPr>
          <w:lang w:val="ru-RU"/>
        </w:rPr>
      </w:pPr>
      <w:r>
        <w:rPr>
          <w:noProof/>
          <w:snapToGrid/>
        </w:rPr>
        <w:pict>
          <v:shape id="_x0000_s1039" type="#_x0000_t202" style="position:absolute;left:0;text-align:left;margin-left:216.9pt;margin-top:9.9pt;width:64.8pt;height:86.4pt;z-index:251660800" o:allowincell="f">
            <v:textbox style="layout-flow:vertical;mso-layout-flow-alt:bottom-to-top">
              <w:txbxContent>
                <w:p w:rsidR="001A453C" w:rsidRDefault="001A453C">
                  <w:pPr>
                    <w:jc w:val="center"/>
                  </w:pPr>
                  <w:r>
                    <w:t>Финансовое прогнозирование (анализ перспектив)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shape id="_x0000_s1038" type="#_x0000_t202" style="position:absolute;left:0;text-align:left;margin-left:36.9pt;margin-top:9.9pt;width:28.8pt;height:93.6pt;z-index:251659776" o:allowincell="f">
            <v:textbox style="layout-flow:vertical;mso-layout-flow-alt:bottom-to-top">
              <w:txbxContent>
                <w:p w:rsidR="001A453C" w:rsidRDefault="001A453C">
                  <w:r>
                    <w:t>Принятие решений</w:t>
                  </w:r>
                </w:p>
              </w:txbxContent>
            </v:textbox>
          </v:shape>
        </w:pic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Рис. 1.1. Последовательность анализа бухгалтерской отчетности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  <w:sectPr w:rsidR="001A453C">
          <w:type w:val="continuous"/>
          <w:pgSz w:w="9185" w:h="12984" w:code="1"/>
          <w:pgMar w:top="737" w:right="1814" w:bottom="2211" w:left="1134" w:header="737" w:footer="1985" w:gutter="0"/>
          <w:cols w:space="720"/>
          <w:noEndnote/>
        </w:sectPr>
      </w:pP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Анализ бухгалтерской отчетности является неотъемлемой частью большинства решений, касающихся кредитования, инвестирования и др.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При принятии решения о предоставлении кредита кредитор рассматривает организацию заемщика главным образом с точки зрения возможном возврата денег и вознаграждения, которое он получит в виде процента. Поэтому анализ бухгалтерской отчетности является для кредитора важной частью общего процесса принятия решения.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С позиции организации-заемщика ответ на вопрос: нужен кредит или нет, можно получить, детально изучив и проанализировав бухгалтерскую отчетность за отчетный период.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Роль, которую играет анализ бухгалтерской отчетности в решениях об инвестициях в собственный капитал организации, совершенно другая. Эго связано с тем, что инвестор требует отдачи как в виде прироста стоимости капитала, так и в виде дивидендов.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Прибыльность и дивиденды в долгосрочной перспективе зависят от роста объемов хозяйственной деятельности и ликвидности элементов, которые оцениваются посредством анализа бухгалтерской отчетности. Но дивиденды, которые выплачивает организация, – это только меньшая часть суммы желаемой отдачи. На самом деле многие растущие и прибыльные предприятия выплачивают минимальные дивиденды или не выплачивают их совсем. Другая часть ожидаемой отдачи идет как бы от других инвесторов, которые, возможно, захотят в будущем заплатить за инвестиции в капитал предприятия больше, чем это  сделал нынешний инвестор. Это желание связано с психологией  рынка и доверием, а также накопленной прибылью.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Поскольку анализ бухгалтерской отчетности связан с логическим процессом, его относительное значение в принятии инвестиционных решений изменяется в зависимости от обстоятельств, складывающихся на рынке. Его значение всегда больше, когда анализ нацелен на оценку риска, выявление узких мест и потенциальных проблем. Однако всегда следует помнить, что решение включает очень большую совокупность факторов (особенности отрасли, способности и квалификация руководства, экономические условия и др.).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Анализ бухгалтерской отчетности оформляется в виде аналитической (пояснительной) записки. Она должна включать следующие разделы: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1) общие данные по анализируемой организации, отрасли, частью которой она является, экономической среде, в которой она работает;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2) финансовые и другие данные, используемые при анализе;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3) выявление и оценка положительно и отрицательно влияющих количественных и качественных факторов по важнейшим направлениям анализа;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4) оценки и выводы на основании полученных результатов анализа, а также построение прогнозных моделей анализа.</w:t>
      </w:r>
    </w:p>
    <w:p w:rsidR="001A453C" w:rsidRDefault="001A453C">
      <w:pPr>
        <w:pStyle w:val="10"/>
        <w:widowControl/>
        <w:ind w:firstLine="426"/>
        <w:jc w:val="both"/>
        <w:rPr>
          <w:b/>
          <w:i/>
          <w:lang w:val="ru-RU"/>
        </w:rPr>
      </w:pPr>
      <w:r>
        <w:rPr>
          <w:b/>
          <w:i/>
          <w:lang w:val="ru-RU"/>
        </w:rPr>
        <w:t>Аудит бухгалтерской отчетности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В случаях, предусмотренных законодательством Российской Федерации, бухгалтерская отчетность подлежит обязательному аудиту.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Итоговая часть аудиторского заключения, выданного по результатам обязательного аудита бухгалтерской отчетности, должна прилагаться к этой отчетности [4, п. 41].</w:t>
      </w:r>
    </w:p>
    <w:p w:rsidR="001A453C" w:rsidRDefault="001A453C">
      <w:pPr>
        <w:pStyle w:val="2"/>
      </w:pPr>
      <w:r>
        <w:t>1.2. Влияние инфляции на данные бухгалтерской отчетности</w:t>
      </w:r>
    </w:p>
    <w:p w:rsidR="001A453C" w:rsidRDefault="001A453C">
      <w:pPr>
        <w:pStyle w:val="10"/>
        <w:widowControl/>
        <w:ind w:firstLine="426"/>
        <w:jc w:val="both"/>
        <w:rPr>
          <w:b/>
          <w:i/>
          <w:lang w:val="ru-RU"/>
        </w:rPr>
      </w:pPr>
      <w:r>
        <w:rPr>
          <w:b/>
          <w:i/>
          <w:lang w:val="ru-RU"/>
        </w:rPr>
        <w:t>Сопоставимость данных отчетности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В бухгалтерской отчетности организации должна быть обеспечена сопоставимость отчетных данных с показателями за соответствующий период предыдущего года исходя из изменений учетной политики, законодательных и иных актов.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Если данные за период, предшествовавший отчетному, несопоставимы с данными за отчетный период, то первые из названных данных подлежат корректировке исходя из правил, установленных нормативными актами системы нормативного регулирования бухгалтерского учета в Российской Федерации. Каждая корректировка должна быть раскрыта в пояснениях к бухгалтерскому балансу и отчету о финансовых результатах вместе с указанием ее причин [4, п. 10].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Содержание бухгалтерского баланса, отчета о прибылях и убытках и пояснений к ним применяются последовательно от одного отчетного периода к другому,[4, п. 9].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До составления заключительного баланса обязательна сверка оборотов и остатков по аналитическим счетам Главной книги либо другого аналогичного регистра бухгалтерского учета на конец отчетного года.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Для сопоставимости данных баланса на начало и конец года номенклатура статей утвержденного бухгалтерского баланса за предыдущий отчетный год должна быть приведена в соответствие с номенклатурой и группировкой разделов и статей в них, установленных для бухгалтерского баланса на конец года [8, п. 2.2]. По каждому числовому показателю бухгалтерской отчетности кроме отчета, составляемого за первый отчетный период, должны быть приведены данные минимум за два года – отчетный и предшествовавший отчетному.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Если данные за период, предшествующий отчетному, несопоставимы с данными за отчетный период, то первые из названных данных подлежат корректировке исходя из правил, установленных нормативными актами по бухгалтерскому учету. Каждая существенная корректировка должна быть раскрыта в пояснениях к бухгалтерскому балансу и отчету о прибылях и убытках вместе с указанием причин, вызвавших эту корректировку [4, п. 10].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Инфляция – это проблема и экономическая, и политическая. Это понятие международное, и Россия не исключение. Если сложившиеся сейчас темпы инфляции относительно невысокие, то завтра они могут снова измениться, так как экономика развивается по спирали. При любом событии кумулятивный эффект от инфляции значителен и значительны искажения, которые она вызывает в учете, в котором активы оценены по первоначальной стоимости. Это ведет к регистрации «фиктивной» суммы прибыли, скрывает уменьшение стоимости капитала и делает недействительными многие аналитические показатели.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Инфляция действует как «налог» на остатки денежных средств. Она является достаточно разорительным «налогом», потому что вызывает убытки по денежным активам, уменьшение прибыли на собственный капитал и значительные изменения стоимости (в денежном выражении) других активов, а также неопределенность и риски.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Влияние изменений уровня цен на финансовое положение организации зависит от степени изменения уровня цен и от структуры активов и пассивов. Изучение инфляции показало, что она может вызывать значительные изменения в отчетных производственных и финансовых результатах.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В 1990 г. принят международный стандарт № 29 (</w:t>
      </w:r>
      <w:r>
        <w:t>IAS</w:t>
      </w:r>
      <w:r>
        <w:rPr>
          <w:lang w:val="ru-RU"/>
        </w:rPr>
        <w:t xml:space="preserve"> 29-90) «Финансовая отчетность в условиях гиперинфляции». Он был принят в дополнение к уже существующим стандартам бухгалтерского учета № 15 «Информация, отражающая влияние изменения цен» и № 21 «Учет последствий изменений в валютном курсе».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 xml:space="preserve">В </w:t>
      </w:r>
      <w:r>
        <w:t>IAS</w:t>
      </w:r>
      <w:r>
        <w:rPr>
          <w:lang w:val="ru-RU"/>
        </w:rPr>
        <w:t xml:space="preserve"> 29-90 сказано, что в условиях инфляции финансовые отчеты имеют смысл только тогда, когда они выражены в единицах измерения, типичных на момент представления балансового отчета. Итоговые суммы в балансовом отчете не всегда выражены в</w:t>
      </w:r>
      <w:r>
        <w:rPr>
          <w:i/>
          <w:lang w:val="ru-RU"/>
        </w:rPr>
        <w:t xml:space="preserve"> </w:t>
      </w:r>
      <w:r>
        <w:rPr>
          <w:lang w:val="ru-RU"/>
        </w:rPr>
        <w:t>единицах измерения, соответствующих времени составления отчета, и уточняются путем введения общего индекса  цен.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В стандарте № 29 приведены характеристики экономической ситуации в стране, которую можно отнести к подверженной гиперинфляции: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1. Кумулятивные темпы инфляции за три года приближаются или превышают 100%.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2. Процентные ставки, зарплата и цены связаны с индексом цен.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3. Население в целом рассматривает количество денег не с позиций местной валюты, а с позиций относительно стабильной иностранной валюты. Цены могут устанавливаться с учетом этой валюты.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4. Большинство населения предпочитает вкладывать свои сбережения не в деньги, а в имущество или относительно стабильную иностранную валюту. Суммы имеющейся местной валюты немедленно вкладываются для поддержания покупательского спроса.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5. Продажа и покупка в кредит производятся по ценам, которые должны скомпенсировать ожидаемое снижение покупательной способности в течение периода кредитования, даже если он короткий.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Основным признаком инфляции является рост цен в среднем, т.е. увеличение усредненной цены всей номенклатуры товаров, выбранных в качестве базы выявления уровня инфляции. Не существует формальной нижней границы изменения цен, которая могла бы использоваться как критерий инфляции. Различают несколько уровней инфляции, которые можно классифицировать следующим образом (таблица 1.1).</w:t>
      </w:r>
    </w:p>
    <w:p w:rsidR="001A453C" w:rsidRDefault="001A453C">
      <w:pPr>
        <w:pStyle w:val="10"/>
        <w:widowControl/>
        <w:ind w:firstLine="426"/>
        <w:jc w:val="center"/>
        <w:rPr>
          <w:lang w:val="ru-RU"/>
        </w:rPr>
      </w:pPr>
      <w:r>
        <w:rPr>
          <w:lang w:val="ru-RU"/>
        </w:rPr>
        <w:t>Таблица 1.1. Классификация уровней инфляции</w:t>
      </w:r>
      <w:r>
        <w:rPr>
          <w:rStyle w:val="a3"/>
          <w:lang w:val="ru-RU"/>
        </w:rPr>
        <w:footnoteReference w:id="2"/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552"/>
        <w:gridCol w:w="1950"/>
      </w:tblGrid>
      <w:tr w:rsidR="001A453C">
        <w:tc>
          <w:tcPr>
            <w:tcW w:w="1951" w:type="dxa"/>
          </w:tcPr>
          <w:p w:rsidR="001A453C" w:rsidRDefault="001A453C">
            <w:pPr>
              <w:pStyle w:val="10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Изменение цен за год, %</w:t>
            </w:r>
          </w:p>
        </w:tc>
        <w:tc>
          <w:tcPr>
            <w:tcW w:w="2552" w:type="dxa"/>
          </w:tcPr>
          <w:p w:rsidR="001A453C" w:rsidRDefault="001A453C">
            <w:pPr>
              <w:pStyle w:val="10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Индекс инфляции за год (разы)</w:t>
            </w:r>
          </w:p>
        </w:tc>
        <w:tc>
          <w:tcPr>
            <w:tcW w:w="1950" w:type="dxa"/>
          </w:tcPr>
          <w:p w:rsidR="001A453C" w:rsidRDefault="001A453C">
            <w:pPr>
              <w:pStyle w:val="10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инфляции</w:t>
            </w:r>
          </w:p>
        </w:tc>
      </w:tr>
      <w:tr w:rsidR="001A453C">
        <w:tc>
          <w:tcPr>
            <w:tcW w:w="1951" w:type="dxa"/>
          </w:tcPr>
          <w:p w:rsidR="001A453C" w:rsidRDefault="001A453C">
            <w:pPr>
              <w:pStyle w:val="10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</w:tcPr>
          <w:p w:rsidR="001A453C" w:rsidRDefault="001A453C">
            <w:pPr>
              <w:pStyle w:val="10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1,01</w:t>
            </w:r>
          </w:p>
        </w:tc>
        <w:tc>
          <w:tcPr>
            <w:tcW w:w="1950" w:type="dxa"/>
          </w:tcPr>
          <w:p w:rsidR="001A453C" w:rsidRDefault="001A453C">
            <w:pPr>
              <w:pStyle w:val="10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Низкая</w:t>
            </w:r>
          </w:p>
        </w:tc>
      </w:tr>
      <w:tr w:rsidR="001A453C">
        <w:tc>
          <w:tcPr>
            <w:tcW w:w="1951" w:type="dxa"/>
          </w:tcPr>
          <w:p w:rsidR="001A453C" w:rsidRDefault="001A453C">
            <w:pPr>
              <w:pStyle w:val="10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552" w:type="dxa"/>
          </w:tcPr>
          <w:p w:rsidR="001A453C" w:rsidRDefault="001A453C">
            <w:pPr>
              <w:pStyle w:val="10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1,1</w:t>
            </w:r>
          </w:p>
        </w:tc>
        <w:tc>
          <w:tcPr>
            <w:tcW w:w="1950" w:type="dxa"/>
          </w:tcPr>
          <w:p w:rsidR="001A453C" w:rsidRDefault="001A453C">
            <w:pPr>
              <w:pStyle w:val="10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Ползучая</w:t>
            </w:r>
          </w:p>
        </w:tc>
      </w:tr>
      <w:tr w:rsidR="001A453C">
        <w:tc>
          <w:tcPr>
            <w:tcW w:w="1951" w:type="dxa"/>
          </w:tcPr>
          <w:p w:rsidR="001A453C" w:rsidRDefault="001A453C">
            <w:pPr>
              <w:pStyle w:val="10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2552" w:type="dxa"/>
          </w:tcPr>
          <w:p w:rsidR="001A453C" w:rsidRDefault="001A453C">
            <w:pPr>
              <w:pStyle w:val="10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50" w:type="dxa"/>
          </w:tcPr>
          <w:p w:rsidR="001A453C" w:rsidRDefault="001A453C">
            <w:pPr>
              <w:pStyle w:val="10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Галопирующая</w:t>
            </w:r>
          </w:p>
        </w:tc>
      </w:tr>
      <w:tr w:rsidR="001A453C">
        <w:tc>
          <w:tcPr>
            <w:tcW w:w="1951" w:type="dxa"/>
          </w:tcPr>
          <w:p w:rsidR="001A453C" w:rsidRDefault="001A453C">
            <w:pPr>
              <w:pStyle w:val="10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1000</w:t>
            </w:r>
          </w:p>
        </w:tc>
        <w:tc>
          <w:tcPr>
            <w:tcW w:w="2552" w:type="dxa"/>
          </w:tcPr>
          <w:p w:rsidR="001A453C" w:rsidRDefault="001A453C">
            <w:pPr>
              <w:pStyle w:val="10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50" w:type="dxa"/>
          </w:tcPr>
          <w:p w:rsidR="001A453C" w:rsidRDefault="001A453C">
            <w:pPr>
              <w:pStyle w:val="10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Гиперинфляция</w:t>
            </w:r>
          </w:p>
        </w:tc>
      </w:tr>
      <w:tr w:rsidR="001A453C">
        <w:tc>
          <w:tcPr>
            <w:tcW w:w="1951" w:type="dxa"/>
          </w:tcPr>
          <w:p w:rsidR="001A453C" w:rsidRDefault="001A453C">
            <w:pPr>
              <w:pStyle w:val="10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10000 и более</w:t>
            </w:r>
          </w:p>
        </w:tc>
        <w:tc>
          <w:tcPr>
            <w:tcW w:w="2552" w:type="dxa"/>
          </w:tcPr>
          <w:p w:rsidR="001A453C" w:rsidRDefault="001A453C">
            <w:pPr>
              <w:pStyle w:val="10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1950" w:type="dxa"/>
          </w:tcPr>
          <w:p w:rsidR="001A453C" w:rsidRDefault="001A453C">
            <w:pPr>
              <w:pStyle w:val="10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Суперинфляция</w:t>
            </w:r>
          </w:p>
        </w:tc>
      </w:tr>
    </w:tbl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Небольшая инфляция считается допустимой и даже полезной: она побуждает владельцев денег к инвестированию их в прибыльные предприятия, поскольку находящиеся без движения деньги быстро теряют в цене. Высокая инфляция отрицательно влияет на весь воспроизводственный процесс и является дестабилизирующим фактором развития производства и устойчивости финансового положения фирмы.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 xml:space="preserve">Согласно </w:t>
      </w:r>
      <w:r>
        <w:t>IAS</w:t>
      </w:r>
      <w:r>
        <w:rPr>
          <w:lang w:val="ru-RU"/>
        </w:rPr>
        <w:t xml:space="preserve"> 29-90 денежные пункты бухгалтерского баланса не пересматриваются, поскольку они уже выражены в единицах измерения, соответствующих времени составления балансового отчета.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Под этими пунктами понимают имеющиеся денежные средства и источники поступления денежных выплат.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Другие не денежные активы и задолженности пересчитываются. Большую часть не денежных пунктов указывают по себестоимости с учетом обесценивания. Следовательно, эти пункты выражены в текущих ценах на момент их приобретения.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Пересчитанная (уменьшенная) стоимость по каждому пункту устанавливается путем прибавления к их прежней стоимости накопленной суммы обесценивания общего индекса цен, действующего с момента приобретения до момента составления балансового отчета.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Так, переоцениваются за период с момента их приобретения и до начала переоценки: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- имущество;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- основные производственные средства;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- оборудование;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- инвестиции;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- перечень сырьевых ресурсов и активы в виде товаров;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- «гудвилл» (накопленные нематериальные активы предприятия, деловая репутация); патенты; торговые марки и т.д.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Общий индекс цен может не применяться в течение всего периода переоценки имущества, основных производственных средств.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В этих редких случаях может возникнуть необходимость в использовании оценок, основанных, к примеру, на динамике обменного курса между денежной единицей, в которой составлен отчет, и относительно стабильной иностранной валютой.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Пересчитанная сумма не денежного пункта уменьшается в соответствии с принятым Международным учетным стандартом, если она превышает сумму покрытия из будущего пункта (включая продажу или другой вид реализации). Следовательно, в таких случаях предусмотренная стоимость имущества, основных производственных средств, «гудвилла», патентов и торговых марок уменьшается до размеров покрытия.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Пересмотренные суммы товарных запасов уменьшаются до значений и чистой стоимости реализации, а пересмотренные размеры текущих инвестиций уменьшаются до значений их рыночной стоимости.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В «Отчете о прибылях и убытках» все суммы, подлежащие пересмотру и пересчету в текущие денежные единицы, имеющие место на момент представления балансового отчета, уточняются с помощью общего индекса цен.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Пересчет финансовых отчетов требует применения общего индекса цен, который отражает изменения в общей покупательной способности. Желательно, чтобы все предприятия, представляющие отчеты в валютных единицах экономики, подверженной гиперинфляции, применяли один и тот же индекс.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В международной практике в основном распространены два метода корректировки влияния изменяющихся цен на статьи бухгалтерской отчетности. Эти методы основаны на двух моделях учета: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 xml:space="preserve">модель учета </w:t>
      </w:r>
      <w:r>
        <w:rPr>
          <w:i/>
          <w:lang w:val="ru-RU"/>
        </w:rPr>
        <w:t xml:space="preserve">в постоянных ценах </w:t>
      </w:r>
      <w:r>
        <w:rPr>
          <w:lang w:val="ru-RU"/>
        </w:rPr>
        <w:t>(или учет общего уровня цен). Она оставляет первоначальную стоимость активов неизменной, но преобразует единицу измерения в постоянные (сопоставимые) цены;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 xml:space="preserve">модель учета </w:t>
      </w:r>
      <w:r>
        <w:rPr>
          <w:i/>
          <w:lang w:val="ru-RU"/>
        </w:rPr>
        <w:t xml:space="preserve">в текущих ценах. </w:t>
      </w:r>
      <w:r>
        <w:rPr>
          <w:lang w:val="ru-RU"/>
        </w:rPr>
        <w:t>При использовании этой модели, наоборот, первоначальную стоимость пересчитывают в текущие цены.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Основной целью бухгалтерской отчетности, выраженной в постоянных ценах, является представление ее в единообразных единицах покупательной способности, а не в денежных единицах, которые искажают сравнения по периодам.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Балансы в текущих ценах представляют собой более реалистичные показатели текущей экономической стоимости активов и</w:t>
      </w:r>
      <w:r>
        <w:rPr>
          <w:i/>
          <w:lang w:val="ru-RU"/>
        </w:rPr>
        <w:t xml:space="preserve"> </w:t>
      </w:r>
      <w:r>
        <w:rPr>
          <w:lang w:val="ru-RU"/>
        </w:rPr>
        <w:t>пассивов, чем балансы в постоянных ценах. Этот метод более активен при отражении влияния цен на не денежные статьи, однако он не учитывает уменьшения стоимости денежных активов или снижения экономической значимости пассивов.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В</w:t>
      </w:r>
      <w:r>
        <w:rPr>
          <w:b/>
          <w:lang w:val="ru-RU"/>
        </w:rPr>
        <w:t xml:space="preserve"> </w:t>
      </w:r>
      <w:r>
        <w:rPr>
          <w:lang w:val="ru-RU"/>
        </w:rPr>
        <w:t>целом же самые сильные стороны первого метода чаще всего являются слабыми местами второго, и наоборот.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Выражается индекс цен (инфляции) в долях единицы или в процентах и рассчитывается следующим образом:</w:t>
      </w:r>
    </w:p>
    <w:p w:rsidR="001A453C" w:rsidRDefault="00B9281D">
      <w:pPr>
        <w:pStyle w:val="10"/>
        <w:widowControl/>
        <w:jc w:val="center"/>
        <w:rPr>
          <w:lang w:val="ru-RU"/>
        </w:rPr>
      </w:pPr>
      <w:r>
        <w:rPr>
          <w:position w:val="-62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8.25pt;height:68.25pt" fillcolor="window">
            <v:imagedata r:id="rId6" o:title=""/>
          </v:shape>
        </w:pict>
      </w:r>
    </w:p>
    <w:p w:rsidR="001A453C" w:rsidRDefault="001A453C">
      <w:pPr>
        <w:pStyle w:val="10"/>
        <w:widowControl/>
        <w:jc w:val="both"/>
        <w:rPr>
          <w:lang w:val="ru-RU"/>
        </w:rPr>
      </w:pPr>
      <w:r>
        <w:rPr>
          <w:lang w:val="ru-RU"/>
        </w:rPr>
        <w:t>или</w:t>
      </w:r>
    </w:p>
    <w:p w:rsidR="001A453C" w:rsidRDefault="00B9281D">
      <w:pPr>
        <w:pStyle w:val="10"/>
        <w:widowControl/>
        <w:jc w:val="center"/>
        <w:rPr>
          <w:lang w:val="ru-RU"/>
        </w:rPr>
      </w:pPr>
      <w:r>
        <w:rPr>
          <w:position w:val="-30"/>
          <w:lang w:val="ru-RU"/>
        </w:rPr>
        <w:pict>
          <v:shape id="_x0000_i1026" type="#_x0000_t75" style="width:63pt;height:33.75pt" fillcolor="window">
            <v:imagedata r:id="rId7" o:title=""/>
          </v:shape>
        </w:pict>
      </w:r>
      <w:r w:rsidR="001A453C">
        <w:rPr>
          <w:lang w:val="ru-RU"/>
        </w:rPr>
        <w:t>,</w:t>
      </w:r>
    </w:p>
    <w:p w:rsidR="001A453C" w:rsidRDefault="001A453C">
      <w:pPr>
        <w:pStyle w:val="10"/>
        <w:widowControl/>
        <w:jc w:val="both"/>
        <w:rPr>
          <w:lang w:val="ru-RU"/>
        </w:rPr>
      </w:pPr>
      <w:r>
        <w:rPr>
          <w:lang w:val="ru-RU"/>
        </w:rPr>
        <w:t xml:space="preserve">где </w:t>
      </w:r>
      <w:r>
        <w:t>J</w:t>
      </w:r>
      <w:r>
        <w:rPr>
          <w:vertAlign w:val="subscript"/>
        </w:rPr>
        <w:t>p</w:t>
      </w:r>
      <w:r>
        <w:rPr>
          <w:lang w:val="ru-RU"/>
        </w:rPr>
        <w:t xml:space="preserve"> – индекс цены (инфляции);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р</w:t>
      </w:r>
      <w:r>
        <w:rPr>
          <w:vertAlign w:val="subscript"/>
          <w:lang w:val="ru-RU"/>
        </w:rPr>
        <w:t>0</w:t>
      </w:r>
      <w:r>
        <w:rPr>
          <w:lang w:val="ru-RU"/>
        </w:rPr>
        <w:t>, р</w:t>
      </w:r>
      <w:r>
        <w:rPr>
          <w:vertAlign w:val="subscript"/>
          <w:lang w:val="ru-RU"/>
        </w:rPr>
        <w:t>1</w:t>
      </w:r>
      <w:r>
        <w:rPr>
          <w:lang w:val="ru-RU"/>
        </w:rPr>
        <w:t xml:space="preserve"> – цены товаров (продукции),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q</w:t>
      </w:r>
      <w:r>
        <w:rPr>
          <w:vertAlign w:val="subscript"/>
          <w:lang w:val="ru-RU"/>
        </w:rPr>
        <w:t>1</w:t>
      </w:r>
      <w:r>
        <w:rPr>
          <w:lang w:val="ru-RU"/>
        </w:rPr>
        <w:t xml:space="preserve"> – количество товаров (продукции), реализованных в отчетном периоде.</w:t>
      </w:r>
    </w:p>
    <w:p w:rsidR="001A453C" w:rsidRDefault="001A453C">
      <w:pPr>
        <w:pStyle w:val="10"/>
        <w:widowControl/>
        <w:ind w:firstLine="426"/>
        <w:jc w:val="both"/>
        <w:rPr>
          <w:b/>
          <w:lang w:val="ru-RU"/>
        </w:rPr>
      </w:pPr>
      <w:r>
        <w:rPr>
          <w:b/>
          <w:lang w:val="ru-RU"/>
        </w:rPr>
        <w:t xml:space="preserve">Для расчета реальной величины денежного дохода </w:t>
      </w:r>
      <w:r>
        <w:rPr>
          <w:lang w:val="ru-RU"/>
        </w:rPr>
        <w:t xml:space="preserve">(или стоимости неденежных активов), очищенной от инфляционного влияния, </w:t>
      </w:r>
      <w:r>
        <w:rPr>
          <w:b/>
          <w:lang w:val="ru-RU"/>
        </w:rPr>
        <w:t>необходимо разделить номинальную стоимость на индекс инфляции.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  <w:sectPr w:rsidR="001A453C">
          <w:type w:val="continuous"/>
          <w:pgSz w:w="9185" w:h="12984" w:code="1"/>
          <w:pgMar w:top="737" w:right="1814" w:bottom="2211" w:left="1134" w:header="737" w:footer="1985" w:gutter="0"/>
          <w:cols w:space="720"/>
          <w:noEndnote/>
        </w:sectPr>
      </w:pPr>
      <w:r>
        <w:rPr>
          <w:lang w:val="ru-RU"/>
        </w:rPr>
        <w:t>Таким образом, получаем величину показателя в сопоставимых ценах.</w:t>
      </w:r>
    </w:p>
    <w:p w:rsidR="001A453C" w:rsidRDefault="001A453C">
      <w:pPr>
        <w:pStyle w:val="10"/>
        <w:widowControl/>
        <w:jc w:val="center"/>
        <w:rPr>
          <w:lang w:val="ru-RU"/>
        </w:rPr>
      </w:pPr>
      <w:r>
        <w:rPr>
          <w:lang w:val="ru-RU"/>
        </w:rPr>
        <w:t>Таблица 1.2.</w:t>
      </w:r>
      <w:r>
        <w:rPr>
          <w:i/>
          <w:lang w:val="ru-RU"/>
        </w:rPr>
        <w:t xml:space="preserve"> </w:t>
      </w:r>
      <w:r>
        <w:rPr>
          <w:lang w:val="ru-RU"/>
        </w:rPr>
        <w:t>Индексы потребительских цен,</w:t>
      </w:r>
    </w:p>
    <w:p w:rsidR="001A453C" w:rsidRDefault="001A453C">
      <w:pPr>
        <w:pStyle w:val="10"/>
        <w:widowControl/>
        <w:jc w:val="center"/>
        <w:rPr>
          <w:lang w:val="ru-RU"/>
        </w:rPr>
      </w:pPr>
      <w:r>
        <w:rPr>
          <w:lang w:val="ru-RU"/>
        </w:rPr>
        <w:t xml:space="preserve">в разах к предыдущему году </w:t>
      </w:r>
    </w:p>
    <w:p w:rsidR="001A453C" w:rsidRDefault="001A453C">
      <w:pPr>
        <w:pStyle w:val="10"/>
        <w:widowControl/>
        <w:jc w:val="center"/>
        <w:rPr>
          <w:lang w:val="ru-RU"/>
        </w:rPr>
      </w:pPr>
      <w:r>
        <w:rPr>
          <w:lang w:val="ru-RU"/>
        </w:rPr>
        <w:t>(по сведениям Госкомстата России)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1134"/>
        <w:gridCol w:w="992"/>
        <w:gridCol w:w="992"/>
        <w:gridCol w:w="992"/>
      </w:tblGrid>
      <w:tr w:rsidR="001A453C">
        <w:tc>
          <w:tcPr>
            <w:tcW w:w="1101" w:type="dxa"/>
          </w:tcPr>
          <w:p w:rsidR="001A453C" w:rsidRDefault="001A453C">
            <w:pPr>
              <w:pStyle w:val="10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Год</w:t>
            </w:r>
          </w:p>
        </w:tc>
        <w:tc>
          <w:tcPr>
            <w:tcW w:w="1134" w:type="dxa"/>
          </w:tcPr>
          <w:p w:rsidR="001A453C" w:rsidRDefault="001A453C">
            <w:pPr>
              <w:pStyle w:val="10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1990</w:t>
            </w:r>
          </w:p>
        </w:tc>
        <w:tc>
          <w:tcPr>
            <w:tcW w:w="1134" w:type="dxa"/>
          </w:tcPr>
          <w:p w:rsidR="001A453C" w:rsidRDefault="001A453C">
            <w:pPr>
              <w:pStyle w:val="10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1991</w:t>
            </w:r>
          </w:p>
        </w:tc>
        <w:tc>
          <w:tcPr>
            <w:tcW w:w="992" w:type="dxa"/>
          </w:tcPr>
          <w:p w:rsidR="001A453C" w:rsidRDefault="001A453C">
            <w:pPr>
              <w:pStyle w:val="10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1992</w:t>
            </w:r>
          </w:p>
        </w:tc>
        <w:tc>
          <w:tcPr>
            <w:tcW w:w="992" w:type="dxa"/>
          </w:tcPr>
          <w:p w:rsidR="001A453C" w:rsidRDefault="001A453C">
            <w:pPr>
              <w:pStyle w:val="10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1993</w:t>
            </w:r>
          </w:p>
        </w:tc>
        <w:tc>
          <w:tcPr>
            <w:tcW w:w="992" w:type="dxa"/>
          </w:tcPr>
          <w:p w:rsidR="001A453C" w:rsidRDefault="001A453C">
            <w:pPr>
              <w:pStyle w:val="10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1994</w:t>
            </w:r>
          </w:p>
        </w:tc>
      </w:tr>
      <w:tr w:rsidR="001A453C">
        <w:tc>
          <w:tcPr>
            <w:tcW w:w="1101" w:type="dxa"/>
          </w:tcPr>
          <w:p w:rsidR="001A453C" w:rsidRDefault="001A453C">
            <w:pPr>
              <w:pStyle w:val="10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Индекс</w:t>
            </w:r>
          </w:p>
        </w:tc>
        <w:tc>
          <w:tcPr>
            <w:tcW w:w="1134" w:type="dxa"/>
          </w:tcPr>
          <w:p w:rsidR="001A453C" w:rsidRDefault="001A453C">
            <w:pPr>
              <w:pStyle w:val="10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1A453C" w:rsidRDefault="001A453C">
            <w:pPr>
              <w:pStyle w:val="10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2,6</w:t>
            </w:r>
          </w:p>
        </w:tc>
        <w:tc>
          <w:tcPr>
            <w:tcW w:w="992" w:type="dxa"/>
          </w:tcPr>
          <w:p w:rsidR="001A453C" w:rsidRDefault="001A453C">
            <w:pPr>
              <w:pStyle w:val="10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26,1</w:t>
            </w:r>
          </w:p>
        </w:tc>
        <w:tc>
          <w:tcPr>
            <w:tcW w:w="992" w:type="dxa"/>
          </w:tcPr>
          <w:p w:rsidR="001A453C" w:rsidRDefault="001A453C">
            <w:pPr>
              <w:pStyle w:val="10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9,4</w:t>
            </w:r>
          </w:p>
        </w:tc>
        <w:tc>
          <w:tcPr>
            <w:tcW w:w="992" w:type="dxa"/>
          </w:tcPr>
          <w:p w:rsidR="001A453C" w:rsidRDefault="001A453C">
            <w:pPr>
              <w:pStyle w:val="10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3,2</w:t>
            </w:r>
          </w:p>
        </w:tc>
      </w:tr>
      <w:tr w:rsidR="001A453C">
        <w:tc>
          <w:tcPr>
            <w:tcW w:w="1101" w:type="dxa"/>
          </w:tcPr>
          <w:p w:rsidR="001A453C" w:rsidRDefault="001A453C">
            <w:pPr>
              <w:pStyle w:val="10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Год</w:t>
            </w:r>
          </w:p>
        </w:tc>
        <w:tc>
          <w:tcPr>
            <w:tcW w:w="1134" w:type="dxa"/>
          </w:tcPr>
          <w:p w:rsidR="001A453C" w:rsidRDefault="001A453C">
            <w:pPr>
              <w:pStyle w:val="10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1995</w:t>
            </w:r>
          </w:p>
        </w:tc>
        <w:tc>
          <w:tcPr>
            <w:tcW w:w="1134" w:type="dxa"/>
          </w:tcPr>
          <w:p w:rsidR="001A453C" w:rsidRDefault="001A453C">
            <w:pPr>
              <w:pStyle w:val="10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1996</w:t>
            </w:r>
          </w:p>
        </w:tc>
        <w:tc>
          <w:tcPr>
            <w:tcW w:w="992" w:type="dxa"/>
          </w:tcPr>
          <w:p w:rsidR="001A453C" w:rsidRDefault="001A453C">
            <w:pPr>
              <w:pStyle w:val="10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1997</w:t>
            </w:r>
          </w:p>
        </w:tc>
        <w:tc>
          <w:tcPr>
            <w:tcW w:w="992" w:type="dxa"/>
          </w:tcPr>
          <w:p w:rsidR="001A453C" w:rsidRDefault="001A453C">
            <w:pPr>
              <w:pStyle w:val="10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1998</w:t>
            </w:r>
            <w:r>
              <w:rPr>
                <w:rStyle w:val="a3"/>
                <w:lang w:val="ru-RU"/>
              </w:rPr>
              <w:footnoteReference w:id="3"/>
            </w:r>
          </w:p>
        </w:tc>
        <w:tc>
          <w:tcPr>
            <w:tcW w:w="992" w:type="dxa"/>
          </w:tcPr>
          <w:p w:rsidR="001A453C" w:rsidRDefault="001A453C">
            <w:pPr>
              <w:pStyle w:val="10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1999</w:t>
            </w:r>
          </w:p>
        </w:tc>
      </w:tr>
      <w:tr w:rsidR="001A453C">
        <w:tc>
          <w:tcPr>
            <w:tcW w:w="1101" w:type="dxa"/>
          </w:tcPr>
          <w:p w:rsidR="001A453C" w:rsidRDefault="001A453C">
            <w:pPr>
              <w:pStyle w:val="10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Индекс</w:t>
            </w:r>
          </w:p>
        </w:tc>
        <w:tc>
          <w:tcPr>
            <w:tcW w:w="1134" w:type="dxa"/>
          </w:tcPr>
          <w:p w:rsidR="001A453C" w:rsidRDefault="001A453C">
            <w:pPr>
              <w:pStyle w:val="10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2,3</w:t>
            </w:r>
          </w:p>
        </w:tc>
        <w:tc>
          <w:tcPr>
            <w:tcW w:w="1134" w:type="dxa"/>
          </w:tcPr>
          <w:p w:rsidR="001A453C" w:rsidRDefault="001A453C">
            <w:pPr>
              <w:pStyle w:val="10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1,2</w:t>
            </w:r>
          </w:p>
        </w:tc>
        <w:tc>
          <w:tcPr>
            <w:tcW w:w="992" w:type="dxa"/>
          </w:tcPr>
          <w:p w:rsidR="001A453C" w:rsidRDefault="001A453C">
            <w:pPr>
              <w:pStyle w:val="10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1,11</w:t>
            </w:r>
          </w:p>
        </w:tc>
        <w:tc>
          <w:tcPr>
            <w:tcW w:w="992" w:type="dxa"/>
          </w:tcPr>
          <w:p w:rsidR="001A453C" w:rsidRDefault="001A453C">
            <w:pPr>
              <w:pStyle w:val="10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1,844</w:t>
            </w:r>
          </w:p>
        </w:tc>
        <w:tc>
          <w:tcPr>
            <w:tcW w:w="992" w:type="dxa"/>
          </w:tcPr>
          <w:p w:rsidR="001A453C" w:rsidRDefault="001A453C">
            <w:pPr>
              <w:pStyle w:val="10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1,365</w:t>
            </w:r>
          </w:p>
        </w:tc>
      </w:tr>
    </w:tbl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b/>
          <w:lang w:val="ru-RU"/>
        </w:rPr>
        <w:t xml:space="preserve">1. Использование модели постоянных цен. </w:t>
      </w:r>
      <w:r>
        <w:rPr>
          <w:lang w:val="ru-RU"/>
        </w:rPr>
        <w:t xml:space="preserve">На индекс инфляции корректируются только </w:t>
      </w:r>
      <w:r>
        <w:rPr>
          <w:i/>
          <w:lang w:val="ru-RU"/>
        </w:rPr>
        <w:t xml:space="preserve">неденежные статьи баланса </w:t>
      </w:r>
      <w:r>
        <w:rPr>
          <w:lang w:val="ru-RU"/>
        </w:rPr>
        <w:t>(основные средства, нематериальные активы, сырье, материалы и другие ценности, затраты в незавершенном производстве, готовая продукция, МБП, товары). Для пересчета статей баланса в денежные единицы в сопоставимых ценах используется общая формула:</w:t>
      </w:r>
    </w:p>
    <w:p w:rsidR="001A453C" w:rsidRDefault="00B9281D">
      <w:pPr>
        <w:pStyle w:val="10"/>
        <w:widowControl/>
        <w:jc w:val="center"/>
        <w:rPr>
          <w:lang w:val="ru-RU"/>
        </w:rPr>
      </w:pPr>
      <w:r>
        <w:rPr>
          <w:position w:val="-80"/>
          <w:lang w:val="ru-RU"/>
        </w:rPr>
        <w:pict>
          <v:shape id="_x0000_i1027" type="#_x0000_t75" style="width:48.75pt;height:63pt" fillcolor="window">
            <v:imagedata r:id="rId8" o:title=""/>
          </v:shape>
        </w:pict>
      </w:r>
      <w:r w:rsidR="001A453C">
        <w:rPr>
          <w:lang w:val="ru-RU"/>
        </w:rPr>
        <w:t>,</w:t>
      </w:r>
    </w:p>
    <w:p w:rsidR="001A453C" w:rsidRDefault="001A453C">
      <w:pPr>
        <w:pStyle w:val="10"/>
        <w:widowControl/>
        <w:jc w:val="both"/>
        <w:rPr>
          <w:lang w:val="ru-RU"/>
        </w:rPr>
      </w:pPr>
      <w:r>
        <w:rPr>
          <w:lang w:val="ru-RU"/>
        </w:rPr>
        <w:t>где: А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 – реальная (пересчитанная) величина какой-либо статьи баланса;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А</w:t>
      </w:r>
      <w:r>
        <w:rPr>
          <w:vertAlign w:val="subscript"/>
        </w:rPr>
        <w:t>i</w:t>
      </w:r>
      <w:r>
        <w:t xml:space="preserve"> – </w:t>
      </w:r>
      <w:r>
        <w:rPr>
          <w:lang w:val="ru-RU"/>
        </w:rPr>
        <w:t>номинальная величина статьи по данным бухгалтерского учета;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t>J</w:t>
      </w:r>
      <w:r>
        <w:rPr>
          <w:vertAlign w:val="subscript"/>
        </w:rPr>
        <w:t>p1</w:t>
      </w:r>
      <w:r>
        <w:t xml:space="preserve"> – </w:t>
      </w:r>
      <w:r>
        <w:rPr>
          <w:lang w:val="ru-RU"/>
        </w:rPr>
        <w:t>индекс инфляции на момент (за период) анализа;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t>J</w:t>
      </w:r>
      <w:r>
        <w:rPr>
          <w:vertAlign w:val="subscript"/>
        </w:rPr>
        <w:t>p0</w:t>
      </w:r>
      <w:r>
        <w:rPr>
          <w:lang w:val="ru-RU"/>
        </w:rPr>
        <w:t xml:space="preserve"> – индекс инфляции в базисном периоде или на начальную дату составленного баланса.</w:t>
      </w:r>
    </w:p>
    <w:p w:rsidR="001A453C" w:rsidRDefault="001A453C">
      <w:pPr>
        <w:pStyle w:val="10"/>
        <w:widowControl/>
        <w:ind w:firstLine="426"/>
        <w:jc w:val="both"/>
        <w:rPr>
          <w:b/>
          <w:lang w:val="ru-RU"/>
        </w:rPr>
      </w:pPr>
      <w:r>
        <w:rPr>
          <w:lang w:val="ru-RU"/>
        </w:rPr>
        <w:t>Например, величина готовой продукции по данным бухгалтерского баланса на конец 1999 г. составила 182112 руб. Чтобы привести эту величину в сопоставимые с началом 1999 г. цены, необходимо:</w:t>
      </w:r>
    </w:p>
    <w:p w:rsidR="001A453C" w:rsidRDefault="00B9281D">
      <w:pPr>
        <w:pStyle w:val="10"/>
        <w:widowControl/>
        <w:jc w:val="center"/>
        <w:rPr>
          <w:b/>
          <w:lang w:val="ru-RU"/>
        </w:rPr>
      </w:pPr>
      <w:r>
        <w:rPr>
          <w:b/>
          <w:position w:val="-58"/>
          <w:lang w:val="ru-RU"/>
        </w:rPr>
        <w:pict>
          <v:shape id="_x0000_i1028" type="#_x0000_t75" style="width:117.75pt;height:48pt" fillcolor="window">
            <v:imagedata r:id="rId9" o:title=""/>
          </v:shape>
        </w:pic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Полученную величину уже можно использовать для анализа по сравнению с началом 1999 г.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Пересчет основных средств, нематериальных активов, сырья и материалов, МБП в сопоставимые цены осуществляется следующим образом: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1) все объекты группируются по годам их приобретения;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2) для каждого года стоимостная оценка вида актива пересчитывается с помощью индекса цен текущего года и года приобретения активов;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3) полученные (пересчитанные) результаты суммируются.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 xml:space="preserve">Инфляция влияет и на сумму полученной прибыли. Предположим, что организация затратила на производство и реализацию продукции в отчетном году 37822 руб., а выручка составила 106969 тыс. руб. Следовательно, доход составляет 69147 руб. (106969-37822). Но мы знаем, что индекс инфляции в 1999 г. был равен 1,365, значит, себестоимость реализации необходимо скорректировать. Поэтому организации, если она не хочет допустить сокращения своего производства, придется уменьшить доход на 13805 руб. </w:t>
      </w:r>
      <w:r>
        <w:t>[</w:t>
      </w:r>
      <w:r>
        <w:rPr>
          <w:lang w:val="ru-RU"/>
        </w:rPr>
        <w:t xml:space="preserve">106969 – (37822 </w:t>
      </w:r>
      <w:r>
        <w:rPr>
          <w:lang w:val="ru-RU"/>
        </w:rPr>
        <w:sym w:font="Symbol" w:char="F0B4"/>
      </w:r>
      <w:r>
        <w:rPr>
          <w:lang w:val="ru-RU"/>
        </w:rPr>
        <w:t xml:space="preserve"> 1,365) = 55342 руб.</w:t>
      </w:r>
      <w:r>
        <w:t>]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 xml:space="preserve">Кроме того, на сумму выручки (10б969) тоже влияют цены, но цены реализации. 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Следует помнить, что общий индекс цен может не отражать реальных изменений в стоимости разных видов основных средств. Поэтому стоимость основных средств пересчитывается по специальным коэффициентам переоценки.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b/>
        </w:rPr>
        <w:t>II</w:t>
      </w:r>
      <w:r>
        <w:rPr>
          <w:b/>
          <w:lang w:val="ru-RU"/>
        </w:rPr>
        <w:t xml:space="preserve">. Использование модели текущих цен. </w:t>
      </w:r>
      <w:r>
        <w:rPr>
          <w:lang w:val="ru-RU"/>
        </w:rPr>
        <w:t xml:space="preserve">Этот метод является более точным, но и более трудоемким. Трудоемкость его заключается в том, что корректировка статей баланса производится </w:t>
      </w:r>
      <w:r>
        <w:rPr>
          <w:i/>
          <w:lang w:val="ru-RU"/>
        </w:rPr>
        <w:t xml:space="preserve">по разным видам </w:t>
      </w:r>
      <w:r>
        <w:rPr>
          <w:lang w:val="ru-RU"/>
        </w:rPr>
        <w:t xml:space="preserve">индексов цен (индекс роста цен по сырью и материалам, по МБП и т.д.), которые отличаются от общего индекса цен </w:t>
      </w:r>
      <w:r>
        <w:rPr>
          <w:i/>
          <w:lang w:val="ru-RU"/>
        </w:rPr>
        <w:t>(</w:t>
      </w:r>
      <w:r>
        <w:rPr>
          <w:i/>
        </w:rPr>
        <w:t>J</w:t>
      </w:r>
      <w:r>
        <w:rPr>
          <w:i/>
          <w:vertAlign w:val="subscript"/>
          <w:lang w:val="ru-RU"/>
        </w:rPr>
        <w:t>р</w:t>
      </w:r>
      <w:r>
        <w:rPr>
          <w:i/>
          <w:lang w:val="ru-RU"/>
        </w:rPr>
        <w:t xml:space="preserve">). </w:t>
      </w:r>
      <w:r>
        <w:rPr>
          <w:lang w:val="ru-RU"/>
        </w:rPr>
        <w:t xml:space="preserve">Кроме того, для расчета необходимо знать индексы цен и на конец года, и в среднем за год. Остатки по неденежным счетам на конец года умножаются на соответствующее отношение индекса цены данного вида актива на конец года к индексу цены этого же актива в среднем за год: </w:t>
      </w:r>
      <w:r w:rsidR="00B9281D">
        <w:rPr>
          <w:position w:val="-30"/>
          <w:lang w:val="ru-RU"/>
        </w:rPr>
        <w:pict>
          <v:shape id="_x0000_i1029" type="#_x0000_t75" style="width:62.25pt;height:38.25pt" fillcolor="window">
            <v:imagedata r:id="rId10" o:title=""/>
          </v:shape>
        </w:pict>
      </w:r>
      <w:r>
        <w:rPr>
          <w:lang w:val="ru-RU"/>
        </w:rPr>
        <w:t>, где – средний индекс цен за год. И так по каждому виду неденежных активов. Затем все пересчитанные суммы складываются, и получается реальная стоимость активов в текущих ценах.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Этот метод целесообразно применять тогда, когда цены на разные группы товарно-материальных ценностей растут неодинаково.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Стоимость основных средств корректируется точно так же, и, кроме того, корректируется и сумма накопленного износа.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>В качестве текущей стоимости могут использоваться: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 xml:space="preserve">1) </w:t>
      </w:r>
      <w:r>
        <w:rPr>
          <w:i/>
          <w:lang w:val="ru-RU"/>
        </w:rPr>
        <w:t xml:space="preserve">восстановительная стоимость любых видов активов – </w:t>
      </w:r>
      <w:r>
        <w:rPr>
          <w:lang w:val="ru-RU"/>
        </w:rPr>
        <w:t>та сумма, которую платят на рынке за аналогичные ценности, за вычетом износа;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 xml:space="preserve">2) </w:t>
      </w:r>
      <w:r>
        <w:rPr>
          <w:i/>
          <w:lang w:val="ru-RU"/>
        </w:rPr>
        <w:t xml:space="preserve">ликвидационная стоимость – </w:t>
      </w:r>
      <w:r>
        <w:rPr>
          <w:lang w:val="ru-RU"/>
        </w:rPr>
        <w:t>та сумма, которая выражает потенциальную чистую текущую цену продажи активов, за вычетом затрат на их доработку и реализацию;</w:t>
      </w:r>
    </w:p>
    <w:p w:rsidR="001A453C" w:rsidRDefault="001A453C">
      <w:pPr>
        <w:pStyle w:val="10"/>
        <w:widowControl/>
        <w:ind w:firstLine="426"/>
        <w:jc w:val="both"/>
        <w:rPr>
          <w:lang w:val="ru-RU"/>
        </w:rPr>
      </w:pPr>
      <w:r>
        <w:rPr>
          <w:lang w:val="ru-RU"/>
        </w:rPr>
        <w:t xml:space="preserve">3) </w:t>
      </w:r>
      <w:r>
        <w:rPr>
          <w:i/>
          <w:lang w:val="ru-RU"/>
        </w:rPr>
        <w:t xml:space="preserve">экономическая стоимость – </w:t>
      </w:r>
      <w:r>
        <w:rPr>
          <w:lang w:val="ru-RU"/>
        </w:rPr>
        <w:t>это дисконтированная оценка будущих чистых поступлений, полученных от использования активов.</w:t>
      </w:r>
    </w:p>
    <w:p w:rsidR="001A453C" w:rsidRDefault="001A453C">
      <w:bookmarkStart w:id="0" w:name="_GoBack"/>
      <w:bookmarkEnd w:id="0"/>
    </w:p>
    <w:sectPr w:rsidR="001A453C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53C" w:rsidRDefault="001A453C">
      <w:r>
        <w:separator/>
      </w:r>
    </w:p>
  </w:endnote>
  <w:endnote w:type="continuationSeparator" w:id="0">
    <w:p w:rsidR="001A453C" w:rsidRDefault="001A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53C" w:rsidRDefault="001A453C">
      <w:r>
        <w:separator/>
      </w:r>
    </w:p>
  </w:footnote>
  <w:footnote w:type="continuationSeparator" w:id="0">
    <w:p w:rsidR="001A453C" w:rsidRDefault="001A453C">
      <w:r>
        <w:continuationSeparator/>
      </w:r>
    </w:p>
  </w:footnote>
  <w:footnote w:id="1">
    <w:p w:rsidR="001A453C" w:rsidRDefault="001A453C">
      <w:pPr>
        <w:pStyle w:val="a4"/>
      </w:pPr>
      <w:r>
        <w:rPr>
          <w:rStyle w:val="a3"/>
        </w:rPr>
        <w:footnoteRef/>
      </w:r>
      <w:r>
        <w:t xml:space="preserve"> В квадратных скобках указан источник в списке литературы.</w:t>
      </w:r>
    </w:p>
  </w:footnote>
  <w:footnote w:id="2">
    <w:p w:rsidR="001A453C" w:rsidRDefault="001A453C">
      <w:pPr>
        <w:pStyle w:val="a4"/>
        <w:jc w:val="both"/>
      </w:pPr>
      <w:r>
        <w:rPr>
          <w:rStyle w:val="a3"/>
        </w:rPr>
        <w:footnoteRef/>
      </w:r>
      <w:r>
        <w:t xml:space="preserve"> Никитин С.М., Семенов Е.П. Гиперинфляция: латиноамериканский опыт и Россия // Деньги и кредит. – 1993. - № 6. – С. 42.</w:t>
      </w:r>
    </w:p>
  </w:footnote>
  <w:footnote w:id="3">
    <w:p w:rsidR="001A453C" w:rsidRDefault="001A453C">
      <w:pPr>
        <w:pStyle w:val="a4"/>
        <w:jc w:val="both"/>
      </w:pPr>
      <w:r>
        <w:rPr>
          <w:rStyle w:val="a3"/>
        </w:rPr>
        <w:footnoteRef/>
      </w:r>
      <w:r>
        <w:t xml:space="preserve"> По данным Госкомстата России, в г. Москве общий индекс потребительских цен в 1998 г. составил 209,6 % или 2,096 доли единицы.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E79"/>
    <w:rsid w:val="001A453C"/>
    <w:rsid w:val="003F7E79"/>
    <w:rsid w:val="00701591"/>
    <w:rsid w:val="00B9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,"/>
  <w:listSeparator w:val=";"/>
  <w15:chartTrackingRefBased/>
  <w15:docId w15:val="{0F4D62D1-5FE0-4D1A-AE89-F4BF9069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rFonts w:ascii="Arial" w:hAnsi="Arial"/>
      <w:kern w:val="28"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jc w:val="center"/>
      <w:outlineLvl w:val="1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paragraph" w:customStyle="1" w:styleId="10">
    <w:name w:val="Звичайний1"/>
    <w:pPr>
      <w:widowControl w:val="0"/>
    </w:pPr>
    <w:rPr>
      <w:snapToGrid w:val="0"/>
      <w:lang w:val="en-US"/>
    </w:rPr>
  </w:style>
  <w:style w:type="paragraph" w:styleId="a4">
    <w:name w:val="footnote text"/>
    <w:basedOn w:val="a"/>
    <w:semiHidden/>
  </w:style>
  <w:style w:type="paragraph" w:styleId="a5">
    <w:name w:val="Body Text"/>
    <w:basedOn w:val="a"/>
    <w:semiHidden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8020</Words>
  <Characters>45715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VSU</Company>
  <LinksUpToDate>false</LinksUpToDate>
  <CharactersWithSpaces>53628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Russian Vania</dc:creator>
  <cp:keywords/>
  <cp:lastModifiedBy>Irina</cp:lastModifiedBy>
  <cp:revision>2</cp:revision>
  <dcterms:created xsi:type="dcterms:W3CDTF">2014-09-05T15:09:00Z</dcterms:created>
  <dcterms:modified xsi:type="dcterms:W3CDTF">2014-09-05T15:09:00Z</dcterms:modified>
</cp:coreProperties>
</file>