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F2" w:rsidRDefault="008A1DF2">
      <w:pPr>
        <w:spacing w:line="340" w:lineRule="exact"/>
        <w:jc w:val="both"/>
        <w:rPr>
          <w:sz w:val="24"/>
          <w:szCs w:val="24"/>
          <w:lang w:val="ru-RU"/>
        </w:rPr>
      </w:pPr>
    </w:p>
    <w:p w:rsidR="008A1DF2" w:rsidRDefault="008A1DF2">
      <w:pPr>
        <w:pStyle w:val="3"/>
        <w:rPr>
          <w:sz w:val="28"/>
          <w:szCs w:val="28"/>
        </w:rPr>
      </w:pPr>
      <w:r>
        <w:rPr>
          <w:sz w:val="28"/>
          <w:szCs w:val="28"/>
        </w:rPr>
        <w:t>Способы маркирования отношений в именной группе в грузинском и турецком языках</w:t>
      </w:r>
    </w:p>
    <w:p w:rsidR="008A1DF2" w:rsidRDefault="008A1DF2">
      <w:pPr>
        <w:spacing w:line="340" w:lineRule="exact"/>
        <w:ind w:firstLine="426"/>
        <w:jc w:val="both"/>
        <w:rPr>
          <w:sz w:val="28"/>
          <w:szCs w:val="28"/>
          <w:lang w:val="ru-RU"/>
        </w:rPr>
      </w:pP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Способы маркирования отношений между элементами именной группы в турецком и грузинском языках подробно рассмотрены в сопоставительно аспекте в статье Winfried Boeder &amp; Christoph Schroeder «</w:t>
      </w:r>
      <w:r>
        <w:rPr>
          <w:sz w:val="24"/>
          <w:szCs w:val="24"/>
          <w:lang w:val="en-US"/>
        </w:rPr>
        <w:t>Relational coding in Georgian and Turkish noun phrases: syntax, derivational morphology, and “linking” by means of participles</w:t>
      </w:r>
      <w:r>
        <w:rPr>
          <w:sz w:val="24"/>
          <w:szCs w:val="24"/>
          <w:lang w:val="ru-RU"/>
        </w:rPr>
        <w:t xml:space="preserve">» (Winfried Boeder &amp; Christoph Schroeder 2000 </w:t>
      </w:r>
      <w:r>
        <w:rPr>
          <w:i/>
          <w:iCs/>
          <w:sz w:val="24"/>
          <w:szCs w:val="24"/>
          <w:lang w:val="ru-RU"/>
        </w:rPr>
        <w:t>Turkic Languages</w:t>
      </w:r>
      <w:r>
        <w:rPr>
          <w:sz w:val="24"/>
          <w:szCs w:val="24"/>
          <w:lang w:val="ru-RU"/>
        </w:rPr>
        <w:t xml:space="preserve"> 4, 153-204)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Эти два языка принадлежат к различным языковым семьям, но имеют смежные ареалы распространения. Семантические отношения между элементами именной группы могут по-разному маркироваться даже в близкородственных языках. Разумеется, при рассмотрении неродственных языков следует ожидать значительного различия. Однако в грузинском и турецком языках авторы статьи обнаруживают заметные черты сходства.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Различные семантические отношения внутри именной группы могут маркироваться одинаково и интересно то, как язык распределяет типы отношений и способы их маркирования. Цель данной статьи – показать, что сравнительное и типологическое изучение кодирования отношений в именной группе должно происходить с рассмотрением множества различных явлений, чтобы определить его место в универсальном континууме лингвистических средств.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средствам, используемым в различных языках для маркирования именных отношений, относятся причастия, композиты, предложный генитив,  генитивное падежное маркирование и деривация. Кроме того, возможны некоторые комбинации этих средств.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Структура именнных групп в рассматриваемых языках в значительной степени изоморфна: оба языка – левостороннего ветвления, однако в грузинском, в отличие от турецкого, возможна постпозиция определения.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Различается оформление связи внутри именной группы. В турецком маркер стоит на вершине группы, иногда возможно генитивное маркирование, в  грузинском же маркер стоит в зависимом слове. В турецком изафет требует падежного генитива для  референтных групп, негенитивный используется  для нереферентных.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В обоих языках есть отношения, которые кодируются непосредственным линейным примыканием, или соположением (например, мера чего-л.). Однако с</w:t>
      </w:r>
      <w:r>
        <w:rPr>
          <w:sz w:val="24"/>
          <w:szCs w:val="24"/>
          <w:lang w:val="en-US"/>
        </w:rPr>
        <w:t xml:space="preserve">оположение как различительная стратегия маркирования отношений не продуктивна в обоих языках.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Авторы статьи рассматривая использование генитива (осоновной формы маркирования отношение в именной группе), отмечают, что его сфера использования в грузинском значительно шире: он появляется не только там же, где и в турецком, но и там, где в турецком отношения маркируются словообразовательными средствами.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турецком генитив используется исключительно для маркирования отношений в ИГ, в грузинском есть несколько глаголов, актанты которых стоят в генитиве. </w:t>
      </w:r>
    </w:p>
    <w:p w:rsidR="008A1DF2" w:rsidRDefault="008A1DF2">
      <w:pPr>
        <w:spacing w:line="340" w:lineRule="exact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В целом можно сказать, что основная сфера использования генитива в обоих языках  - обозначение принадлежности, части от целого. </w:t>
      </w:r>
      <w:r>
        <w:rPr>
          <w:sz w:val="24"/>
          <w:szCs w:val="24"/>
          <w:lang w:val="en-US"/>
        </w:rPr>
        <w:t xml:space="preserve">Генитив практически единственный падеж для маркирования определений в ИГ. В обоих есть специфицирующий (или характеризующий) генитив, используемый в препозиции и обозначающий посессивность (часто от целого и актантные отношения). </w:t>
      </w:r>
      <w:r>
        <w:rPr>
          <w:sz w:val="24"/>
          <w:szCs w:val="24"/>
          <w:lang w:val="ru-RU"/>
        </w:rPr>
        <w:t xml:space="preserve">При номинализации грузинский свободно маркирует как субъектные, так и объектные отношения. Турецкий генитив может свободно маркировать только субъектные отношения, и очень редко прямое дополнение. </w:t>
      </w:r>
      <w:r>
        <w:rPr>
          <w:sz w:val="24"/>
          <w:szCs w:val="24"/>
          <w:lang w:val="en-US"/>
        </w:rPr>
        <w:t xml:space="preserve">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турецком генитив может также маркировать партитивные отношения ('один из X-ов</w:t>
      </w:r>
      <w:r>
        <w:rPr>
          <w:sz w:val="24"/>
          <w:szCs w:val="24"/>
          <w:lang w:val="en-US"/>
        </w:rPr>
        <w:t xml:space="preserve">’: X-PL-GEN </w:t>
      </w:r>
      <w:r>
        <w:rPr>
          <w:sz w:val="24"/>
          <w:szCs w:val="24"/>
          <w:lang w:val="ru-RU"/>
        </w:rPr>
        <w:t>один</w:t>
      </w:r>
      <w:r>
        <w:rPr>
          <w:sz w:val="24"/>
          <w:szCs w:val="24"/>
          <w:lang w:val="en-US"/>
        </w:rPr>
        <w:t>-POSS)</w:t>
      </w:r>
      <w:r>
        <w:rPr>
          <w:sz w:val="24"/>
          <w:szCs w:val="24"/>
          <w:lang w:val="ru-RU"/>
        </w:rPr>
        <w:t>. Кроме того, для того же может использоваться аблатив. В грузинском для кодирования партитива используется аблатив и конструкция, в которой обозначение множества становится синтаксической вершиной.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В грузинском, в отличие от турецкого, есть «классифицирующий» генитив,</w:t>
      </w:r>
      <w:r>
        <w:rPr>
          <w:sz w:val="24"/>
          <w:szCs w:val="24"/>
          <w:lang w:val="en-US"/>
        </w:rPr>
        <w:t xml:space="preserve"> который нормально отделяется от вершины.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 xml:space="preserve">Он соотносится </w:t>
      </w:r>
      <w:r>
        <w:rPr>
          <w:sz w:val="24"/>
          <w:szCs w:val="24"/>
          <w:lang w:val="ru-RU"/>
        </w:rPr>
        <w:t xml:space="preserve">с двумя конструкциями в турецком: с простым соположением и с </w:t>
      </w:r>
      <w:r>
        <w:rPr>
          <w:sz w:val="24"/>
          <w:szCs w:val="24"/>
          <w:lang w:val="en-US"/>
        </w:rPr>
        <w:t xml:space="preserve">аблативом материала. 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грузинском классифицирующий генитив соотносится с чистым изафетом, а генитивный маркер – функциональный эквивалент маркера при вершине ИГ в турецком.</w:t>
      </w:r>
    </w:p>
    <w:p w:rsidR="008A1DF2" w:rsidRDefault="008A1DF2">
      <w:pPr>
        <w:spacing w:line="340" w:lineRule="exact"/>
        <w:ind w:firstLine="426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Семантические отношения между грузинским зависимым стоящим перед вершиной генитивом и вершиной, равно как и между турецкой определяющей составляющей и вершиной сильно контекстно мотивированы и, в этом смысле, крайне неспицифичны. Однако есть методы усиления специфики того или иного значения. Существует две стратегии. Первая – деривационная. Языки производят сложные прилагательные. Вторая  - интенсивное использование соединительных лексических средств, по большей степени причастий, но до определенной степени и прилагательные в турецком.</w:t>
      </w:r>
    </w:p>
    <w:p w:rsidR="008A1DF2" w:rsidRDefault="008A1DF2">
      <w:pPr>
        <w:pStyle w:val="21"/>
        <w:spacing w:line="340" w:lineRule="exact"/>
      </w:pPr>
      <w:r>
        <w:t>В обоих языках деривацонно прилагательные могут образовываться от существительных. В турецком специальные суффиксы производят  прилагательные со значением и меры, комитатива или каритива, происхождения. В грузинском есть суффиксы для выражения значения обладания (суффикс близок по семантике к турецкому суффиксу комитатива), для выражения времени, когда происходило действие или когда оно прекратилось. Такие суффиксы (и это касается обоих языков) присоединяются не к основе существительного, а к группе.</w:t>
      </w:r>
    </w:p>
    <w:p w:rsidR="008A1DF2" w:rsidRDefault="008A1DF2">
      <w:pPr>
        <w:tabs>
          <w:tab w:val="left" w:pos="0"/>
        </w:tabs>
        <w:spacing w:line="340" w:lineRule="exact"/>
        <w:ind w:left="142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Структура </w:t>
      </w:r>
      <w:r>
        <w:rPr>
          <w:sz w:val="24"/>
          <w:szCs w:val="24"/>
          <w:lang w:val="en-US"/>
        </w:rPr>
        <w:t xml:space="preserve">именной группы, как уже было сказано, </w:t>
      </w:r>
      <w:r>
        <w:rPr>
          <w:sz w:val="24"/>
          <w:szCs w:val="24"/>
          <w:lang w:val="ru-RU"/>
        </w:rPr>
        <w:t xml:space="preserve"> в этих двух языках в большой степени изоморфна. Порядок элементов и многое другое (включая незначительные детали) практически идентичны. Это явление следует исследовать и установить, в какой степени этот изоморфизм является следствием ареальной близости. Однако есть и различия: например, в грузинском, в отличие от турецкого, возможна постпозиция определения в различных падежах.</w:t>
      </w:r>
    </w:p>
    <w:p w:rsidR="008A1DF2" w:rsidRDefault="008A1DF2">
      <w:pPr>
        <w:tabs>
          <w:tab w:val="left" w:pos="0"/>
        </w:tabs>
        <w:spacing w:line="340" w:lineRule="exact"/>
        <w:ind w:left="142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целом можно сказать, что системы кодирования отношений внутри именной группы характеризуются двумя принципами, общими для обоих языков:</w:t>
      </w:r>
    </w:p>
    <w:p w:rsidR="008A1DF2" w:rsidRDefault="008A1DF2">
      <w:pPr>
        <w:numPr>
          <w:ilvl w:val="0"/>
          <w:numId w:val="1"/>
        </w:numPr>
        <w:tabs>
          <w:tab w:val="left" w:pos="0"/>
        </w:tabs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более или менее специфические формы кодирования этих отношений. Генитив – форма, которая используется «по умолчанию» (</w:t>
      </w:r>
      <w:r>
        <w:rPr>
          <w:sz w:val="24"/>
          <w:szCs w:val="24"/>
          <w:lang w:val="en-US"/>
        </w:rPr>
        <w:t>default form</w:t>
      </w:r>
      <w:r>
        <w:rPr>
          <w:sz w:val="24"/>
          <w:szCs w:val="24"/>
          <w:lang w:val="ru-RU"/>
        </w:rPr>
        <w:t>). Одно и то же отношение может маркироваться по-разному (это определяется стилем или этот выбор грамматикализуется в ряде языков). Грамматические правила могут обуславливать выбор того или иного способа. Выбор между причастием, деривацией или другим способом грамматикализован в турецком,   грузинском и, например, венгерском (который обнаруживает вообще большое сходство с турецким).</w:t>
      </w:r>
    </w:p>
    <w:p w:rsidR="008A1DF2" w:rsidRDefault="008A1DF2">
      <w:pPr>
        <w:numPr>
          <w:ilvl w:val="0"/>
          <w:numId w:val="1"/>
        </w:numPr>
        <w:tabs>
          <w:tab w:val="clear" w:pos="502"/>
          <w:tab w:val="num" w:pos="0"/>
        </w:tabs>
        <w:spacing w:line="340" w:lineRule="exact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Свойства составляющих отношений (например, референциальный статус) также оказывают влияние на выбор способа.</w:t>
      </w:r>
      <w:bookmarkStart w:id="0" w:name="_GoBack"/>
      <w:bookmarkEnd w:id="0"/>
    </w:p>
    <w:sectPr w:rsidR="008A1DF2">
      <w:headerReference w:type="default" r:id="rId7"/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F2" w:rsidRDefault="008A1DF2">
      <w:r>
        <w:separator/>
      </w:r>
    </w:p>
  </w:endnote>
  <w:endnote w:type="continuationSeparator" w:id="0">
    <w:p w:rsidR="008A1DF2" w:rsidRDefault="008A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F2" w:rsidRDefault="008A1DF2">
      <w:r>
        <w:separator/>
      </w:r>
    </w:p>
  </w:footnote>
  <w:footnote w:type="continuationSeparator" w:id="0">
    <w:p w:rsidR="008A1DF2" w:rsidRDefault="008A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F2" w:rsidRDefault="005F18F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A1DF2" w:rsidRDefault="008A1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32A80"/>
    <w:multiLevelType w:val="singleLevel"/>
    <w:tmpl w:val="324E689A"/>
    <w:lvl w:ilvl="0">
      <w:start w:val="1"/>
      <w:numFmt w:val="decimal"/>
      <w:lvlText w:val="%1)"/>
      <w:lvlJc w:val="left"/>
      <w:pPr>
        <w:tabs>
          <w:tab w:val="num" w:pos="943"/>
        </w:tabs>
        <w:ind w:left="943" w:hanging="375"/>
      </w:pPr>
      <w:rPr>
        <w:rFonts w:hint="default"/>
      </w:rPr>
    </w:lvl>
  </w:abstractNum>
  <w:abstractNum w:abstractNumId="1">
    <w:nsid w:val="60C24F44"/>
    <w:multiLevelType w:val="singleLevel"/>
    <w:tmpl w:val="6BB09A2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8FD"/>
    <w:rsid w:val="005B72C4"/>
    <w:rsid w:val="005F18FD"/>
    <w:rsid w:val="008A1DF2"/>
    <w:rsid w:val="008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1CB1A2-A050-4584-A1D2-2BC94BF3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426"/>
      <w:jc w:val="both"/>
    </w:pPr>
    <w:rPr>
      <w:sz w:val="24"/>
      <w:szCs w:val="24"/>
      <w:lang w:val="en-US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21">
    <w:name w:val="Body Text Indent 2"/>
    <w:basedOn w:val="a"/>
    <w:link w:val="22"/>
    <w:uiPriority w:val="99"/>
    <w:pPr>
      <w:tabs>
        <w:tab w:val="left" w:pos="0"/>
      </w:tabs>
      <w:spacing w:line="360" w:lineRule="auto"/>
      <w:ind w:left="142" w:firstLine="426"/>
      <w:jc w:val="both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pPr>
      <w:spacing w:line="340" w:lineRule="exact"/>
      <w:ind w:firstLine="426"/>
      <w:jc w:val="center"/>
    </w:pPr>
    <w:rPr>
      <w:b/>
      <w:bCs/>
      <w:sz w:val="24"/>
      <w:szCs w:val="24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посвящена распределению и варьированию маркировки отношений в именных группах в Турецком и Грузинском</vt:lpstr>
    </vt:vector>
  </TitlesOfParts>
  <Company> 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посвящена распределению и варьированию маркировки отношений в именных группах в Турецком и Грузинском</dc:title>
  <dc:subject/>
  <dc:creator>minlos</dc:creator>
  <cp:keywords/>
  <dc:description/>
  <cp:lastModifiedBy>admin</cp:lastModifiedBy>
  <cp:revision>2</cp:revision>
  <cp:lastPrinted>2002-01-28T09:09:00Z</cp:lastPrinted>
  <dcterms:created xsi:type="dcterms:W3CDTF">2014-03-08T09:46:00Z</dcterms:created>
  <dcterms:modified xsi:type="dcterms:W3CDTF">2014-03-08T09:46:00Z</dcterms:modified>
</cp:coreProperties>
</file>