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AA" w:rsidRPr="00E70A6A" w:rsidRDefault="00E70A6A" w:rsidP="00966D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Сравнительная характеристика налогообложения инноваций </w:t>
      </w:r>
      <w:r w:rsidR="009F3656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sz w:val="28"/>
          <w:szCs w:val="28"/>
          <w:lang w:eastAsia="ru-RU"/>
        </w:rPr>
        <w:t>нефтяной отрасли: Россия - Норвегия</w:t>
      </w:r>
    </w:p>
    <w:p w:rsidR="00966DAA" w:rsidRDefault="00966DAA" w:rsidP="00966DA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66DAA" w:rsidRPr="007A1533" w:rsidRDefault="00966DAA" w:rsidP="00966DAA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7A1533">
        <w:rPr>
          <w:rFonts w:ascii="Times New Roman" w:hAnsi="Times New Roman"/>
          <w:b/>
          <w:sz w:val="28"/>
          <w:szCs w:val="28"/>
        </w:rPr>
        <w:t>А.С. Мустафина,</w:t>
      </w:r>
    </w:p>
    <w:p w:rsidR="00966DAA" w:rsidRPr="004D1489" w:rsidRDefault="00966DAA" w:rsidP="00966D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6DAA" w:rsidRPr="007A1533" w:rsidRDefault="00966DAA" w:rsidP="00966DA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1533">
        <w:rPr>
          <w:rFonts w:ascii="Times New Roman" w:hAnsi="Times New Roman"/>
          <w:b/>
          <w:sz w:val="28"/>
          <w:szCs w:val="28"/>
        </w:rPr>
        <w:t>Использование новых технологий, новых видов техники, а также новых методов организации упра</w:t>
      </w:r>
      <w:r>
        <w:rPr>
          <w:rFonts w:ascii="Times New Roman" w:hAnsi="Times New Roman"/>
          <w:b/>
          <w:sz w:val="28"/>
          <w:szCs w:val="28"/>
        </w:rPr>
        <w:t>вления и производства</w:t>
      </w:r>
      <w:r w:rsidRPr="007A1533">
        <w:rPr>
          <w:rFonts w:ascii="Times New Roman" w:hAnsi="Times New Roman"/>
          <w:b/>
          <w:sz w:val="28"/>
          <w:szCs w:val="28"/>
        </w:rPr>
        <w:t xml:space="preserve"> обеспечивает, как известно, снижение производственных затрат, ведет к снижению цен, увеличению размера прибыли, к стимулированию новых потребностей, к росту репутации (имиджа) компании и к завоеванию новых рынков сбыта. Учитывая эт</w:t>
      </w:r>
      <w:r>
        <w:rPr>
          <w:rFonts w:ascii="Times New Roman" w:hAnsi="Times New Roman"/>
          <w:b/>
          <w:sz w:val="28"/>
          <w:szCs w:val="28"/>
        </w:rPr>
        <w:t>и возможности,</w:t>
      </w:r>
      <w:r w:rsidRPr="007A1533">
        <w:rPr>
          <w:rFonts w:ascii="Times New Roman" w:hAnsi="Times New Roman"/>
          <w:b/>
          <w:sz w:val="28"/>
          <w:szCs w:val="28"/>
        </w:rPr>
        <w:t xml:space="preserve"> организации нефтегазового комплекса стремятся проводить инновационную политику.</w:t>
      </w:r>
    </w:p>
    <w:p w:rsidR="00966DAA" w:rsidRPr="004D1489" w:rsidRDefault="00966DAA" w:rsidP="00966DA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DAA" w:rsidRDefault="00966DAA" w:rsidP="00966D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свидетельствует статистика, в</w:t>
      </w:r>
      <w:r w:rsidRPr="004D1489">
        <w:rPr>
          <w:sz w:val="28"/>
          <w:szCs w:val="28"/>
        </w:rPr>
        <w:t xml:space="preserve"> последние годы крупнейшие нефтяные компании </w:t>
      </w:r>
      <w:r>
        <w:rPr>
          <w:sz w:val="28"/>
          <w:szCs w:val="28"/>
        </w:rPr>
        <w:t xml:space="preserve">России </w:t>
      </w:r>
      <w:r w:rsidRPr="004D1489">
        <w:rPr>
          <w:sz w:val="28"/>
          <w:szCs w:val="28"/>
        </w:rPr>
        <w:t>существенно увеличили финансирование НИОКР (рис. 1). При</w:t>
      </w:r>
      <w:r>
        <w:rPr>
          <w:sz w:val="28"/>
          <w:szCs w:val="28"/>
        </w:rPr>
        <w:t xml:space="preserve"> этом характерной особенностью является то, что</w:t>
      </w:r>
      <w:r w:rsidRPr="004D1489">
        <w:rPr>
          <w:sz w:val="28"/>
          <w:szCs w:val="28"/>
        </w:rPr>
        <w:t xml:space="preserve"> основной объем инвестиций приходи</w:t>
      </w:r>
      <w:r>
        <w:rPr>
          <w:sz w:val="28"/>
          <w:szCs w:val="28"/>
        </w:rPr>
        <w:t>т</w:t>
      </w:r>
      <w:r w:rsidRPr="004D148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теперь не </w:t>
      </w:r>
      <w:r w:rsidRPr="004D1489">
        <w:rPr>
          <w:sz w:val="28"/>
          <w:szCs w:val="28"/>
        </w:rPr>
        <w:t xml:space="preserve">на фундаментальные исследования, </w:t>
      </w:r>
      <w:r>
        <w:rPr>
          <w:sz w:val="28"/>
          <w:szCs w:val="28"/>
        </w:rPr>
        <w:t>как это было в прежние годы (в последнее десятилетие ХХ века), а преимущественно</w:t>
      </w:r>
      <w:r w:rsidRPr="004D1489">
        <w:rPr>
          <w:sz w:val="28"/>
          <w:szCs w:val="28"/>
        </w:rPr>
        <w:t xml:space="preserve"> на определенный сегмент производственного процесса, </w:t>
      </w:r>
      <w:r>
        <w:rPr>
          <w:sz w:val="28"/>
          <w:szCs w:val="28"/>
        </w:rPr>
        <w:t xml:space="preserve">в частности, </w:t>
      </w:r>
      <w:r w:rsidRPr="004D1489">
        <w:rPr>
          <w:sz w:val="28"/>
          <w:szCs w:val="28"/>
        </w:rPr>
        <w:t xml:space="preserve">на разведку и добычу. </w:t>
      </w:r>
    </w:p>
    <w:p w:rsidR="00966DAA" w:rsidRDefault="00966DAA" w:rsidP="00966DAA">
      <w:pPr>
        <w:pStyle w:val="Default"/>
        <w:ind w:firstLine="709"/>
        <w:jc w:val="both"/>
        <w:rPr>
          <w:sz w:val="28"/>
          <w:szCs w:val="28"/>
        </w:rPr>
      </w:pPr>
    </w:p>
    <w:p w:rsidR="00966DAA" w:rsidRPr="008D490D" w:rsidRDefault="00966DAA" w:rsidP="00966DAA">
      <w:pPr>
        <w:pStyle w:val="a3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D490D">
        <w:rPr>
          <w:rFonts w:ascii="Times New Roman" w:hAnsi="Times New Roman"/>
          <w:sz w:val="28"/>
          <w:szCs w:val="28"/>
        </w:rPr>
        <w:t>Затраты нефтяных компаний на финансирование НИОКР</w:t>
      </w:r>
    </w:p>
    <w:p w:rsidR="00966DAA" w:rsidRDefault="00C17057" w:rsidP="00966DAA">
      <w:pPr>
        <w:pStyle w:val="Default"/>
        <w:ind w:firstLine="709"/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36pt;height:178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">
            <v:imagedata r:id="rId5" o:title=""/>
            <o:lock v:ext="edit" aspectratio="f"/>
          </v:shape>
        </w:pict>
      </w:r>
    </w:p>
    <w:p w:rsidR="00966DAA" w:rsidRDefault="00966DAA" w:rsidP="003D151F">
      <w:pPr>
        <w:pStyle w:val="a3"/>
        <w:spacing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4D1489">
        <w:rPr>
          <w:rFonts w:ascii="Times New Roman" w:hAnsi="Times New Roman"/>
          <w:b w:val="0"/>
          <w:sz w:val="28"/>
          <w:szCs w:val="28"/>
        </w:rPr>
        <w:t>Рис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4D1489">
        <w:rPr>
          <w:rFonts w:ascii="Times New Roman" w:hAnsi="Times New Roman"/>
          <w:b w:val="0"/>
          <w:sz w:val="28"/>
          <w:szCs w:val="28"/>
        </w:rPr>
        <w:t xml:space="preserve"> </w:t>
      </w:r>
      <w:r w:rsidRPr="004D1489">
        <w:rPr>
          <w:rFonts w:ascii="Times New Roman" w:hAnsi="Times New Roman"/>
          <w:b w:val="0"/>
          <w:sz w:val="28"/>
          <w:szCs w:val="28"/>
        </w:rPr>
        <w:fldChar w:fldCharType="begin"/>
      </w:r>
      <w:r w:rsidRPr="004D1489">
        <w:rPr>
          <w:rFonts w:ascii="Times New Roman" w:hAnsi="Times New Roman"/>
          <w:b w:val="0"/>
          <w:sz w:val="28"/>
          <w:szCs w:val="28"/>
        </w:rPr>
        <w:instrText xml:space="preserve"> SEQ Рисунок \* ARABIC </w:instrText>
      </w:r>
      <w:r w:rsidRPr="004D1489">
        <w:rPr>
          <w:rFonts w:ascii="Times New Roman" w:hAnsi="Times New Roman"/>
          <w:b w:val="0"/>
          <w:sz w:val="28"/>
          <w:szCs w:val="28"/>
        </w:rPr>
        <w:fldChar w:fldCharType="separate"/>
      </w:r>
      <w:r w:rsidR="00FA5F67">
        <w:rPr>
          <w:rFonts w:ascii="Times New Roman" w:hAnsi="Times New Roman"/>
          <w:b w:val="0"/>
          <w:noProof/>
          <w:sz w:val="28"/>
          <w:szCs w:val="28"/>
        </w:rPr>
        <w:t>1</w:t>
      </w:r>
      <w:r w:rsidRPr="004D1489">
        <w:rPr>
          <w:rFonts w:ascii="Times New Roman" w:hAnsi="Times New Roman"/>
          <w:b w:val="0"/>
          <w:sz w:val="28"/>
          <w:szCs w:val="28"/>
        </w:rPr>
        <w:fldChar w:fldCharType="end"/>
      </w:r>
    </w:p>
    <w:p w:rsidR="003D151F" w:rsidRPr="004D1489" w:rsidRDefault="003D151F" w:rsidP="003D151F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Проведя анализ действующей системы налогового стимулирования научной и инновационной деятельности, </w:t>
      </w:r>
      <w:r w:rsidR="00E70A6A">
        <w:rPr>
          <w:rStyle w:val="FontStyle11"/>
          <w:rFonts w:ascii="Times New Roman" w:hAnsi="Times New Roman" w:cs="Times New Roman"/>
          <w:sz w:val="28"/>
          <w:szCs w:val="28"/>
        </w:rPr>
        <w:t>выявлены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следующие основные проблемы:</w:t>
      </w:r>
    </w:p>
    <w:p w:rsidR="003D151F" w:rsidRPr="004D1489" w:rsidRDefault="003D151F" w:rsidP="003D151F">
      <w:pPr>
        <w:pStyle w:val="Style3"/>
        <w:widowControl/>
        <w:numPr>
          <w:ilvl w:val="0"/>
          <w:numId w:val="1"/>
        </w:numPr>
        <w:tabs>
          <w:tab w:val="left" w:pos="926"/>
        </w:tabs>
        <w:spacing w:line="240" w:lineRule="auto"/>
        <w:ind w:left="0"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23416B">
        <w:rPr>
          <w:rStyle w:val="FontStyle11"/>
          <w:rFonts w:ascii="Times New Roman" w:hAnsi="Times New Roman" w:cs="Times New Roman"/>
          <w:sz w:val="28"/>
          <w:szCs w:val="28"/>
        </w:rPr>
        <w:t>отсутствует комплексность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4D1489">
        <w:rPr>
          <w:rStyle w:val="FontStyle11"/>
          <w:rFonts w:ascii="Times New Roman" w:hAnsi="Times New Roman" w:cs="Times New Roman"/>
          <w:sz w:val="28"/>
          <w:szCs w:val="28"/>
        </w:rPr>
        <w:t>мер</w:t>
      </w:r>
      <w:r>
        <w:rPr>
          <w:rStyle w:val="FontStyle11"/>
          <w:rFonts w:ascii="Times New Roman" w:hAnsi="Times New Roman" w:cs="Times New Roman"/>
          <w:sz w:val="28"/>
          <w:szCs w:val="28"/>
        </w:rPr>
        <w:t>ы</w:t>
      </w:r>
      <w:r w:rsidRPr="004D1489">
        <w:rPr>
          <w:rStyle w:val="FontStyle11"/>
          <w:rFonts w:ascii="Times New Roman" w:hAnsi="Times New Roman" w:cs="Times New Roman"/>
          <w:sz w:val="28"/>
          <w:szCs w:val="28"/>
        </w:rPr>
        <w:t xml:space="preserve"> налогового стимули</w:t>
      </w:r>
      <w:r>
        <w:rPr>
          <w:rStyle w:val="FontStyle11"/>
          <w:rFonts w:ascii="Times New Roman" w:hAnsi="Times New Roman" w:cs="Times New Roman"/>
          <w:sz w:val="28"/>
          <w:szCs w:val="28"/>
        </w:rPr>
        <w:t>рования</w:t>
      </w:r>
      <w:r w:rsidRPr="004D1489">
        <w:rPr>
          <w:rStyle w:val="FontStyle11"/>
          <w:rFonts w:ascii="Times New Roman" w:hAnsi="Times New Roman" w:cs="Times New Roman"/>
          <w:sz w:val="28"/>
          <w:szCs w:val="28"/>
        </w:rPr>
        <w:t xml:space="preserve"> вводятся фрагментарно и охватывают отдельные сегменты (виды) инновационной деятельности;</w:t>
      </w:r>
    </w:p>
    <w:p w:rsidR="003D151F" w:rsidRPr="004D1489" w:rsidRDefault="003D151F" w:rsidP="003D151F">
      <w:pPr>
        <w:pStyle w:val="Style3"/>
        <w:widowControl/>
        <w:numPr>
          <w:ilvl w:val="0"/>
          <w:numId w:val="1"/>
        </w:numPr>
        <w:tabs>
          <w:tab w:val="left" w:pos="926"/>
        </w:tabs>
        <w:spacing w:line="240" w:lineRule="auto"/>
        <w:ind w:left="0"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23416B">
        <w:rPr>
          <w:rStyle w:val="FontStyle11"/>
          <w:rFonts w:ascii="Times New Roman" w:hAnsi="Times New Roman" w:cs="Times New Roman"/>
          <w:sz w:val="28"/>
          <w:szCs w:val="28"/>
        </w:rPr>
        <w:t>нет стыковки</w:t>
      </w:r>
      <w:r w:rsidRPr="004D1489">
        <w:rPr>
          <w:rStyle w:val="FontStyle11"/>
          <w:rFonts w:ascii="Times New Roman" w:hAnsi="Times New Roman" w:cs="Times New Roman"/>
          <w:sz w:val="28"/>
          <w:szCs w:val="28"/>
        </w:rPr>
        <w:t xml:space="preserve"> между мерами общего налогового регулирования и льготными режимами, вследствие чего налоговые льготы могут терять свое значение;</w:t>
      </w:r>
    </w:p>
    <w:p w:rsidR="003D151F" w:rsidRDefault="003D151F" w:rsidP="003D151F">
      <w:pPr>
        <w:pStyle w:val="Style3"/>
        <w:widowControl/>
        <w:numPr>
          <w:ilvl w:val="0"/>
          <w:numId w:val="1"/>
        </w:numPr>
        <w:tabs>
          <w:tab w:val="left" w:pos="926"/>
        </w:tabs>
        <w:spacing w:line="240" w:lineRule="auto"/>
        <w:ind w:left="0"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23416B">
        <w:rPr>
          <w:rStyle w:val="FontStyle11"/>
          <w:rFonts w:ascii="Times New Roman" w:hAnsi="Times New Roman" w:cs="Times New Roman"/>
          <w:sz w:val="28"/>
          <w:szCs w:val="28"/>
        </w:rPr>
        <w:t xml:space="preserve">недостаточное число льгот, направленных на стимулирование инновационной деятельности, а также неоднозначность трактовки действующих условий применения налоговых льгот. Это  приводит к различной  интерпретации  возможностей  их </w:t>
      </w:r>
      <w:r w:rsidRPr="0023416B">
        <w:rPr>
          <w:rStyle w:val="FontStyle12"/>
          <w:rFonts w:ascii="Times New Roman" w:hAnsi="Times New Roman" w:cs="Times New Roman"/>
          <w:b w:val="0"/>
          <w:sz w:val="28"/>
          <w:szCs w:val="28"/>
        </w:rPr>
        <w:t>использования, создает ситуацию нестабильности и усложняет отношения организаций с налоговыми органами;</w:t>
      </w:r>
    </w:p>
    <w:p w:rsidR="003D151F" w:rsidRDefault="003D151F" w:rsidP="003D151F">
      <w:pPr>
        <w:pStyle w:val="Style3"/>
        <w:widowControl/>
        <w:numPr>
          <w:ilvl w:val="0"/>
          <w:numId w:val="1"/>
        </w:numPr>
        <w:tabs>
          <w:tab w:val="left" w:pos="926"/>
        </w:tabs>
        <w:spacing w:line="240" w:lineRule="auto"/>
        <w:ind w:left="0"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23416B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имеется целый ряд терминологических пробелов и неясностей, что сужает спектр возможных приложений действующих налоговых льгот и тормозит введение новых налоговых стимулов; </w:t>
      </w:r>
    </w:p>
    <w:p w:rsidR="003D151F" w:rsidRDefault="003D151F" w:rsidP="003D151F">
      <w:pPr>
        <w:pStyle w:val="Style3"/>
        <w:widowControl/>
        <w:numPr>
          <w:ilvl w:val="0"/>
          <w:numId w:val="1"/>
        </w:numPr>
        <w:tabs>
          <w:tab w:val="left" w:pos="926"/>
        </w:tabs>
        <w:spacing w:line="240" w:lineRule="auto"/>
        <w:ind w:left="0"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23416B">
        <w:rPr>
          <w:rStyle w:val="FontStyle12"/>
          <w:rFonts w:ascii="Times New Roman" w:hAnsi="Times New Roman" w:cs="Times New Roman"/>
          <w:b w:val="0"/>
          <w:sz w:val="28"/>
          <w:szCs w:val="28"/>
        </w:rPr>
        <w:t>система налогового администрирования сильно забюрократизирована. Проблема заключается не только в отсутствии каких-либо льгот, а в сложности их использования. Предприятиям проще работать вне льготного режима, чем доказывать налоговым органам право на использование льгот. Соотношение выгод от возможного применения льгот и рисков дополнительных проверок и прохождения через различные бюрократические процедуры пока вынуждает компании к отказу от налоговых льгот;</w:t>
      </w:r>
    </w:p>
    <w:p w:rsidR="003D151F" w:rsidRPr="0023416B" w:rsidRDefault="003D151F" w:rsidP="003D151F">
      <w:pPr>
        <w:pStyle w:val="Style3"/>
        <w:widowControl/>
        <w:numPr>
          <w:ilvl w:val="0"/>
          <w:numId w:val="1"/>
        </w:numPr>
        <w:tabs>
          <w:tab w:val="left" w:pos="926"/>
        </w:tabs>
        <w:spacing w:line="240" w:lineRule="auto"/>
        <w:ind w:left="0"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23416B">
        <w:rPr>
          <w:rStyle w:val="FontStyle12"/>
          <w:rFonts w:ascii="Times New Roman" w:hAnsi="Times New Roman" w:cs="Times New Roman"/>
          <w:b w:val="0"/>
          <w:sz w:val="28"/>
          <w:szCs w:val="28"/>
        </w:rPr>
        <w:t>практически отсутствует налоговое стимулирование организаций-посредников, то есть таких организаций, которые содействуют установлению связей между организациями науки и предприятиями (финансовые, консалтинговые, экспертные организации, образовательные (тренинговые) центры, в том числе расположенные в технопарках, инновационно-технологических центрах и др.)</w:t>
      </w:r>
    </w:p>
    <w:p w:rsidR="00C64F1F" w:rsidRDefault="003D151F" w:rsidP="00C64F1F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Среди негативных факторов особо выделяется</w:t>
      </w:r>
      <w:r w:rsidRPr="004D1489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непредсказуемость государственной политики, часты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й</w:t>
      </w:r>
      <w:r w:rsidRPr="004D1489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пересмотр мер без оценки прошлого опыта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  <w:r w:rsidRPr="004D1489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Э</w:t>
      </w:r>
      <w:r w:rsidRPr="004D1489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то не 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позволяет </w:t>
      </w:r>
      <w:r w:rsidRPr="004D1489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предприятиям планировать свою работу на долгий срок. Между тем инновационная деятельность и затраты на нее являются долгосрочными вложениями. </w:t>
      </w:r>
    </w:p>
    <w:p w:rsidR="00E70A6A" w:rsidRPr="00C64F1F" w:rsidRDefault="00E70A6A" w:rsidP="00C64F1F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F1F">
        <w:rPr>
          <w:rFonts w:ascii="Times New Roman" w:hAnsi="Times New Roman" w:cs="Times New Roman"/>
          <w:i/>
          <w:sz w:val="28"/>
          <w:szCs w:val="28"/>
        </w:rPr>
        <w:t>Государственная политика Норвегии</w:t>
      </w:r>
      <w:r w:rsidRPr="00C64F1F">
        <w:rPr>
          <w:rFonts w:ascii="Times New Roman" w:hAnsi="Times New Roman" w:cs="Times New Roman"/>
          <w:sz w:val="28"/>
          <w:szCs w:val="28"/>
        </w:rPr>
        <w:t xml:space="preserve"> по с</w:t>
      </w:r>
      <w:r w:rsidR="005752A5" w:rsidRPr="00C64F1F">
        <w:rPr>
          <w:rFonts w:ascii="Times New Roman" w:hAnsi="Times New Roman" w:cs="Times New Roman"/>
          <w:sz w:val="28"/>
          <w:szCs w:val="28"/>
        </w:rPr>
        <w:t>тимулированию инновационной дея</w:t>
      </w:r>
      <w:r w:rsidRPr="00C64F1F">
        <w:rPr>
          <w:rFonts w:ascii="Times New Roman" w:hAnsi="Times New Roman" w:cs="Times New Roman"/>
          <w:sz w:val="28"/>
          <w:szCs w:val="28"/>
        </w:rPr>
        <w:t>тельности может представлять интерес для России в силу нескольких причин.</w:t>
      </w:r>
      <w:r w:rsidR="00C64F1F" w:rsidRPr="00C64F1F">
        <w:rPr>
          <w:rFonts w:ascii="Times New Roman" w:hAnsi="Times New Roman" w:cs="Times New Roman"/>
          <w:sz w:val="28"/>
          <w:szCs w:val="28"/>
        </w:rPr>
        <w:t xml:space="preserve"> </w:t>
      </w:r>
      <w:r w:rsidRPr="00C64F1F">
        <w:rPr>
          <w:rFonts w:ascii="Times New Roman" w:hAnsi="Times New Roman" w:cs="Times New Roman"/>
          <w:sz w:val="28"/>
          <w:szCs w:val="28"/>
        </w:rPr>
        <w:t>Во-первых, в обеих странах существует проблем</w:t>
      </w:r>
      <w:r w:rsidR="00C64F1F" w:rsidRPr="00C64F1F">
        <w:rPr>
          <w:rFonts w:ascii="Times New Roman" w:hAnsi="Times New Roman" w:cs="Times New Roman"/>
          <w:sz w:val="28"/>
          <w:szCs w:val="28"/>
        </w:rPr>
        <w:t>а старения ресурсной базы, исто</w:t>
      </w:r>
      <w:r w:rsidRPr="00C64F1F">
        <w:rPr>
          <w:rFonts w:ascii="Times New Roman" w:hAnsi="Times New Roman" w:cs="Times New Roman"/>
          <w:sz w:val="28"/>
          <w:szCs w:val="28"/>
        </w:rPr>
        <w:t>щения запасов и вследствие этого необходимо</w:t>
      </w:r>
      <w:r w:rsidR="00C64F1F" w:rsidRPr="00C64F1F">
        <w:rPr>
          <w:rFonts w:ascii="Times New Roman" w:hAnsi="Times New Roman" w:cs="Times New Roman"/>
          <w:sz w:val="28"/>
          <w:szCs w:val="28"/>
        </w:rPr>
        <w:t>сть разработки новых месторожде</w:t>
      </w:r>
      <w:r w:rsidRPr="00C64F1F">
        <w:rPr>
          <w:rFonts w:ascii="Times New Roman" w:hAnsi="Times New Roman" w:cs="Times New Roman"/>
          <w:sz w:val="28"/>
          <w:szCs w:val="28"/>
        </w:rPr>
        <w:t>ний, находящихся в труднодоступных регионах. Во-вторых, с ростом издержек на</w:t>
      </w:r>
      <w:r w:rsidR="00C64F1F" w:rsidRPr="00C64F1F">
        <w:rPr>
          <w:rFonts w:ascii="Times New Roman" w:hAnsi="Times New Roman" w:cs="Times New Roman"/>
          <w:sz w:val="28"/>
          <w:szCs w:val="28"/>
        </w:rPr>
        <w:t xml:space="preserve"> </w:t>
      </w:r>
      <w:r w:rsidRPr="00C64F1F">
        <w:rPr>
          <w:rFonts w:ascii="Times New Roman" w:hAnsi="Times New Roman" w:cs="Times New Roman"/>
          <w:sz w:val="28"/>
          <w:szCs w:val="28"/>
        </w:rPr>
        <w:t>добычу актуальным вопросом в России и Норвег</w:t>
      </w:r>
      <w:r w:rsidR="00C64F1F" w:rsidRPr="00C64F1F">
        <w:rPr>
          <w:rFonts w:ascii="Times New Roman" w:hAnsi="Times New Roman" w:cs="Times New Roman"/>
          <w:sz w:val="28"/>
          <w:szCs w:val="28"/>
        </w:rPr>
        <w:t>ии является развитие и использо</w:t>
      </w:r>
      <w:r w:rsidRPr="00C64F1F">
        <w:rPr>
          <w:rFonts w:ascii="Times New Roman" w:hAnsi="Times New Roman" w:cs="Times New Roman"/>
          <w:sz w:val="28"/>
          <w:szCs w:val="28"/>
        </w:rPr>
        <w:t>вание новых технологий. В-третьих, норвежское государство, как и российское,</w:t>
      </w:r>
      <w:r w:rsidR="00C64F1F" w:rsidRPr="00C64F1F">
        <w:rPr>
          <w:rFonts w:ascii="Times New Roman" w:hAnsi="Times New Roman" w:cs="Times New Roman"/>
          <w:sz w:val="28"/>
          <w:szCs w:val="28"/>
        </w:rPr>
        <w:t xml:space="preserve"> </w:t>
      </w:r>
      <w:r w:rsidRPr="00C64F1F">
        <w:rPr>
          <w:rFonts w:ascii="Times New Roman" w:hAnsi="Times New Roman" w:cs="Times New Roman"/>
          <w:sz w:val="28"/>
          <w:szCs w:val="28"/>
        </w:rPr>
        <w:t>играет немалую роль в нефтедобывающей промышленности.</w:t>
      </w:r>
    </w:p>
    <w:p w:rsidR="00E70A6A" w:rsidRPr="00C64F1F" w:rsidRDefault="00E70A6A" w:rsidP="00C6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sz w:val="28"/>
          <w:szCs w:val="28"/>
          <w:lang w:eastAsia="ru-RU"/>
        </w:rPr>
        <w:t>Норвегия – крупная нефтедобывающая и экспортирующая страна, лидер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по ряду направлений научно-технического прогресса в сфере нефтедобычи.</w:t>
      </w:r>
    </w:p>
    <w:p w:rsidR="00E70A6A" w:rsidRPr="00C64F1F" w:rsidRDefault="00E70A6A" w:rsidP="00C6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sz w:val="28"/>
          <w:szCs w:val="28"/>
          <w:lang w:eastAsia="ru-RU"/>
        </w:rPr>
        <w:t>Расходы на НИОКР в Норвегии зафиксированы примерно на одном уровне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за последние несколько лет и составляют 1,5% ВВП. Такой же показатель был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и в 2005 г. В 2004 г. эта цифр</w:t>
      </w:r>
      <w:r w:rsidR="00C64F1F">
        <w:rPr>
          <w:rFonts w:ascii="Times New Roman" w:hAnsi="Times New Roman"/>
          <w:sz w:val="28"/>
          <w:szCs w:val="28"/>
          <w:lang w:eastAsia="ru-RU"/>
        </w:rPr>
        <w:t>а составляла 1,6%, а в 2003 г. -</w:t>
      </w:r>
      <w:r w:rsidRPr="00C64F1F">
        <w:rPr>
          <w:rFonts w:ascii="Times New Roman" w:hAnsi="Times New Roman"/>
          <w:sz w:val="28"/>
          <w:szCs w:val="28"/>
          <w:lang w:eastAsia="ru-RU"/>
        </w:rPr>
        <w:t xml:space="preserve"> 1,7% (здесь надо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учитывать, что ВВП сильно вырос за счет резкого повышения цен на нефть).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Если сравнивать с другими скандинавскими государствами, доля расходов на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 xml:space="preserve">НИОКР в ВВП Норвегии значительно ниже. </w:t>
      </w:r>
      <w:r w:rsidR="00C64F1F">
        <w:rPr>
          <w:rFonts w:ascii="Times New Roman" w:hAnsi="Times New Roman"/>
          <w:sz w:val="28"/>
          <w:szCs w:val="28"/>
          <w:lang w:eastAsia="ru-RU"/>
        </w:rPr>
        <w:t>Объяснение состоит в том, что бо</w:t>
      </w:r>
      <w:r w:rsidRPr="00C64F1F">
        <w:rPr>
          <w:rFonts w:ascii="Times New Roman" w:hAnsi="Times New Roman"/>
          <w:sz w:val="28"/>
          <w:szCs w:val="28"/>
          <w:lang w:eastAsia="ru-RU"/>
        </w:rPr>
        <w:t>льшую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долю ВВП Норвегии составляют низко- и сре</w:t>
      </w:r>
      <w:r w:rsidR="00C64F1F">
        <w:rPr>
          <w:rFonts w:ascii="Times New Roman" w:hAnsi="Times New Roman"/>
          <w:sz w:val="28"/>
          <w:szCs w:val="28"/>
          <w:lang w:eastAsia="ru-RU"/>
        </w:rPr>
        <w:t>д</w:t>
      </w:r>
      <w:r w:rsidRPr="00C64F1F">
        <w:rPr>
          <w:rFonts w:ascii="Times New Roman" w:hAnsi="Times New Roman"/>
          <w:sz w:val="28"/>
          <w:szCs w:val="28"/>
          <w:lang w:eastAsia="ru-RU"/>
        </w:rPr>
        <w:t>нетехнологичные отрасли об</w:t>
      </w:r>
      <w:r w:rsidR="00C64F1F">
        <w:rPr>
          <w:rFonts w:ascii="Times New Roman" w:hAnsi="Times New Roman"/>
          <w:sz w:val="28"/>
          <w:szCs w:val="28"/>
          <w:lang w:eastAsia="ru-RU"/>
        </w:rPr>
        <w:t>раба</w:t>
      </w:r>
      <w:r w:rsidRPr="00C64F1F">
        <w:rPr>
          <w:rFonts w:ascii="Times New Roman" w:hAnsi="Times New Roman"/>
          <w:sz w:val="28"/>
          <w:szCs w:val="28"/>
          <w:lang w:eastAsia="ru-RU"/>
        </w:rPr>
        <w:t>тывающей промышленности, нефтегазовая промышленность (она не считается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высокотехнологичной), сфера услуг и рыболовство.</w:t>
      </w:r>
    </w:p>
    <w:p w:rsidR="00E70A6A" w:rsidRPr="00C64F1F" w:rsidRDefault="00E70A6A" w:rsidP="00C6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sz w:val="28"/>
          <w:szCs w:val="28"/>
          <w:lang w:eastAsia="ru-RU"/>
        </w:rPr>
        <w:t>В целях создания благоприятной среды для развития инновационной дея</w:t>
      </w:r>
      <w:r w:rsidR="00C64F1F">
        <w:rPr>
          <w:rFonts w:ascii="Times New Roman" w:hAnsi="Times New Roman"/>
          <w:sz w:val="28"/>
          <w:szCs w:val="28"/>
          <w:lang w:eastAsia="ru-RU"/>
        </w:rPr>
        <w:t>тель</w:t>
      </w:r>
      <w:r w:rsidRPr="00C64F1F">
        <w:rPr>
          <w:rFonts w:ascii="Times New Roman" w:hAnsi="Times New Roman"/>
          <w:sz w:val="28"/>
          <w:szCs w:val="28"/>
          <w:lang w:eastAsia="ru-RU"/>
        </w:rPr>
        <w:t>ности норвежское правительство поощряет различные формы сотрудничества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компаний, занимающихся инновациями. Наряду со стремлени</w:t>
      </w:r>
      <w:r w:rsidR="00C64F1F">
        <w:rPr>
          <w:rFonts w:ascii="Times New Roman" w:hAnsi="Times New Roman"/>
          <w:sz w:val="28"/>
          <w:szCs w:val="28"/>
          <w:lang w:eastAsia="ru-RU"/>
        </w:rPr>
        <w:t>ем развивать инсти</w:t>
      </w:r>
      <w:r w:rsidRPr="00C64F1F">
        <w:rPr>
          <w:rFonts w:ascii="Times New Roman" w:hAnsi="Times New Roman"/>
          <w:sz w:val="28"/>
          <w:szCs w:val="28"/>
          <w:lang w:eastAsia="ru-RU"/>
        </w:rPr>
        <w:t>туциональные основы здоровой инновационной политики и увеличить расходы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на НИОКР в приоритетные направления норвежской политики входит поощ</w:t>
      </w:r>
      <w:r w:rsidR="00C64F1F">
        <w:rPr>
          <w:rFonts w:ascii="Times New Roman" w:hAnsi="Times New Roman"/>
          <w:sz w:val="28"/>
          <w:szCs w:val="28"/>
          <w:lang w:eastAsia="ru-RU"/>
        </w:rPr>
        <w:t>ре</w:t>
      </w:r>
      <w:r w:rsidRPr="00C64F1F">
        <w:rPr>
          <w:rFonts w:ascii="Times New Roman" w:hAnsi="Times New Roman"/>
          <w:sz w:val="28"/>
          <w:szCs w:val="28"/>
          <w:lang w:eastAsia="ru-RU"/>
        </w:rPr>
        <w:t>ние частного акционерного и венчурного капитала, развитие различных форм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сотрудничества с национальным и международным бизнесом.</w:t>
      </w:r>
    </w:p>
    <w:p w:rsidR="00E70A6A" w:rsidRPr="00C64F1F" w:rsidRDefault="00E70A6A" w:rsidP="00C6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sz w:val="28"/>
          <w:szCs w:val="28"/>
          <w:lang w:eastAsia="ru-RU"/>
        </w:rPr>
        <w:t>Постоянным приоритетом норвежской политики было создание отече</w:t>
      </w:r>
      <w:r w:rsidR="00C64F1F">
        <w:rPr>
          <w:rFonts w:ascii="Times New Roman" w:hAnsi="Times New Roman"/>
          <w:sz w:val="28"/>
          <w:szCs w:val="28"/>
          <w:lang w:eastAsia="ru-RU"/>
        </w:rPr>
        <w:t>ствен</w:t>
      </w:r>
      <w:r w:rsidRPr="00C64F1F">
        <w:rPr>
          <w:rFonts w:ascii="Times New Roman" w:hAnsi="Times New Roman"/>
          <w:sz w:val="28"/>
          <w:szCs w:val="28"/>
          <w:lang w:eastAsia="ru-RU"/>
        </w:rPr>
        <w:t>ного научно-технического потенциала. С самого начала становления нефтяной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промышленности Норвегия сотрудничала с иностранными компаниями в силу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отсутствия собственной базы для развития отрасли. При этом лицензионные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соглашения стимулируют передачу технологий от иностранных компаний к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норвежским. Предусматривается поощрение и вознаграждение иностранных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компаний, которые вносят вклад в создание национального научно-технического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потенциала в нефтяной промышленности.</w:t>
      </w:r>
    </w:p>
    <w:p w:rsidR="00E70A6A" w:rsidRPr="00C64F1F" w:rsidRDefault="00E70A6A" w:rsidP="00C6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sz w:val="28"/>
          <w:szCs w:val="28"/>
          <w:lang w:eastAsia="ru-RU"/>
        </w:rPr>
        <w:t>Большое значение в становлении нефтегазовой промышленности Норвегии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имеет готовность ключевых игроков к инвестированию в НИОКР. На</w:t>
      </w:r>
      <w:r w:rsidR="00C64F1F">
        <w:rPr>
          <w:rFonts w:ascii="Times New Roman" w:hAnsi="Times New Roman"/>
          <w:sz w:val="28"/>
          <w:szCs w:val="28"/>
          <w:lang w:eastAsia="ru-RU"/>
        </w:rPr>
        <w:t>ряду с ком</w:t>
      </w:r>
      <w:r w:rsidRPr="00C64F1F">
        <w:rPr>
          <w:rFonts w:ascii="Times New Roman" w:hAnsi="Times New Roman"/>
          <w:sz w:val="28"/>
          <w:szCs w:val="28"/>
          <w:lang w:eastAsia="ru-RU"/>
        </w:rPr>
        <w:t>паниями, заинтересованными в разработке и использовании новых технологий,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немалую роль в этом процессе играет и государство. Министерство нефтяной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промышленности и энергетики инициировало финансируемую государством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пятилетнюю программу развития НИОКР в сфере увеличения извлечения нефти,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целью которой провозглашены создание научн</w:t>
      </w:r>
      <w:r w:rsidR="00C64F1F">
        <w:rPr>
          <w:rFonts w:ascii="Times New Roman" w:hAnsi="Times New Roman"/>
          <w:sz w:val="28"/>
          <w:szCs w:val="28"/>
          <w:lang w:eastAsia="ru-RU"/>
        </w:rPr>
        <w:t>ой среды мирового уровня и нако</w:t>
      </w:r>
      <w:r w:rsidRPr="00C64F1F">
        <w:rPr>
          <w:rFonts w:ascii="Times New Roman" w:hAnsi="Times New Roman"/>
          <w:sz w:val="28"/>
          <w:szCs w:val="28"/>
          <w:lang w:eastAsia="ru-RU"/>
        </w:rPr>
        <w:t>пление в Норвегии знаний в области нефтедобычи.</w:t>
      </w:r>
    </w:p>
    <w:p w:rsidR="00E70A6A" w:rsidRPr="00C64F1F" w:rsidRDefault="00E70A6A" w:rsidP="00C6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sz w:val="28"/>
          <w:szCs w:val="28"/>
          <w:lang w:eastAsia="ru-RU"/>
        </w:rPr>
        <w:t>Государство поставило задачу к 2020 г. стать ведущим международным центром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нефтяной и газовой отрасли за счет привлечения к инвестированию между</w:t>
      </w:r>
      <w:r w:rsidR="00C64F1F">
        <w:rPr>
          <w:rFonts w:ascii="Times New Roman" w:hAnsi="Times New Roman"/>
          <w:sz w:val="28"/>
          <w:szCs w:val="28"/>
          <w:lang w:eastAsia="ru-RU"/>
        </w:rPr>
        <w:t>народ</w:t>
      </w:r>
      <w:r w:rsidRPr="00C64F1F">
        <w:rPr>
          <w:rFonts w:ascii="Times New Roman" w:hAnsi="Times New Roman"/>
          <w:sz w:val="28"/>
          <w:szCs w:val="28"/>
          <w:lang w:eastAsia="ru-RU"/>
        </w:rPr>
        <w:t>ных компаний и позиционирования Норвегии как экспортера ценных техно</w:t>
      </w:r>
      <w:r w:rsidR="00C64F1F">
        <w:rPr>
          <w:rFonts w:ascii="Times New Roman" w:hAnsi="Times New Roman"/>
          <w:sz w:val="28"/>
          <w:szCs w:val="28"/>
          <w:lang w:eastAsia="ru-RU"/>
        </w:rPr>
        <w:t>ло</w:t>
      </w:r>
      <w:r w:rsidRPr="00C64F1F">
        <w:rPr>
          <w:rFonts w:ascii="Times New Roman" w:hAnsi="Times New Roman"/>
          <w:sz w:val="28"/>
          <w:szCs w:val="28"/>
          <w:lang w:eastAsia="ru-RU"/>
        </w:rPr>
        <w:t>гий, которые могут поддержать глобальную деятельность по разведке и добыче.</w:t>
      </w:r>
    </w:p>
    <w:p w:rsidR="00E70A6A" w:rsidRPr="00C64F1F" w:rsidRDefault="00E70A6A" w:rsidP="00C64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sz w:val="28"/>
          <w:szCs w:val="28"/>
          <w:lang w:eastAsia="ru-RU"/>
        </w:rPr>
        <w:t>Для поощрения развития НИОКР в промышленности предусмотрена система</w:t>
      </w:r>
      <w:r w:rsidR="00C64F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налоговых льгот</w:t>
      </w:r>
      <w:r w:rsidR="009F79B3">
        <w:rPr>
          <w:rFonts w:ascii="Times New Roman" w:hAnsi="Times New Roman"/>
          <w:sz w:val="28"/>
          <w:szCs w:val="28"/>
          <w:lang w:eastAsia="ru-RU"/>
        </w:rPr>
        <w:t>.</w:t>
      </w:r>
    </w:p>
    <w:p w:rsidR="0020775B" w:rsidRPr="00C64F1F" w:rsidRDefault="0020775B" w:rsidP="009F3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Налогообложение нефтяных компаний </w:t>
      </w:r>
      <w:r w:rsidR="009F3656">
        <w:rPr>
          <w:rFonts w:ascii="Times New Roman" w:hAnsi="Times New Roman"/>
          <w:sz w:val="28"/>
          <w:szCs w:val="28"/>
          <w:lang w:eastAsia="ru-RU"/>
        </w:rPr>
        <w:t>основывается на стандартном кор</w:t>
      </w:r>
      <w:r w:rsidRPr="00C64F1F">
        <w:rPr>
          <w:rFonts w:ascii="Times New Roman" w:hAnsi="Times New Roman"/>
          <w:sz w:val="28"/>
          <w:szCs w:val="28"/>
          <w:lang w:eastAsia="ru-RU"/>
        </w:rPr>
        <w:t>поративном налоге (28%) и дополняется спе</w:t>
      </w:r>
      <w:r w:rsidR="009F3656">
        <w:rPr>
          <w:rFonts w:ascii="Times New Roman" w:hAnsi="Times New Roman"/>
          <w:sz w:val="28"/>
          <w:szCs w:val="28"/>
          <w:lang w:eastAsia="ru-RU"/>
        </w:rPr>
        <w:t>циальным налогом (50%) на сверх</w:t>
      </w:r>
      <w:r w:rsidRPr="00C64F1F">
        <w:rPr>
          <w:rFonts w:ascii="Times New Roman" w:hAnsi="Times New Roman"/>
          <w:sz w:val="28"/>
          <w:szCs w:val="28"/>
          <w:lang w:eastAsia="ru-RU"/>
        </w:rPr>
        <w:t>прибыль от нефтяной деятельности. Компании имеют право на льготы для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покрытия расходов на НИОКР, по геологоразведке, операционным расходам и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затратам, связанным с выводом из эксплуатации производственных мощностей.</w:t>
      </w:r>
    </w:p>
    <w:p w:rsidR="0020775B" w:rsidRPr="00C64F1F" w:rsidRDefault="0020775B" w:rsidP="009F3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sz w:val="28"/>
          <w:szCs w:val="28"/>
          <w:lang w:eastAsia="ru-RU"/>
        </w:rPr>
        <w:t xml:space="preserve">Налоговый режим учитывает финансовые </w:t>
      </w:r>
      <w:r w:rsidR="009F3656">
        <w:rPr>
          <w:rFonts w:ascii="Times New Roman" w:hAnsi="Times New Roman"/>
          <w:sz w:val="28"/>
          <w:szCs w:val="28"/>
          <w:lang w:eastAsia="ru-RU"/>
        </w:rPr>
        <w:t>риски компаний, связанные с рас</w:t>
      </w:r>
      <w:r w:rsidRPr="00C64F1F">
        <w:rPr>
          <w:rFonts w:ascii="Times New Roman" w:hAnsi="Times New Roman"/>
          <w:sz w:val="28"/>
          <w:szCs w:val="28"/>
          <w:lang w:eastAsia="ru-RU"/>
        </w:rPr>
        <w:t>ходами на разведку. Возмещение расходов может достигать уровня нефтяного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налога, если компании не могут открыть ресурсы в своей лицензионной зоне.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Такой механизм поощряет вхождение в сектор новых компаний, устраняя риск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того, что им придется нести 100% расходов на разведку в случае безуспешного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бурения 60.</w:t>
      </w:r>
    </w:p>
    <w:p w:rsidR="0020775B" w:rsidRPr="00C64F1F" w:rsidRDefault="0020775B" w:rsidP="009F3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sz w:val="28"/>
          <w:szCs w:val="28"/>
          <w:lang w:eastAsia="ru-RU"/>
        </w:rPr>
        <w:t>Другой мерой налоговой политики является компенсация дефицита финансов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при завершении производственной деятельности. Было внесено изменение в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систему амортизации для краткосрочных акти</w:t>
      </w:r>
      <w:r w:rsidR="009F3656">
        <w:rPr>
          <w:rFonts w:ascii="Times New Roman" w:hAnsi="Times New Roman"/>
          <w:sz w:val="28"/>
          <w:szCs w:val="28"/>
          <w:lang w:eastAsia="ru-RU"/>
        </w:rPr>
        <w:t>вов, касающееся ускоренного спи</w:t>
      </w:r>
      <w:r w:rsidRPr="00C64F1F">
        <w:rPr>
          <w:rFonts w:ascii="Times New Roman" w:hAnsi="Times New Roman"/>
          <w:sz w:val="28"/>
          <w:szCs w:val="28"/>
          <w:lang w:eastAsia="ru-RU"/>
        </w:rPr>
        <w:t>сания капитальных затрат для активов со сроком службы менее шести лет. Все эти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меры направлены на освоение новых ресурсов, расположенных вблизи суще</w:t>
      </w:r>
      <w:r w:rsidR="009F3656">
        <w:rPr>
          <w:rFonts w:ascii="Times New Roman" w:hAnsi="Times New Roman"/>
          <w:sz w:val="28"/>
          <w:szCs w:val="28"/>
          <w:lang w:eastAsia="ru-RU"/>
        </w:rPr>
        <w:t>ству</w:t>
      </w:r>
      <w:r w:rsidRPr="00C64F1F">
        <w:rPr>
          <w:rFonts w:ascii="Times New Roman" w:hAnsi="Times New Roman"/>
          <w:sz w:val="28"/>
          <w:szCs w:val="28"/>
          <w:lang w:eastAsia="ru-RU"/>
        </w:rPr>
        <w:t>ющей инфраструктуры, на разведку неосвоенных территорий и добычу из зрелых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месторождений, где требуются незначительные инвестиции в инфраструктуру.</w:t>
      </w:r>
    </w:p>
    <w:p w:rsidR="00E70A6A" w:rsidRPr="00C64F1F" w:rsidRDefault="0020775B" w:rsidP="009F3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sz w:val="28"/>
          <w:szCs w:val="28"/>
          <w:lang w:eastAsia="ru-RU"/>
        </w:rPr>
        <w:t>Согласно обзорам недавние налоговые поощрения достигли желаемого ре</w:t>
      </w:r>
      <w:r w:rsidR="009F3656">
        <w:rPr>
          <w:rFonts w:ascii="Times New Roman" w:hAnsi="Times New Roman"/>
          <w:sz w:val="28"/>
          <w:szCs w:val="28"/>
          <w:lang w:eastAsia="ru-RU"/>
        </w:rPr>
        <w:t>зуль</w:t>
      </w:r>
      <w:r w:rsidRPr="00C64F1F">
        <w:rPr>
          <w:rFonts w:ascii="Times New Roman" w:hAnsi="Times New Roman"/>
          <w:sz w:val="28"/>
          <w:szCs w:val="28"/>
          <w:lang w:eastAsia="ru-RU"/>
        </w:rPr>
        <w:t>тата, поскольку привели к активизации бурения и стимулировали выход малых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компаний на шельф. Прогнозируется увеличение уровня добычи из место</w:t>
      </w:r>
      <w:r w:rsidR="009F3656">
        <w:rPr>
          <w:rFonts w:ascii="Times New Roman" w:hAnsi="Times New Roman"/>
          <w:sz w:val="28"/>
          <w:szCs w:val="28"/>
          <w:lang w:eastAsia="ru-RU"/>
        </w:rPr>
        <w:t>рож</w:t>
      </w:r>
      <w:r w:rsidRPr="00C64F1F">
        <w:rPr>
          <w:rFonts w:ascii="Times New Roman" w:hAnsi="Times New Roman"/>
          <w:sz w:val="28"/>
          <w:szCs w:val="28"/>
          <w:lang w:eastAsia="ru-RU"/>
        </w:rPr>
        <w:t>дений, которые иначе остались бы неосвоенными. Помимо этого поиску новых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инновационных решений способствовало введение одного из самых высоких в Европе налогов на выбросы двуокиси углерода. Это под</w:t>
      </w:r>
      <w:r w:rsidR="009F3656">
        <w:rPr>
          <w:rFonts w:ascii="Times New Roman" w:hAnsi="Times New Roman"/>
          <w:sz w:val="28"/>
          <w:szCs w:val="28"/>
          <w:lang w:eastAsia="ru-RU"/>
        </w:rPr>
        <w:t>толкнуло отрасль к выра</w:t>
      </w:r>
      <w:r w:rsidRPr="00C64F1F">
        <w:rPr>
          <w:rFonts w:ascii="Times New Roman" w:hAnsi="Times New Roman"/>
          <w:sz w:val="28"/>
          <w:szCs w:val="28"/>
          <w:lang w:eastAsia="ru-RU"/>
        </w:rPr>
        <w:t>ботке технологических решений, которые сделали Норвегию мировым лидером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по улавливанию и хранению углерода.</w:t>
      </w:r>
    </w:p>
    <w:p w:rsidR="0020775B" w:rsidRPr="00C64F1F" w:rsidRDefault="009F3656" w:rsidP="009F3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20775B" w:rsidRPr="00C64F1F">
        <w:rPr>
          <w:rFonts w:ascii="Times New Roman" w:hAnsi="Times New Roman"/>
          <w:sz w:val="28"/>
          <w:szCs w:val="28"/>
          <w:lang w:eastAsia="ru-RU"/>
        </w:rPr>
        <w:t>толкнувшись с проблемой постепенного снижения уровня добычи нефти, старения месторо</w:t>
      </w:r>
      <w:r>
        <w:rPr>
          <w:rFonts w:ascii="Times New Roman" w:hAnsi="Times New Roman"/>
          <w:sz w:val="28"/>
          <w:szCs w:val="28"/>
          <w:lang w:eastAsia="ru-RU"/>
        </w:rPr>
        <w:t>ждений и необходи</w:t>
      </w:r>
      <w:r w:rsidR="0020775B" w:rsidRPr="00C64F1F">
        <w:rPr>
          <w:rFonts w:ascii="Times New Roman" w:hAnsi="Times New Roman"/>
          <w:sz w:val="28"/>
          <w:szCs w:val="28"/>
          <w:lang w:eastAsia="ru-RU"/>
        </w:rPr>
        <w:t>мостью разработки новых месторождений в т</w:t>
      </w:r>
      <w:r>
        <w:rPr>
          <w:rFonts w:ascii="Times New Roman" w:hAnsi="Times New Roman"/>
          <w:sz w:val="28"/>
          <w:szCs w:val="28"/>
          <w:lang w:eastAsia="ru-RU"/>
        </w:rPr>
        <w:t>руднодоступных территориях, нор</w:t>
      </w:r>
      <w:r w:rsidR="0020775B" w:rsidRPr="00C64F1F">
        <w:rPr>
          <w:rFonts w:ascii="Times New Roman" w:hAnsi="Times New Roman"/>
          <w:sz w:val="28"/>
          <w:szCs w:val="28"/>
          <w:lang w:eastAsia="ru-RU"/>
        </w:rPr>
        <w:t>вежское государство постепенно и планомерно взяло курс на создание системы,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75B" w:rsidRPr="00C64F1F">
        <w:rPr>
          <w:rFonts w:ascii="Times New Roman" w:hAnsi="Times New Roman"/>
          <w:sz w:val="28"/>
          <w:szCs w:val="28"/>
          <w:lang w:eastAsia="ru-RU"/>
        </w:rPr>
        <w:t>направленной на развитие технологической базы страны. Была сделана ставка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75B" w:rsidRPr="00C64F1F">
        <w:rPr>
          <w:rFonts w:ascii="Times New Roman" w:hAnsi="Times New Roman"/>
          <w:sz w:val="28"/>
          <w:szCs w:val="28"/>
          <w:lang w:eastAsia="ru-RU"/>
        </w:rPr>
        <w:t>сотрудничество компаний-операторов, занимаю</w:t>
      </w:r>
      <w:r>
        <w:rPr>
          <w:rFonts w:ascii="Times New Roman" w:hAnsi="Times New Roman"/>
          <w:sz w:val="28"/>
          <w:szCs w:val="28"/>
          <w:lang w:eastAsia="ru-RU"/>
        </w:rPr>
        <w:t>щихся разведкой и добычей, круп</w:t>
      </w:r>
      <w:r w:rsidR="0020775B" w:rsidRPr="00C64F1F">
        <w:rPr>
          <w:rFonts w:ascii="Times New Roman" w:hAnsi="Times New Roman"/>
          <w:sz w:val="28"/>
          <w:szCs w:val="28"/>
          <w:lang w:eastAsia="ru-RU"/>
        </w:rPr>
        <w:t>ных международных сервисных компаний, мал</w:t>
      </w:r>
      <w:r>
        <w:rPr>
          <w:rFonts w:ascii="Times New Roman" w:hAnsi="Times New Roman"/>
          <w:sz w:val="28"/>
          <w:szCs w:val="28"/>
          <w:lang w:eastAsia="ru-RU"/>
        </w:rPr>
        <w:t>ых поставщиков, сервисных компа</w:t>
      </w:r>
      <w:r w:rsidR="0020775B" w:rsidRPr="00C64F1F">
        <w:rPr>
          <w:rFonts w:ascii="Times New Roman" w:hAnsi="Times New Roman"/>
          <w:sz w:val="28"/>
          <w:szCs w:val="28"/>
          <w:lang w:eastAsia="ru-RU"/>
        </w:rPr>
        <w:t>ний, являющихся пионерами в разработке новых технологий, исследовательских</w:t>
      </w:r>
    </w:p>
    <w:p w:rsidR="0020775B" w:rsidRPr="00C64F1F" w:rsidRDefault="0020775B" w:rsidP="00575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sz w:val="28"/>
          <w:szCs w:val="28"/>
          <w:lang w:eastAsia="ru-RU"/>
        </w:rPr>
        <w:t>институтов, соответствующих правительственных структур, что должно спо</w:t>
      </w:r>
      <w:r w:rsidR="009F3656">
        <w:rPr>
          <w:rFonts w:ascii="Times New Roman" w:hAnsi="Times New Roman"/>
          <w:sz w:val="28"/>
          <w:szCs w:val="28"/>
          <w:lang w:eastAsia="ru-RU"/>
        </w:rPr>
        <w:t>соб</w:t>
      </w:r>
      <w:r w:rsidRPr="00C64F1F">
        <w:rPr>
          <w:rFonts w:ascii="Times New Roman" w:hAnsi="Times New Roman"/>
          <w:sz w:val="28"/>
          <w:szCs w:val="28"/>
          <w:lang w:eastAsia="ru-RU"/>
        </w:rPr>
        <w:t>ствовать созданию благоприятных условий для развития передовых технологий.</w:t>
      </w:r>
    </w:p>
    <w:p w:rsidR="0020775B" w:rsidRPr="00C64F1F" w:rsidRDefault="0020775B" w:rsidP="009F3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sz w:val="28"/>
          <w:szCs w:val="28"/>
          <w:lang w:eastAsia="ru-RU"/>
        </w:rPr>
        <w:t>Норвегия выбрала путь отраслевого сотрудничества и координации с развитым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частно</w:t>
      </w:r>
      <w:r w:rsidR="00567E53">
        <w:rPr>
          <w:rFonts w:ascii="Times New Roman" w:hAnsi="Times New Roman"/>
          <w:sz w:val="28"/>
          <w:szCs w:val="28"/>
          <w:lang w:eastAsia="ru-RU"/>
        </w:rPr>
        <w:t>-</w:t>
      </w:r>
      <w:r w:rsidRPr="00C64F1F">
        <w:rPr>
          <w:rFonts w:ascii="Times New Roman" w:hAnsi="Times New Roman"/>
          <w:sz w:val="28"/>
          <w:szCs w:val="28"/>
          <w:lang w:eastAsia="ru-RU"/>
        </w:rPr>
        <w:t>государственным партнерством.</w:t>
      </w:r>
    </w:p>
    <w:p w:rsidR="005752A5" w:rsidRPr="00C64F1F" w:rsidRDefault="005752A5" w:rsidP="00567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1F">
        <w:rPr>
          <w:rFonts w:ascii="Times New Roman" w:hAnsi="Times New Roman"/>
          <w:sz w:val="28"/>
          <w:szCs w:val="28"/>
          <w:lang w:eastAsia="ru-RU"/>
        </w:rPr>
        <w:t>В ближайшие годы Норвегия намерена наращивать финансирование фундаментальных исследований. В правительстве есть понимание того, что способность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промышленности разрабатывать новые методы добычи и пионерские технологии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зависит от долгосрочных обязательств в области исследований, взятых на себя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государством. В свою очередь, нефтяные компании, кроме финансового участия,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должны предоставлять пилотные площадки для испытания новых технологий.</w:t>
      </w:r>
    </w:p>
    <w:p w:rsidR="003D3914" w:rsidRPr="003D151F" w:rsidRDefault="005752A5" w:rsidP="009F365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64F1F">
        <w:rPr>
          <w:rFonts w:ascii="Times New Roman" w:hAnsi="Times New Roman"/>
          <w:sz w:val="28"/>
          <w:szCs w:val="28"/>
          <w:lang w:eastAsia="ru-RU"/>
        </w:rPr>
        <w:t>Таким образом, опыт Норвегии свидетельствует о том, что участие государства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может способствовать эффективному развитию нефтедобывающей отрасли. Помимо</w:t>
      </w:r>
      <w:r w:rsidR="009F36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F1F">
        <w:rPr>
          <w:rFonts w:ascii="Times New Roman" w:hAnsi="Times New Roman"/>
          <w:sz w:val="28"/>
          <w:szCs w:val="28"/>
          <w:lang w:eastAsia="ru-RU"/>
        </w:rPr>
        <w:t>координирующей роли и финансового участия, существенной функцией является создание соответствующих условий для работы всех участников сектора нефтедобычи.</w:t>
      </w:r>
    </w:p>
    <w:p w:rsidR="00493151" w:rsidRDefault="00493151">
      <w:bookmarkStart w:id="0" w:name="_GoBack"/>
      <w:bookmarkEnd w:id="0"/>
    </w:p>
    <w:sectPr w:rsidR="00493151" w:rsidSect="0049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C4445"/>
    <w:multiLevelType w:val="hybridMultilevel"/>
    <w:tmpl w:val="A1A48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DAA"/>
    <w:rsid w:val="0020775B"/>
    <w:rsid w:val="003D151F"/>
    <w:rsid w:val="003D3914"/>
    <w:rsid w:val="00493151"/>
    <w:rsid w:val="00567E53"/>
    <w:rsid w:val="005752A5"/>
    <w:rsid w:val="00632744"/>
    <w:rsid w:val="00822C66"/>
    <w:rsid w:val="00966DAA"/>
    <w:rsid w:val="009F3656"/>
    <w:rsid w:val="009F79B3"/>
    <w:rsid w:val="00B1505E"/>
    <w:rsid w:val="00B76EBE"/>
    <w:rsid w:val="00C17057"/>
    <w:rsid w:val="00C43060"/>
    <w:rsid w:val="00C64F1F"/>
    <w:rsid w:val="00CB6E98"/>
    <w:rsid w:val="00E07E2F"/>
    <w:rsid w:val="00E70A6A"/>
    <w:rsid w:val="00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143A56-6814-43F0-98F3-CBAF8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966DAA"/>
    <w:rPr>
      <w:b/>
      <w:bCs/>
      <w:sz w:val="20"/>
      <w:szCs w:val="20"/>
    </w:rPr>
  </w:style>
  <w:style w:type="paragraph" w:customStyle="1" w:styleId="Default">
    <w:name w:val="Default"/>
    <w:rsid w:val="00966D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66D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DAA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3D151F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uiPriority w:val="99"/>
    <w:rsid w:val="003D151F"/>
    <w:rPr>
      <w:rFonts w:ascii="Arial Unicode MS" w:eastAsia="Arial Unicode MS" w:cs="Arial Unicode MS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3D151F"/>
    <w:pPr>
      <w:widowControl w:val="0"/>
      <w:autoSpaceDE w:val="0"/>
      <w:autoSpaceDN w:val="0"/>
      <w:adjustRightInd w:val="0"/>
      <w:spacing w:after="0" w:line="264" w:lineRule="exact"/>
      <w:ind w:hanging="32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151F"/>
    <w:pPr>
      <w:widowControl w:val="0"/>
      <w:autoSpaceDE w:val="0"/>
      <w:autoSpaceDN w:val="0"/>
      <w:adjustRightInd w:val="0"/>
      <w:spacing w:after="0" w:line="260" w:lineRule="exact"/>
      <w:ind w:firstLine="67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D151F"/>
    <w:pPr>
      <w:widowControl w:val="0"/>
      <w:autoSpaceDE w:val="0"/>
      <w:autoSpaceDN w:val="0"/>
      <w:adjustRightInd w:val="0"/>
      <w:spacing w:after="0" w:line="259" w:lineRule="exact"/>
      <w:ind w:firstLine="686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2010-04-13T10:05:00Z</cp:lastPrinted>
  <dcterms:created xsi:type="dcterms:W3CDTF">2014-04-06T02:24:00Z</dcterms:created>
  <dcterms:modified xsi:type="dcterms:W3CDTF">2014-04-06T02:24:00Z</dcterms:modified>
</cp:coreProperties>
</file>