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75B2" w:rsidRDefault="00470155">
      <w:pPr>
        <w:widowControl w:val="0"/>
        <w:spacing w:before="120"/>
        <w:jc w:val="center"/>
        <w:rPr>
          <w:b/>
          <w:bCs/>
          <w:color w:val="000000"/>
          <w:sz w:val="32"/>
          <w:szCs w:val="32"/>
        </w:rPr>
      </w:pPr>
      <w:r>
        <w:rPr>
          <w:b/>
          <w:bCs/>
          <w:color w:val="000000"/>
          <w:sz w:val="32"/>
          <w:szCs w:val="32"/>
        </w:rPr>
        <w:t>Средневековая память и формирование образности</w:t>
      </w:r>
    </w:p>
    <w:p w:rsidR="00CF75B2" w:rsidRDefault="00470155">
      <w:pPr>
        <w:widowControl w:val="0"/>
        <w:spacing w:before="120"/>
        <w:jc w:val="center"/>
        <w:rPr>
          <w:color w:val="000000"/>
          <w:sz w:val="28"/>
          <w:szCs w:val="28"/>
        </w:rPr>
      </w:pPr>
      <w:r>
        <w:rPr>
          <w:color w:val="000000"/>
          <w:sz w:val="28"/>
          <w:szCs w:val="28"/>
        </w:rPr>
        <w:t>Френсис Йейтс</w:t>
      </w:r>
    </w:p>
    <w:p w:rsidR="00CF75B2" w:rsidRDefault="00470155">
      <w:pPr>
        <w:widowControl w:val="0"/>
        <w:spacing w:before="120"/>
        <w:ind w:firstLine="567"/>
        <w:jc w:val="both"/>
        <w:rPr>
          <w:color w:val="000000"/>
          <w:sz w:val="24"/>
          <w:szCs w:val="24"/>
        </w:rPr>
      </w:pPr>
      <w:r>
        <w:rPr>
          <w:color w:val="000000"/>
          <w:sz w:val="24"/>
          <w:szCs w:val="24"/>
        </w:rPr>
        <w:t>Настоятельный призыв к овладению искусством памяти в виде упорядоченных телесных подобий, прозвучавший в сочинениях великого святого схоластики, привел к далеко идущим последствиям. Если Симонид был изобретателем искусства памяти, а "Туллий" - первым учителем этого искусства, то Фома Аквинский стал чем-то вроде его святого патрона. Ниже следует несколько выбранных из гораздо более обширного материала примеров, показывающих, насколько имя Фомы господствовало в истолковании памяти в последующие столетия.</w:t>
      </w:r>
    </w:p>
    <w:p w:rsidR="00CF75B2" w:rsidRDefault="00470155">
      <w:pPr>
        <w:widowControl w:val="0"/>
        <w:spacing w:before="120"/>
        <w:ind w:firstLine="567"/>
        <w:jc w:val="both"/>
        <w:rPr>
          <w:color w:val="000000"/>
          <w:sz w:val="24"/>
          <w:szCs w:val="24"/>
        </w:rPr>
      </w:pPr>
      <w:r>
        <w:rPr>
          <w:color w:val="000000"/>
          <w:sz w:val="24"/>
          <w:szCs w:val="24"/>
        </w:rPr>
        <w:t>В середине XV века Джакопо Рагоне, открывая свой трактат под названием Ars memorutiva, писал в посвящении, предназначенном для Франческо Гонзаги: "Светлейший князь, искусная память совершенствуется благодаря двум вещам, называемым loci и imagines, как учит Цицерон и подтверждает святой Фома Аквинский". Несколько позже, в 1482 году, в Венеции вышел в свет прекрасный образец раннего книгопечатания; это было сочинение по риторике Якоба Публиция, которое в качестве приложения содержало первый отпечатанный на станке трактат Ars memorutiva. Хотя эта книга и выглядит как продукт эпохи Возрождения, она исполнена влиянием томистского подхода к искусной памяти; правила для образов начинаются со слов: "Как простые, так и духовные интенции быстро исчезают из памяти, если они не привязаны к телесным подобиям". Один из наиболее полных и широко цитируемых трактатов о памяти был опубликован в 1520 году доминиканцем Иоганном Ромберхом. В своих правилах для образов Ромберх отмечает: "Цицерон в Ad Herennium говорит, что память совершенствуется не только от природы, но и через вспоможения. Св. Фома касается этого в II, II, 49 (т. е. в соответствующей части Summa, где он говорит, что духовные и простые интенции легко выскальзывают из души, если не подкрепляются соответствующими материальными подобиями". Ромберховские правила для мест основаны на сопоставлении Фомой Аквинским текстов Туллия и Аристотеля, содержащемся в комментариях к De memoria et reminiscentia. От доминиканца, каковым был Ромберх, вполне можно было ожидать, что он прибегнет к помощи св. Фомы, но интерес последнего к искусству памяти был широко известен и за пределами доминиканской традиции. Популярный свод знаний, опубликованный в 1578 году Томазо Гарцони под названием Piazza Universale, содержал специальную главу, посвященную памяти, в которой Фома Аквинский причислен к числу самых выдающихся учителей памяти. Ф.Джезуальдо в своей Plutosofia 1592 года соединяет вместе Цицерона и св. Фому, когда у него заходит речь о памяти. Переходя к началу XVII столетия, мы обнаруживаем книгу, латинское название которой могло бы быть переведено как "Основы искусства памяти по Аристотелю, Цицерону и Фоме Аквинскому". Приблизительно в это же время один писатель, защищавший искусство памяти от нападок, обращается к тому, что писали на эту тему Цицерон, Аристотель и св. Фома, и подчеркивает, что св. Фома называл в II, II, 49 искусную память частью Благоразумия. Гратароло в сочинении, переведенном на английский язык в 1562 году Уильямом Фулвудом под названием "Замок памяти", отмечает, что Фома Аквинский рекомендовал использование мест в памяти; это место из Фулвуда приведено в трактате но искусству памяти, опубликованном в 1813 году.</w:t>
      </w:r>
    </w:p>
    <w:p w:rsidR="00CF75B2" w:rsidRDefault="00470155">
      <w:pPr>
        <w:widowControl w:val="0"/>
        <w:spacing w:before="120"/>
        <w:ind w:firstLine="567"/>
        <w:jc w:val="both"/>
        <w:rPr>
          <w:color w:val="000000"/>
          <w:sz w:val="24"/>
          <w:szCs w:val="24"/>
        </w:rPr>
      </w:pPr>
      <w:r>
        <w:rPr>
          <w:color w:val="000000"/>
          <w:sz w:val="24"/>
          <w:szCs w:val="24"/>
        </w:rPr>
        <w:t>Итак, роль Фомы Аквинского, прославившегося в эпоху Памяти, была все еще не забыта и в начале XIX века, - та роль, о которой, насколько мне известно, никогда не упоминают современные томисты. И хотя книги об искусстве памяти признают II, II, 49 в качестве важного текста по истории этого искусства, до сих пор не было предпринято серьезных усилий, чтобы исследовать причины такой действенности томистских правил для памяти.</w:t>
      </w:r>
    </w:p>
    <w:p w:rsidR="00CF75B2" w:rsidRDefault="00470155">
      <w:pPr>
        <w:widowControl w:val="0"/>
        <w:spacing w:before="120"/>
        <w:ind w:firstLine="567"/>
        <w:jc w:val="both"/>
        <w:rPr>
          <w:color w:val="000000"/>
          <w:sz w:val="24"/>
          <w:szCs w:val="24"/>
        </w:rPr>
      </w:pPr>
      <w:r>
        <w:rPr>
          <w:color w:val="000000"/>
          <w:sz w:val="24"/>
          <w:szCs w:val="24"/>
        </w:rPr>
        <w:t>К чему же привели настойчивые рекомендации Альберта и Фомы, утверждавших, что правила памяти - это часть Благоразумия? Исследование этого вопроса следовало бы начать со времен, близких к источнику их влияния. Схоластические правила были провозглашены в XIII веке, и мы могли бы ожидать, что обнаружим их влияние сразу же после этого и далее, на протяжении XIV столетия. В этой главе я намереваюсь поднять вопрос о том, каковы были причины этого непосредственного влияния и где мы можем наблюдать его результаты. Поскольку мне вряд ли удастся осветить этот вопрос во всей полноте, я постараюсь всего лишь наметить возможные варианты ответов или, скорее, направления исследования. И если некоторые из моих предположений покажутся слишком смелыми, то они во всяком случае заставят задуматься над вопросом, над темой, продуманной далеко не до конца. Эта тема - роль искусства памяти в формировании образности.</w:t>
      </w:r>
    </w:p>
    <w:p w:rsidR="00CF75B2" w:rsidRDefault="00470155">
      <w:pPr>
        <w:widowControl w:val="0"/>
        <w:spacing w:before="120"/>
        <w:ind w:firstLine="567"/>
        <w:jc w:val="both"/>
        <w:rPr>
          <w:color w:val="000000"/>
          <w:sz w:val="24"/>
          <w:szCs w:val="24"/>
        </w:rPr>
      </w:pPr>
      <w:r>
        <w:rPr>
          <w:color w:val="000000"/>
          <w:sz w:val="24"/>
          <w:szCs w:val="24"/>
        </w:rPr>
        <w:t>Эпоха схоластики была временем бурного развития знаний. Кроме того, это была эпоха Памяти, а в такие эпохи для запоминания новых знаний должна создаваться новая образность. Конечно, главные темы христианского вероучения и морали остались в основе своей неизменны, однако их понимание в ту эпоху значительно усложнилось. В частности, сделалась более полной, а также с большей строгостью была определена и структурирована схема соотношения добродетелей и пороков. Нравственному человеку, пожелавшему избрать путь добродетели и стремившемуся помнить о пороке и избегать его, приходилось запечатлевать в памяти гораздо больше, чем в более ранние и простые времена.</w:t>
      </w:r>
    </w:p>
    <w:p w:rsidR="00CF75B2" w:rsidRDefault="00470155">
      <w:pPr>
        <w:widowControl w:val="0"/>
        <w:spacing w:before="120"/>
        <w:ind w:firstLine="567"/>
        <w:jc w:val="both"/>
        <w:rPr>
          <w:color w:val="000000"/>
          <w:sz w:val="24"/>
          <w:szCs w:val="24"/>
        </w:rPr>
      </w:pPr>
      <w:r>
        <w:rPr>
          <w:color w:val="000000"/>
          <w:sz w:val="24"/>
          <w:szCs w:val="24"/>
        </w:rPr>
        <w:t>Монахи возродили ораторское искусство в форме проповеди, а именно ради проповеди и был прежде всего основан Доминиканский орден, орден Проповедников. Эти проповеди, средневековый вариант ораторских речей, конечно, подлежали запоминанию, для чего использовались средневековые разновидности искусства памяти.</w:t>
      </w:r>
    </w:p>
    <w:p w:rsidR="00CF75B2" w:rsidRDefault="00470155">
      <w:pPr>
        <w:widowControl w:val="0"/>
        <w:spacing w:before="120"/>
        <w:ind w:firstLine="567"/>
        <w:jc w:val="both"/>
        <w:rPr>
          <w:color w:val="000000"/>
          <w:sz w:val="24"/>
          <w:szCs w:val="24"/>
        </w:rPr>
      </w:pPr>
      <w:r>
        <w:rPr>
          <w:color w:val="000000"/>
          <w:sz w:val="24"/>
          <w:szCs w:val="24"/>
        </w:rPr>
        <w:t>Успехи доминиканского образования в деле реформы проповеди были параллельны грандиозным философским и теологическим достижениям. Summae Альберта и Фомы содержат абстрактные философские и теологические определения, а в области этики - такие чисто абстрактные положения, как, например, разделение добродетелей и пороков по частям. Но проповеднику нужны были другие Summae, Summae примеров и подобий, с помощью которых он мог бы легко найти телесные формы, для того чтобы запечатлеть облеченные в них духовные интенции в душах и памяти своих слушателей.</w:t>
      </w:r>
    </w:p>
    <w:p w:rsidR="00CF75B2" w:rsidRDefault="00470155">
      <w:pPr>
        <w:widowControl w:val="0"/>
        <w:spacing w:before="120"/>
        <w:ind w:firstLine="567"/>
        <w:jc w:val="both"/>
        <w:rPr>
          <w:color w:val="000000"/>
          <w:sz w:val="24"/>
          <w:szCs w:val="24"/>
        </w:rPr>
      </w:pPr>
      <w:r>
        <w:rPr>
          <w:color w:val="000000"/>
          <w:sz w:val="24"/>
          <w:szCs w:val="24"/>
        </w:rPr>
        <w:t>Основные усилия проповедников были направлены на утверждение догматов веры вместе с суровыми этическими предписаниями, в которых добродетели и пороки четко очерчивались и противопоставлялись друг другу, причем особое ударение делалось на наградах и наказаниях тому и другому в будущем. Такова была природа "вещей", которые оратору-проповеднику надлежало запомнить.</w:t>
      </w:r>
    </w:p>
    <w:p w:rsidR="00CF75B2" w:rsidRDefault="00470155">
      <w:pPr>
        <w:widowControl w:val="0"/>
        <w:spacing w:before="120"/>
        <w:ind w:firstLine="567"/>
        <w:jc w:val="both"/>
        <w:rPr>
          <w:color w:val="000000"/>
          <w:sz w:val="24"/>
          <w:szCs w:val="24"/>
        </w:rPr>
      </w:pPr>
      <w:r>
        <w:rPr>
          <w:color w:val="000000"/>
          <w:sz w:val="24"/>
          <w:szCs w:val="24"/>
        </w:rPr>
        <w:t>Самая ранняя ссылка на правила памяти св. Фомы содержится в собрании подобий для нужд проповедников. Это Summa de exemplis ас similitudinibus rerum Джованни да Сан Джиминья из ордена Проповедников, составленная в начале XIV столетия. И хотя в этом сочинении не упомянуто имя св. Фомы, оно представляет собой сокращенную версию томистских правил для памяти, на которые ссылается Сан Джиминья.</w:t>
      </w:r>
    </w:p>
    <w:p w:rsidR="00CF75B2" w:rsidRDefault="00470155">
      <w:pPr>
        <w:widowControl w:val="0"/>
        <w:spacing w:before="120"/>
        <w:ind w:firstLine="567"/>
        <w:jc w:val="both"/>
        <w:rPr>
          <w:color w:val="000000"/>
          <w:sz w:val="24"/>
          <w:szCs w:val="24"/>
        </w:rPr>
      </w:pPr>
      <w:r>
        <w:rPr>
          <w:color w:val="000000"/>
          <w:sz w:val="24"/>
          <w:szCs w:val="24"/>
        </w:rPr>
        <w:t>"Существуют четыре вещи, которые помогают человеку запомнить необходимое.</w:t>
      </w:r>
    </w:p>
    <w:p w:rsidR="00CF75B2" w:rsidRDefault="00470155">
      <w:pPr>
        <w:widowControl w:val="0"/>
        <w:spacing w:before="120"/>
        <w:ind w:firstLine="567"/>
        <w:jc w:val="both"/>
        <w:rPr>
          <w:color w:val="000000"/>
          <w:sz w:val="24"/>
          <w:szCs w:val="24"/>
        </w:rPr>
      </w:pPr>
      <w:r>
        <w:rPr>
          <w:color w:val="000000"/>
          <w:sz w:val="24"/>
          <w:szCs w:val="24"/>
        </w:rPr>
        <w:t>Во-первых, пусть он представит себе то, что собирается запомнить, в определенном порядке.</w:t>
      </w:r>
    </w:p>
    <w:p w:rsidR="00CF75B2" w:rsidRDefault="00470155">
      <w:pPr>
        <w:widowControl w:val="0"/>
        <w:spacing w:before="120"/>
        <w:ind w:firstLine="567"/>
        <w:jc w:val="both"/>
        <w:rPr>
          <w:color w:val="000000"/>
          <w:sz w:val="24"/>
          <w:szCs w:val="24"/>
        </w:rPr>
      </w:pPr>
      <w:r>
        <w:rPr>
          <w:color w:val="000000"/>
          <w:sz w:val="24"/>
          <w:szCs w:val="24"/>
        </w:rPr>
        <w:t xml:space="preserve">Во-вторых, пусть он твердо держится предмета своей речи. </w:t>
      </w:r>
    </w:p>
    <w:p w:rsidR="00CF75B2" w:rsidRDefault="00470155">
      <w:pPr>
        <w:widowControl w:val="0"/>
        <w:spacing w:before="120"/>
        <w:ind w:firstLine="567"/>
        <w:jc w:val="both"/>
        <w:rPr>
          <w:color w:val="000000"/>
          <w:sz w:val="24"/>
          <w:szCs w:val="24"/>
        </w:rPr>
      </w:pPr>
      <w:r>
        <w:rPr>
          <w:color w:val="000000"/>
          <w:sz w:val="24"/>
          <w:szCs w:val="24"/>
        </w:rPr>
        <w:t xml:space="preserve">В-третьих, пусть он сведет предмет речи к необычным подобиям. </w:t>
      </w:r>
    </w:p>
    <w:p w:rsidR="00CF75B2" w:rsidRDefault="00470155">
      <w:pPr>
        <w:widowControl w:val="0"/>
        <w:spacing w:before="120"/>
        <w:ind w:firstLine="567"/>
        <w:jc w:val="both"/>
        <w:rPr>
          <w:color w:val="000000"/>
          <w:sz w:val="24"/>
          <w:szCs w:val="24"/>
        </w:rPr>
      </w:pPr>
      <w:r>
        <w:rPr>
          <w:color w:val="000000"/>
          <w:sz w:val="24"/>
          <w:szCs w:val="24"/>
        </w:rPr>
        <w:t>В-четвертых, пусть он почаще повторяет свою речь и размышляет о ней".</w:t>
      </w:r>
    </w:p>
    <w:p w:rsidR="00CF75B2" w:rsidRDefault="00470155">
      <w:pPr>
        <w:widowControl w:val="0"/>
        <w:spacing w:before="120"/>
        <w:ind w:firstLine="567"/>
        <w:jc w:val="both"/>
        <w:rPr>
          <w:color w:val="000000"/>
          <w:sz w:val="24"/>
          <w:szCs w:val="24"/>
        </w:rPr>
      </w:pPr>
      <w:r>
        <w:rPr>
          <w:color w:val="000000"/>
          <w:sz w:val="24"/>
          <w:szCs w:val="24"/>
        </w:rPr>
        <w:t>Мы должны понять, в чем тут разница. Книга Сан Джиминья основывается на принципах памяти в том смысле, что в ней тщательно собраны подобия для всякой "вещи", с которой может столкнуться проповедник. Чтобы люди запомнили эти вещи, необходимо проповедовать о них при помощи "необычных" подобий, которые закрепляются в памяти лучше, чем духовные интенции, лишенные такого рода образной поддержки. Но все же подобия, применяемые в проповеди, это не совсем то же самое, что подобия, употреблявшиеся в искусной памяти. Ведь образ памяти невидим и скрыт в памяти пользователя, где, однако, он может превратиться в невидимый генератор внешней образности.</w:t>
      </w:r>
    </w:p>
    <w:p w:rsidR="00CF75B2" w:rsidRDefault="00470155">
      <w:pPr>
        <w:widowControl w:val="0"/>
        <w:spacing w:before="120"/>
        <w:ind w:firstLine="567"/>
        <w:jc w:val="both"/>
        <w:rPr>
          <w:color w:val="000000"/>
          <w:sz w:val="24"/>
          <w:szCs w:val="24"/>
        </w:rPr>
      </w:pPr>
      <w:r>
        <w:rPr>
          <w:color w:val="000000"/>
          <w:sz w:val="24"/>
          <w:szCs w:val="24"/>
        </w:rPr>
        <w:t>Следующее по времени упоминание правил св. Фомы встречается у Бартоломео да Сан Конкордио (1262-1347), вступившего в Доминиканский орден в юности и большую часть жизни проведшего в стенах монастыря в Пизе. Он знаменит как автор юридического компендиума, однако нас интересовать будет его Ammaestrnamenti degli anichi, или "Наставления древних" в нравственной жизни. Этот труд был написан в начале XIV века, не позднее 1323 года. Метод Бартоломео заключается в выдвижении некоторых недоказанных положений, в подтверждение которых приводится далее ряд, цитат из древних авторов и Отцов Церкви. И хотя благодаря своему логическому построению трактат этот имеет привкус гуманизма, в своей основе он все же схоластичен; Бартоломео лавирует между этикой Аристотеля и Туллия из De inventione по примеру Альберта и Фомы. Память становится у него предметом одного ряда цитат, искусство памяти - другого; и поскольку две последующие части книги можно соотнести с intelligentia и providentia, ясно, что благочестивый доминиканец занят здесь memoria как частью Благоразумия.</w:t>
      </w:r>
    </w:p>
    <w:p w:rsidR="00CF75B2" w:rsidRDefault="00470155">
      <w:pPr>
        <w:widowControl w:val="0"/>
        <w:spacing w:before="120"/>
        <w:ind w:firstLine="567"/>
        <w:jc w:val="both"/>
        <w:rPr>
          <w:color w:val="000000"/>
          <w:sz w:val="24"/>
          <w:szCs w:val="24"/>
        </w:rPr>
      </w:pPr>
      <w:r>
        <w:rPr>
          <w:color w:val="000000"/>
          <w:sz w:val="24"/>
          <w:szCs w:val="24"/>
        </w:rPr>
        <w:t>Создается впечатление, что этот ученый монах весьма близок к тому источнику энтузиазма относительно искусства памяти, который течет в лоне доминиканского ордена. Его восемь правил памяти основываются по большей части на замечаниях Аквината; он использует как "Tominaso nella seconda dlella seconda" (т.e. Summa Theologiae, II, II, 49), так и "Tommaso d'Aquino sopra il libro di memoria" (т.е. комментарии св. Фомы</w:t>
      </w:r>
      <w:r>
        <w:rPr>
          <w:color w:val="000000"/>
          <w:sz w:val="24"/>
          <w:szCs w:val="24"/>
          <w:lang w:val="en-US"/>
        </w:rPr>
        <w:t xml:space="preserve"> </w:t>
      </w:r>
      <w:r>
        <w:rPr>
          <w:color w:val="000000"/>
          <w:sz w:val="24"/>
          <w:szCs w:val="24"/>
        </w:rPr>
        <w:t>к</w:t>
      </w:r>
      <w:r>
        <w:rPr>
          <w:color w:val="000000"/>
          <w:sz w:val="24"/>
          <w:szCs w:val="24"/>
          <w:lang w:val="en-US"/>
        </w:rPr>
        <w:t xml:space="preserve"> De memoria et reminiscentia). </w:t>
      </w:r>
      <w:r>
        <w:rPr>
          <w:color w:val="000000"/>
          <w:sz w:val="24"/>
          <w:szCs w:val="24"/>
        </w:rPr>
        <w:t>Поскольку он не называет Фому Аквинского святым, очевидно, что книга была написана еще до канонизации последнего в 1323 году. Ниже следует перевод с итальянского правил Бартоломео:</w:t>
      </w:r>
    </w:p>
    <w:p w:rsidR="00CF75B2" w:rsidRDefault="00470155">
      <w:pPr>
        <w:widowControl w:val="0"/>
        <w:spacing w:before="120"/>
        <w:ind w:firstLine="567"/>
        <w:jc w:val="both"/>
        <w:rPr>
          <w:color w:val="000000"/>
          <w:sz w:val="24"/>
          <w:szCs w:val="24"/>
          <w:lang w:val="en-US"/>
        </w:rPr>
      </w:pPr>
      <w:r>
        <w:rPr>
          <w:color w:val="000000"/>
          <w:sz w:val="24"/>
          <w:szCs w:val="24"/>
          <w:lang w:val="en-US"/>
        </w:rPr>
        <w:t>(</w:t>
      </w:r>
      <w:r>
        <w:rPr>
          <w:color w:val="000000"/>
          <w:sz w:val="24"/>
          <w:szCs w:val="24"/>
        </w:rPr>
        <w:t>О</w:t>
      </w:r>
      <w:r>
        <w:rPr>
          <w:color w:val="000000"/>
          <w:sz w:val="24"/>
          <w:szCs w:val="24"/>
          <w:lang w:val="en-US"/>
        </w:rPr>
        <w:t xml:space="preserve"> </w:t>
      </w:r>
      <w:r>
        <w:rPr>
          <w:color w:val="000000"/>
          <w:sz w:val="24"/>
          <w:szCs w:val="24"/>
        </w:rPr>
        <w:t>порядке</w:t>
      </w:r>
      <w:r>
        <w:rPr>
          <w:color w:val="000000"/>
          <w:sz w:val="24"/>
          <w:szCs w:val="24"/>
          <w:lang w:val="en-US"/>
        </w:rPr>
        <w:t>)</w:t>
      </w:r>
    </w:p>
    <w:p w:rsidR="00CF75B2" w:rsidRDefault="00470155">
      <w:pPr>
        <w:widowControl w:val="0"/>
        <w:spacing w:before="120"/>
        <w:ind w:firstLine="567"/>
        <w:jc w:val="both"/>
        <w:rPr>
          <w:color w:val="000000"/>
          <w:sz w:val="24"/>
          <w:szCs w:val="24"/>
        </w:rPr>
      </w:pPr>
      <w:r>
        <w:rPr>
          <w:color w:val="000000"/>
          <w:sz w:val="24"/>
          <w:szCs w:val="24"/>
          <w:lang w:val="en-US"/>
        </w:rPr>
        <w:t xml:space="preserve">Aristotile in libro memoria. </w:t>
      </w:r>
      <w:r>
        <w:rPr>
          <w:color w:val="000000"/>
          <w:sz w:val="24"/>
          <w:szCs w:val="24"/>
        </w:rPr>
        <w:t xml:space="preserve">Те вещи запоминаются лучше, в которых имеется определенный порядок. По комментарию Фомы: легче запоминаются те вещи, которые упорядочены, а находящиеся в беспорядке мы запоминаем плохо. Следовательно, те вещи, которые человек желает запомнить, побуждают его привести их в порядок. </w:t>
      </w:r>
    </w:p>
    <w:p w:rsidR="00CF75B2" w:rsidRDefault="00470155">
      <w:pPr>
        <w:widowControl w:val="0"/>
        <w:spacing w:before="120"/>
        <w:ind w:firstLine="567"/>
        <w:jc w:val="both"/>
        <w:rPr>
          <w:color w:val="000000"/>
          <w:sz w:val="24"/>
          <w:szCs w:val="24"/>
        </w:rPr>
      </w:pPr>
      <w:r>
        <w:rPr>
          <w:color w:val="000000"/>
          <w:sz w:val="24"/>
          <w:szCs w:val="24"/>
          <w:lang w:val="en-US"/>
        </w:rPr>
        <w:t xml:space="preserve">Tommaso nella seconda della seconda. </w:t>
      </w:r>
      <w:r>
        <w:rPr>
          <w:color w:val="000000"/>
          <w:sz w:val="24"/>
          <w:szCs w:val="24"/>
        </w:rPr>
        <w:t xml:space="preserve">Необходимо поразмыслить, в каком порядке следует расставить те вещи, которые нужно удержать в памяти, так, чтобы в памяти от одной из них можно было переходить к другой. </w:t>
      </w:r>
    </w:p>
    <w:p w:rsidR="00CF75B2" w:rsidRDefault="00470155">
      <w:pPr>
        <w:widowControl w:val="0"/>
        <w:spacing w:before="120"/>
        <w:ind w:firstLine="567"/>
        <w:jc w:val="both"/>
        <w:rPr>
          <w:color w:val="000000"/>
          <w:sz w:val="24"/>
          <w:szCs w:val="24"/>
          <w:lang w:val="en-US"/>
        </w:rPr>
      </w:pPr>
      <w:r>
        <w:rPr>
          <w:color w:val="000000"/>
          <w:sz w:val="24"/>
          <w:szCs w:val="24"/>
          <w:lang w:val="en-US"/>
        </w:rPr>
        <w:t>(</w:t>
      </w:r>
      <w:r>
        <w:rPr>
          <w:color w:val="000000"/>
          <w:sz w:val="24"/>
          <w:szCs w:val="24"/>
        </w:rPr>
        <w:t>О</w:t>
      </w:r>
      <w:r>
        <w:rPr>
          <w:color w:val="000000"/>
          <w:sz w:val="24"/>
          <w:szCs w:val="24"/>
          <w:lang w:val="en-US"/>
        </w:rPr>
        <w:t xml:space="preserve"> </w:t>
      </w:r>
      <w:r>
        <w:rPr>
          <w:color w:val="000000"/>
          <w:sz w:val="24"/>
          <w:szCs w:val="24"/>
        </w:rPr>
        <w:t>подобиях</w:t>
      </w:r>
      <w:r>
        <w:rPr>
          <w:color w:val="000000"/>
          <w:sz w:val="24"/>
          <w:szCs w:val="24"/>
          <w:lang w:val="en-US"/>
        </w:rPr>
        <w:t>)</w:t>
      </w:r>
    </w:p>
    <w:p w:rsidR="00CF75B2" w:rsidRDefault="00470155">
      <w:pPr>
        <w:widowControl w:val="0"/>
        <w:spacing w:before="120"/>
        <w:ind w:firstLine="567"/>
        <w:jc w:val="both"/>
        <w:rPr>
          <w:color w:val="000000"/>
          <w:sz w:val="24"/>
          <w:szCs w:val="24"/>
        </w:rPr>
      </w:pPr>
      <w:r>
        <w:rPr>
          <w:color w:val="000000"/>
          <w:sz w:val="24"/>
          <w:szCs w:val="24"/>
          <w:lang w:val="en-US"/>
        </w:rPr>
        <w:t xml:space="preserve">Tommaso nella seconda della seconda. </w:t>
      </w:r>
      <w:r>
        <w:rPr>
          <w:color w:val="000000"/>
          <w:sz w:val="24"/>
          <w:szCs w:val="24"/>
        </w:rPr>
        <w:t>Для тех вещей, которые человек намеревается запомнить, он должен взять соответствующие подобия, и пусть они не будут слишком привычными, ибо мы больше удивляемся необычным вещам, и они сильнее воздействуют на наш ум.</w:t>
      </w:r>
    </w:p>
    <w:p w:rsidR="00CF75B2" w:rsidRDefault="00470155">
      <w:pPr>
        <w:widowControl w:val="0"/>
        <w:spacing w:before="120"/>
        <w:ind w:firstLine="567"/>
        <w:jc w:val="both"/>
        <w:rPr>
          <w:color w:val="000000"/>
          <w:sz w:val="24"/>
          <w:szCs w:val="24"/>
        </w:rPr>
      </w:pPr>
      <w:r>
        <w:rPr>
          <w:color w:val="000000"/>
          <w:sz w:val="24"/>
          <w:szCs w:val="24"/>
          <w:lang w:val="en-US"/>
        </w:rPr>
        <w:t>Tommaso quivi medesimo (</w:t>
      </w:r>
      <w:r>
        <w:rPr>
          <w:color w:val="000000"/>
          <w:sz w:val="24"/>
          <w:szCs w:val="24"/>
        </w:rPr>
        <w:t>т</w:t>
      </w:r>
      <w:r>
        <w:rPr>
          <w:color w:val="000000"/>
          <w:sz w:val="24"/>
          <w:szCs w:val="24"/>
          <w:lang w:val="en-US"/>
        </w:rPr>
        <w:t>.</w:t>
      </w:r>
      <w:r>
        <w:rPr>
          <w:color w:val="000000"/>
          <w:sz w:val="24"/>
          <w:szCs w:val="24"/>
        </w:rPr>
        <w:t>е</w:t>
      </w:r>
      <w:r>
        <w:rPr>
          <w:color w:val="000000"/>
          <w:sz w:val="24"/>
          <w:szCs w:val="24"/>
          <w:lang w:val="en-US"/>
        </w:rPr>
        <w:t xml:space="preserve">. loc. cit). </w:t>
      </w:r>
      <w:r>
        <w:rPr>
          <w:color w:val="000000"/>
          <w:sz w:val="24"/>
          <w:szCs w:val="24"/>
        </w:rPr>
        <w:t>Нахождение образов полезно и необходимо для памяти; ибо чистые и духовные интенции ускользают из памяти, если они не связаны накрепко с материальными подобиями.</w:t>
      </w:r>
    </w:p>
    <w:p w:rsidR="00CF75B2" w:rsidRDefault="00470155">
      <w:pPr>
        <w:widowControl w:val="0"/>
        <w:spacing w:before="120"/>
        <w:ind w:firstLine="567"/>
        <w:jc w:val="both"/>
        <w:rPr>
          <w:color w:val="000000"/>
          <w:sz w:val="24"/>
          <w:szCs w:val="24"/>
        </w:rPr>
      </w:pPr>
      <w:r>
        <w:rPr>
          <w:color w:val="000000"/>
          <w:sz w:val="24"/>
          <w:szCs w:val="24"/>
          <w:lang w:val="en-US"/>
        </w:rPr>
        <w:t xml:space="preserve">Tullio nel terzo della nuova Retorica. </w:t>
      </w:r>
      <w:r>
        <w:rPr>
          <w:color w:val="000000"/>
          <w:sz w:val="24"/>
          <w:szCs w:val="24"/>
        </w:rPr>
        <w:t>Следует поместить в определенные места образы и подобия тех вещей, которые мы желаем запомнить. И Туллий добавляет, что эти места подобны глиняным табличкам или бумаге, а образы подобны буквам, и размещение образов подобно письму, а произнесение речи - чтению.</w:t>
      </w:r>
    </w:p>
    <w:p w:rsidR="00CF75B2" w:rsidRDefault="00470155">
      <w:pPr>
        <w:widowControl w:val="0"/>
        <w:spacing w:before="120"/>
        <w:ind w:firstLine="567"/>
        <w:jc w:val="both"/>
        <w:rPr>
          <w:color w:val="000000"/>
          <w:sz w:val="24"/>
          <w:szCs w:val="24"/>
        </w:rPr>
      </w:pPr>
      <w:r>
        <w:rPr>
          <w:color w:val="000000"/>
          <w:sz w:val="24"/>
          <w:szCs w:val="24"/>
        </w:rPr>
        <w:t>Конечно же, Бартоломео прекрасно знает, что рекомендации св. Фомы относительно порядка в памяти основываются на Аристотеле, а относительно использования подобий и образов берут свое начало от Ad Herennium, о создателе которого он говорит как о "Туллии в третьей книге Новой Риторики..."</w:t>
      </w:r>
    </w:p>
    <w:p w:rsidR="00CF75B2" w:rsidRDefault="00470155">
      <w:pPr>
        <w:widowControl w:val="0"/>
        <w:spacing w:before="120"/>
        <w:ind w:firstLine="567"/>
        <w:jc w:val="both"/>
        <w:rPr>
          <w:color w:val="000000"/>
          <w:sz w:val="24"/>
          <w:szCs w:val="24"/>
        </w:rPr>
      </w:pPr>
      <w:r>
        <w:rPr>
          <w:color w:val="000000"/>
          <w:sz w:val="24"/>
          <w:szCs w:val="24"/>
        </w:rPr>
        <w:t>Что же нам предпринять как благоговейным читателям этического труда Бартоломео? Этот труд, как было принято в схоластике, состоит из разделов и подразделов. Не будет ли с нашей стороны благоразумным с помощью искусной памяти запомнить в порядке следования этих разделов те "вещи", о которых трактуется в нем, те духовные интенции к обретению добродетелей и избежанию пороков, к которым он призывает? Не следует ли нам поупражнять наше воображение при подборе телесных подобий, скажем, для Справедливости с ее подразделениями или для Благоразумия и его частей? А также для "вещей", которых следует избегать, таких как Несправедливость, Непостоянство и иже с ними? Задача окажется непростой, потому что мы живем в новые времена, и наша система добродетелей и пороков пополнена благодаря открытию новых учений древности. И все же запомнить эти учения при помощи древнего искусства памяти - наш долг. Возможно, мы также научимся лучше запоминать цитаты из древних авторов и Отцов Церкви, если представим, что они записаны на сформированных в нашей памяти телесных подобиях или где-либо возле них.</w:t>
      </w:r>
    </w:p>
    <w:p w:rsidR="00CF75B2" w:rsidRDefault="00470155">
      <w:pPr>
        <w:widowControl w:val="0"/>
        <w:spacing w:before="120"/>
        <w:ind w:firstLine="567"/>
        <w:jc w:val="both"/>
        <w:rPr>
          <w:color w:val="000000"/>
          <w:sz w:val="24"/>
          <w:szCs w:val="24"/>
        </w:rPr>
      </w:pPr>
      <w:r>
        <w:rPr>
          <w:color w:val="000000"/>
          <w:sz w:val="24"/>
          <w:szCs w:val="24"/>
        </w:rPr>
        <w:t>Считалось, что принадлежащее перу Бартоломео собрание моральных наставлений древних авторов исключительно удобно для запоминания, и это подтверждается тем фактом, что в двух кодексах XV века его работа сравнивается с "Trattato della memoria artificiale". Этот трактат входил в печатные издания Ammaestramenti degli antichi и ошибочно приписывался самому Бартоломео: "Trattato della memoria artificiale" - не оригинальное сочинение, но итальянский перевод раздела о памяти из Ad Herennium, извлеченный из переводной риторики, созданной, по всей видимости, Боно Джамбони в XIII столетии. В этом переводе, известном под названием Fiore di Rettorica, раздел о памяти помещен в самый конец книги и мог быть с легкостью извлечен. Возможно, такая перестановка произошла под влиянием Бонкомпаньо, который утверждал, что память не принадлежит одной лишь риторике, но полезна для всякой дисциплины. Перемещение раздела о памяти в конец итальянского перевода риторики облегчило его извлечение и применение для других нужд, например, для этики и для запоминания добродетелей и пороков. Извлеченный из перевода Джамбони, этот раздел Ad Herennium стал циркулировать в качестве отдельной рукописи и послужил предшественником для Ars memorativa.</w:t>
      </w:r>
    </w:p>
    <w:p w:rsidR="00CF75B2" w:rsidRDefault="00470155">
      <w:pPr>
        <w:widowControl w:val="0"/>
        <w:spacing w:before="120"/>
        <w:ind w:firstLine="567"/>
        <w:jc w:val="both"/>
        <w:rPr>
          <w:color w:val="000000"/>
          <w:sz w:val="24"/>
          <w:szCs w:val="24"/>
        </w:rPr>
      </w:pPr>
      <w:r>
        <w:rPr>
          <w:color w:val="000000"/>
          <w:sz w:val="24"/>
          <w:szCs w:val="24"/>
        </w:rPr>
        <w:t>Отличительной особенностью Ammaestramenti degli antichi, если учесть раннюю дату его создания, является то, что он написан на народном языке. Почему ученый доминиканец писал свой полусхоластический трактат по этике на итальянском? Конечно же, потому, что он обращался в первую очередь не к клирикам, а непосредственно к мирянам, к благочестивым людям, не знавшим латыни, но желавшим узнать моральные наставления древних. С этим сочинением, написанным на volgare, был объединен трактат Туллия о памяти, также переведенный к этому времени на volgare. Это означает, что искусство памяти снова вернулось в мир, рекомендованное мирянам в качестве благочестивого упражнения, и это согласуется с замечанием Альберта, завершившего панегирик в честь Ars memorativa Туллия, словами о том, что искусство памяти столь же полезно "нравственному человеку, сколь и оратору". Этим искусством пользовался не только проповедник, но и всякий "нравственный человек", вразумленный проповедью монахов и изо всех сил желавший избежать пороков, которые ведут в ад, и достичь Небес посредством добродетелей.</w:t>
      </w:r>
    </w:p>
    <w:p w:rsidR="00CF75B2" w:rsidRDefault="00470155">
      <w:pPr>
        <w:widowControl w:val="0"/>
        <w:spacing w:before="120"/>
        <w:ind w:firstLine="567"/>
        <w:jc w:val="both"/>
        <w:rPr>
          <w:color w:val="000000"/>
          <w:sz w:val="24"/>
          <w:szCs w:val="24"/>
        </w:rPr>
      </w:pPr>
      <w:r>
        <w:rPr>
          <w:color w:val="000000"/>
          <w:sz w:val="24"/>
          <w:szCs w:val="24"/>
        </w:rPr>
        <w:t>Другой этический трактат, который предназначался для запоминания с помощью искусства памяти, также написан по-итальянски. Это Rosaio della vita, предположительно принадлежащий перу Маттео де Корсини и созданный в 1373 году. Он открывается несколько нелепой мистико-астрологической преамбулой, но состоит в основном из длинного перечня добродетелей и пороков с краткими их определениями. Это сборная коллекция такого рода "вещей" из Аристотеля, Туллия, Отцов Церкви, Священного Писания и других источников. Вот только некоторые из них: Мудрость, Благоразумие, Знание, Верность, Дружба, Спор, Война, Мир, Гордыня, Тщеславие. При этом использование Ars memoriae artificialis рекомендуется в следующих словах: "Теперь книга прочитана нами, остается удержать ее в памяти". Прочитанная книга - это Rosaio della vita, позднее название это упоминается в тексте правил для памяти, и таким образом мы получаем точное доказательство того, что правила эти предполагалось использовать здесь для запоминания перечня добродетелей и пороков.</w:t>
      </w:r>
    </w:p>
    <w:p w:rsidR="00CF75B2" w:rsidRDefault="00470155">
      <w:pPr>
        <w:widowControl w:val="0"/>
        <w:spacing w:before="120"/>
        <w:ind w:firstLine="567"/>
        <w:jc w:val="both"/>
        <w:rPr>
          <w:color w:val="000000"/>
          <w:sz w:val="24"/>
          <w:szCs w:val="24"/>
        </w:rPr>
      </w:pPr>
      <w:r>
        <w:rPr>
          <w:color w:val="000000"/>
          <w:sz w:val="24"/>
          <w:szCs w:val="24"/>
        </w:rPr>
        <w:t>Ars memoriae artificialis, предназначенная для запоминания добродетелей и пороков из Rosaio, основывается на Ad Herennium, но идет несколько дальше. Ее автор выделяет "естественные места" для запоминания на лоне природы, такие как деревья в полях, и "искусственные места" для запоминания в зданиях, такие как кабинет, окно, сундук и тому подобное. Это демонстрирует реальное представление о местах, как они использовались в мнемотехнике. Но техника эта должна была использоваться для нравственной и благочестивой цели запоминания на своих местах телесных подобий добродетелей и пороков.</w:t>
      </w:r>
    </w:p>
    <w:p w:rsidR="00CF75B2" w:rsidRDefault="00470155">
      <w:pPr>
        <w:widowControl w:val="0"/>
        <w:spacing w:before="120"/>
        <w:ind w:firstLine="567"/>
        <w:jc w:val="both"/>
        <w:rPr>
          <w:color w:val="000000"/>
          <w:sz w:val="24"/>
          <w:szCs w:val="24"/>
        </w:rPr>
      </w:pPr>
      <w:r>
        <w:rPr>
          <w:color w:val="000000"/>
          <w:sz w:val="24"/>
          <w:szCs w:val="24"/>
        </w:rPr>
        <w:t>Вероятно, существует связь между Rosaio и Ammaestramenti degli antichi: первое представляется сокращенным или упрощенным вариантом последнего. Оба сочинения и связанные с ними правила для запоминания обнаруживаются в двух упомянутых кодексах.</w:t>
      </w:r>
    </w:p>
    <w:p w:rsidR="00CF75B2" w:rsidRDefault="00470155">
      <w:pPr>
        <w:widowControl w:val="0"/>
        <w:spacing w:before="120"/>
        <w:ind w:firstLine="567"/>
        <w:jc w:val="both"/>
        <w:rPr>
          <w:color w:val="000000"/>
          <w:sz w:val="24"/>
          <w:szCs w:val="24"/>
        </w:rPr>
      </w:pPr>
      <w:r>
        <w:rPr>
          <w:color w:val="000000"/>
          <w:sz w:val="24"/>
          <w:szCs w:val="24"/>
        </w:rPr>
        <w:t>Эти два этических труда на итальянском, которые миряне, как видно, старались запомнить с помощью искусства памяти, способствовали тому, чтобы сформированная в грандиозных усилиях образность проникала в память и представления множества людей. Искусство памяти начинает проявляться в качестве благочестивой мирской дисциплины, взлелеянной и поощряемой монахами. Какие галереи странных и удивительных подобий для новых и необычных добродетелей и пороков, как, впрочем, и для хорошо всем известных, навсегда останутся скрыты в памяти добродетельных и, наверное, художественно одаренных людей! Именно искусство памяти создало ту образность, которая вскоре вылилась в произведения литературы и искусства.</w:t>
      </w:r>
    </w:p>
    <w:p w:rsidR="00CF75B2" w:rsidRDefault="00470155">
      <w:pPr>
        <w:widowControl w:val="0"/>
        <w:spacing w:before="120"/>
        <w:ind w:firstLine="567"/>
        <w:jc w:val="both"/>
        <w:rPr>
          <w:color w:val="000000"/>
          <w:sz w:val="24"/>
          <w:szCs w:val="24"/>
        </w:rPr>
      </w:pPr>
      <w:r>
        <w:rPr>
          <w:color w:val="000000"/>
          <w:sz w:val="24"/>
          <w:szCs w:val="24"/>
        </w:rPr>
        <w:t>Не забывая о том, что овнешненные зрительные представления в самом искусстве следует отличать от невидимых образов памяти - в силу одного лишь факта их внешней выдержанности - было бы полезно взглянуть на некоторые образцы искусства начала XIV века с точки зрения памяти. Возьмем, к примеру, ряд символизирующих добродетели фигур, в изображении Доброго и Злого Правления у Лоренцетти (оно может быть отнесено к периоду между 1337 и 1340 годом) из Palazzo Communale в Сиене. Слева восседает Справедливость, окруженная дополнительными фигурами, представляющими ее "части" по типу составных памятных образов. Справа, на ложе, помещается Мир (а также Сила Духа, Благоразумие, Великодушие и Умеренность). На противоположной, посвященной злу стороне, рядом с увенчанной дьявольскими рогами фигурой Тирании расположились отвратительные символы связанных с ней пороков, в то время как Война, Жадность, Гордыня и Тщеславие парят наподобие летучих мышей над всем этим гротескным и зловещим сборищем.</w:t>
      </w:r>
    </w:p>
    <w:p w:rsidR="00CF75B2" w:rsidRDefault="00470155">
      <w:pPr>
        <w:widowControl w:val="0"/>
        <w:spacing w:before="120"/>
        <w:ind w:firstLine="567"/>
        <w:jc w:val="both"/>
        <w:rPr>
          <w:color w:val="000000"/>
          <w:sz w:val="24"/>
          <w:szCs w:val="24"/>
        </w:rPr>
      </w:pPr>
      <w:r>
        <w:rPr>
          <w:color w:val="000000"/>
          <w:sz w:val="24"/>
          <w:szCs w:val="24"/>
        </w:rPr>
        <w:t>Конечно, все эти образы весьма многозначны, и такая картина может быть по-разному интерпретирована специалистами по иконографии, истории и истории искусства. Пока же в качестве эксперимента я хотела бы предложить еще один подход, основанный на попытке мысленно проникнуть за эту картину, изображающую Справедливость и Несправедливость, атрибуты которых упорядочены и облечены телесными подобиями. Нам просто не остается ничего другого после столь долгих попыток представить себе усилия томистского искусства памяти по формированию телесных подобий нравственных "наставлений древних". Нельзя ли увидеть в этих монументальных фигурах стремление к возрождению форм классической памяти, тех самых imagines agentes - замечательно прекрасных, увенчанных короной, облаченных в богатые одеяния или же безобразных и гротескных, - которые средневековой моралью были переосмыслены в качестве добродетелей и пороков и сделались выразительными подобиями духовных интенций?</w:t>
      </w:r>
    </w:p>
    <w:p w:rsidR="00CF75B2" w:rsidRDefault="00470155">
      <w:pPr>
        <w:widowControl w:val="0"/>
        <w:spacing w:before="120"/>
        <w:ind w:firstLine="567"/>
        <w:jc w:val="both"/>
        <w:rPr>
          <w:color w:val="000000"/>
          <w:sz w:val="24"/>
          <w:szCs w:val="24"/>
        </w:rPr>
      </w:pPr>
      <w:r>
        <w:rPr>
          <w:color w:val="000000"/>
          <w:sz w:val="24"/>
          <w:szCs w:val="24"/>
        </w:rPr>
        <w:t>С тем большей решимостью я приглашаю теперь читателя взглянуть с точки зрения памяти на священные для историка искусства изображения добродетелей и пороков в Arena Capella в Падуе, созданные кистью Джотто около 1306 года. Эти изображения широко известны благодаря своему разнообразию и живости, приданной им великим художником, тому, как выделяются они по сравнению с фоном, создавая иллюзию глубины на плоской поверхности, что было совершенно внове для того времени. Я думаю, что все это может иметь определенное отношение к памяти.</w:t>
      </w:r>
    </w:p>
    <w:p w:rsidR="00CF75B2" w:rsidRDefault="00470155">
      <w:pPr>
        <w:widowControl w:val="0"/>
        <w:spacing w:before="120"/>
        <w:ind w:firstLine="567"/>
        <w:jc w:val="both"/>
        <w:rPr>
          <w:color w:val="000000"/>
          <w:sz w:val="24"/>
          <w:szCs w:val="24"/>
        </w:rPr>
      </w:pPr>
      <w:r>
        <w:rPr>
          <w:color w:val="000000"/>
          <w:sz w:val="24"/>
          <w:szCs w:val="24"/>
        </w:rPr>
        <w:t>Усилия по формированию в памяти подобий породили многообразие оригинальных находок, ведь Туллий говорил, что каждый должен сам для себя изобретать памятные образы. При новом возвращении к тексту Ad Herennium, вызванном устойчивым интересом схоластов к искусству памяти, драматический характер рекомендуемых ими образов взывал к гению художника, и это блестяще проявляется у Джотто, к примеру, в исполненном очарования жесте Милосердия с его ласкающей глаз добротой или в бешеных движениях Непостоянства. Уместные в памятном образе гротеск и абсурд не были отвергнуты также и при изображении Зависти и Глупости. А иллюзия глубины возникает из той осмотрительности, с которой изображения размещены на своем фоне, или, говоря мнемонически, в своих loci. Одной из наиболее удивительных черт классической памяти, на которую указано в трактате Ad Herennium, является чувство пространства и глубины, степени освещенности в самой памяти, выработанное благодаря использованию правил для мест, а также осмотрительность, с которой образы размещаются в своих loci так, чтобы они были явственно различимы, что видно, к примеру, из предписания не делать места слишком темными, чтобы образы не затерялись, или слишком яркими, чтобы от них не рябило в глазах. В самом деле, образы Джотто расположены на стенах равномерно, а не в беспорядке, как требовали того классические предписания. Но это правило было видоизменено томистским требованием регулярного порядка в памяти. А Джотто интерпретировал указания относительно разнообразия loci по-своему, сделав непохожим один на другой фон каждой из картин. Можно сказать, что он предпринял исключительную попытку выделить образы на фоне различающихся по своему цвету loci, полагая при этом, что он следует классическим предписаниям по созданию памятных образов.</w:t>
      </w:r>
    </w:p>
    <w:p w:rsidR="00CF75B2" w:rsidRDefault="00470155">
      <w:pPr>
        <w:widowControl w:val="0"/>
        <w:spacing w:before="120"/>
        <w:ind w:firstLine="567"/>
        <w:jc w:val="both"/>
        <w:rPr>
          <w:color w:val="000000"/>
          <w:sz w:val="24"/>
          <w:szCs w:val="24"/>
        </w:rPr>
      </w:pPr>
      <w:r>
        <w:rPr>
          <w:color w:val="000000"/>
          <w:sz w:val="24"/>
          <w:szCs w:val="24"/>
        </w:rPr>
        <w:t>МЫ ДОЛЖНЫ УСЕРДНО ЗАПОМИНАТЬ НЕВИДИМЫЕ УДОВОЛЬСТВИЯ РАЯ И ВЕЧНЫЕ МУКИ АДА, - говорит Бонкомпаньо, всячески подчеркивая эту фразу, в посвященном памяти разделе риторики, приводя список добродетелей и пороков в качестве "памятных знаков ... при помощи которых мы можем снова и снова возвращаться на путь воспоминания".</w:t>
      </w:r>
    </w:p>
    <w:p w:rsidR="00CF75B2" w:rsidRDefault="00470155">
      <w:pPr>
        <w:widowControl w:val="0"/>
        <w:spacing w:before="120"/>
        <w:ind w:firstLine="567"/>
        <w:jc w:val="both"/>
        <w:rPr>
          <w:color w:val="000000"/>
          <w:sz w:val="24"/>
          <w:szCs w:val="24"/>
        </w:rPr>
      </w:pPr>
      <w:r>
        <w:rPr>
          <w:color w:val="000000"/>
          <w:sz w:val="24"/>
          <w:szCs w:val="24"/>
        </w:rPr>
        <w:t>Боковые стены Arena Capella, на которых изображены добродетели и пороки, обрамляют сцену Страшного Суда на задней стене, доминирующую в этом небольшом помещении. В напряженной атмосфере, создаваемой монахами и их проповедью, которой проникся Джотто, образы добродетелей и пороков приобретают особое значение, а их запоминание становится делом жизни и смерти. Отсюда, потребность в создании их хорошо запоминающихся образов в соответствии с правилами искусной памяти. Или, скорее, потребность в создании хорошо запоминающихся телесных подобий, слитых с духовными интенциями, в соответствии с целями искусства памяти, как их понимал Фома Аквинский.</w:t>
      </w:r>
    </w:p>
    <w:p w:rsidR="00CF75B2" w:rsidRDefault="00470155">
      <w:pPr>
        <w:widowControl w:val="0"/>
        <w:spacing w:before="120"/>
        <w:ind w:firstLine="567"/>
        <w:jc w:val="both"/>
        <w:rPr>
          <w:color w:val="000000"/>
          <w:sz w:val="24"/>
          <w:szCs w:val="24"/>
        </w:rPr>
      </w:pPr>
      <w:r>
        <w:rPr>
          <w:color w:val="000000"/>
          <w:sz w:val="24"/>
          <w:szCs w:val="24"/>
        </w:rPr>
        <w:t>Разнообразие и живость образов Джотто, новый способ выделить их на своем фоне, их небывалая духовная напряженность - все эти блестящие и оригинальные свойства усиливались под воздействием схоластической искусной памяти и настоятельно рекомендованного представления об искусстве памяти как о части Благоразумия.</w:t>
      </w:r>
    </w:p>
    <w:p w:rsidR="00CF75B2" w:rsidRDefault="00470155">
      <w:pPr>
        <w:widowControl w:val="0"/>
        <w:spacing w:before="120"/>
        <w:ind w:firstLine="567"/>
        <w:jc w:val="both"/>
        <w:rPr>
          <w:color w:val="000000"/>
          <w:sz w:val="24"/>
          <w:szCs w:val="24"/>
        </w:rPr>
      </w:pPr>
      <w:r>
        <w:rPr>
          <w:color w:val="000000"/>
          <w:sz w:val="24"/>
          <w:szCs w:val="24"/>
        </w:rPr>
        <w:t>То, что воспоминания о Рае и Аде, как они выражены у Бонкомпаньо, лежат в русле схоластических представлений об искусной памяти, отражено в том факте, что позднейшие схоластические трактаты о памяти всегда содержат воспоминания о Рае и Аде, зачастую подкрепленные изображениями этих мест, как относящихся к искусной памяти. Мы встретим примеры этому в следующей главе, где представлены некоторые из таких изображений. Тем не менее я приведу здесь некоторые замечания немецкого доминиканца Иоганна Ромберха, поскольку они имеют отношение к обсуждаемому периоду. Как уже говорилось, ром-берховские правила для памяти основываются на правилах Фомы Аквинского, что было естественно для доминиканца, продолжавшего томистскую традицию.</w:t>
      </w:r>
    </w:p>
    <w:p w:rsidR="00CF75B2" w:rsidRDefault="00470155">
      <w:pPr>
        <w:widowControl w:val="0"/>
        <w:spacing w:before="120"/>
        <w:ind w:firstLine="567"/>
        <w:jc w:val="both"/>
        <w:rPr>
          <w:color w:val="000000"/>
          <w:sz w:val="24"/>
          <w:szCs w:val="24"/>
        </w:rPr>
      </w:pPr>
      <w:r>
        <w:rPr>
          <w:color w:val="000000"/>
          <w:sz w:val="24"/>
          <w:szCs w:val="24"/>
        </w:rPr>
        <w:t>Свой труд "'Congestorium artificiose memoriae" (впервые изданный в 1520 году) Ромберх начинает с воспоминаний о Рае, Аде и Чистилище. Ад, по его словам, разделен на множество мест, которые мы запоминаем по надписям над ними.</w:t>
      </w:r>
    </w:p>
    <w:p w:rsidR="00CF75B2" w:rsidRDefault="00470155">
      <w:pPr>
        <w:widowControl w:val="0"/>
        <w:spacing w:before="120"/>
        <w:ind w:firstLine="567"/>
        <w:jc w:val="both"/>
        <w:rPr>
          <w:color w:val="000000"/>
          <w:sz w:val="24"/>
          <w:szCs w:val="24"/>
        </w:rPr>
      </w:pPr>
      <w:r>
        <w:rPr>
          <w:color w:val="000000"/>
          <w:sz w:val="24"/>
          <w:szCs w:val="24"/>
        </w:rPr>
        <w:t>"И поскольку истинная религия полагает, что наказания грехов соответствуют природе преступления, здесь распяты гордецы... там чревоугодники, алчные, злобные, завистливые, тщеславные (наказаны) серой, огнем, смолой и прочими карами".</w:t>
      </w:r>
    </w:p>
    <w:p w:rsidR="00CF75B2" w:rsidRDefault="00470155">
      <w:pPr>
        <w:widowControl w:val="0"/>
        <w:spacing w:before="120"/>
        <w:ind w:firstLine="567"/>
        <w:jc w:val="both"/>
        <w:rPr>
          <w:color w:val="000000"/>
          <w:sz w:val="24"/>
          <w:szCs w:val="24"/>
        </w:rPr>
      </w:pPr>
      <w:r>
        <w:rPr>
          <w:color w:val="000000"/>
          <w:sz w:val="24"/>
          <w:szCs w:val="24"/>
        </w:rPr>
        <w:t>Таким образом вводится новая идея о том, что части Ада, различающиеся по природе греха и по наказанию за него, могли бы быть рассмотрены как различные loci. А впечатляющими образами для этих мест могли бы, конечно, стать образы проклятых. Теперь мы можем посмотреть с точки зрения памяти на относящееся к XIV веку изображение Ада из доминиканской церкви Санта Мария Новелла. Ад разделен на участки с надписями на них (прямо по Ромберху), устанавливающими наказание за каждый из грехов, и содержащие изображения, которые можно было бы ожидать в подобном месте. Если бы нам нужно было запомнить эту картинку в качестве благоразумного предупреждения, разве не применили бы мы то, что в Средние века называлось искусной памятью? Я думаю, что да.</w:t>
      </w:r>
    </w:p>
    <w:p w:rsidR="00CF75B2" w:rsidRDefault="00470155">
      <w:pPr>
        <w:widowControl w:val="0"/>
        <w:spacing w:before="120"/>
        <w:ind w:firstLine="567"/>
        <w:jc w:val="both"/>
        <w:rPr>
          <w:color w:val="000000"/>
          <w:sz w:val="24"/>
          <w:szCs w:val="24"/>
        </w:rPr>
      </w:pPr>
      <w:r>
        <w:rPr>
          <w:color w:val="000000"/>
          <w:sz w:val="24"/>
          <w:szCs w:val="24"/>
        </w:rPr>
        <w:t>Когда Людовико Дольче осуществил итальянский перевод трактата Ромберха, опубликованного в 1562 году, он сделал следующее небольшое дополнение к ромберховскому тексту при описании частей Ада:</w:t>
      </w:r>
    </w:p>
    <w:p w:rsidR="00CF75B2" w:rsidRDefault="00470155">
      <w:pPr>
        <w:widowControl w:val="0"/>
        <w:spacing w:before="120"/>
        <w:ind w:firstLine="567"/>
        <w:jc w:val="both"/>
        <w:rPr>
          <w:color w:val="000000"/>
          <w:sz w:val="24"/>
          <w:szCs w:val="24"/>
        </w:rPr>
      </w:pPr>
      <w:r>
        <w:rPr>
          <w:color w:val="000000"/>
          <w:sz w:val="24"/>
          <w:szCs w:val="24"/>
        </w:rPr>
        <w:t>"Для этого (то есть для запоминания мест Ада) нам очень поможет остроумное изобретение Вергилия и Данте. И, прежде всего, для различения наказаний в связи с различной природой грехов. В точности".</w:t>
      </w:r>
    </w:p>
    <w:p w:rsidR="00CF75B2" w:rsidRDefault="00470155">
      <w:pPr>
        <w:widowControl w:val="0"/>
        <w:spacing w:before="120"/>
        <w:ind w:firstLine="567"/>
        <w:jc w:val="both"/>
        <w:rPr>
          <w:color w:val="000000"/>
          <w:sz w:val="24"/>
          <w:szCs w:val="24"/>
        </w:rPr>
      </w:pPr>
      <w:r>
        <w:rPr>
          <w:color w:val="000000"/>
          <w:sz w:val="24"/>
          <w:szCs w:val="24"/>
        </w:rPr>
        <w:t>Что дантовский Inferno можно рассматривать как разновидность системы памяти для запоминания, Ад и его страсти с поражающими воображение образами, привязанными к определенным местам, могут воздействовать как шок, но я ничего не могу с этим поделать. Понадобилась бы целая книга, чтобы рассмотреть все следствия такого подхода к поэме Данте. Это не значит, что мы имеем дело с грубым или в принципе невозможным подходом. Если кто-то воспринимает поэму как основанную на определенном порядке расположения мест в Аду, Раю и Чистилище и космическом порядке мест, при котором сферы Ада являются оборотной стороной Небесных сфер, то это восприятие, прежде всего, проявляется как сумма подобий и образов, выстроенных в определенном порядке и отражающих мироустройство. Если же предположить, что Благоразумие, выраженное через множество различных подобий, является главной символической темой поэмы, то ее три части можно рассматривать как memoria - напоминание о пороках и о наказаниях за них в Аду, intellidentia - использование настоящего для покаяния и обретения целомудрия и providentia - стремление к Небесам. В этой интерпретации принципы искусной памяти, как понималась она в Средние века, должны были стимулировать интенсивную визуализацию многочисленных подобий в напряженной попытке удержать в памяти схему спасения, а сложная сеть добродетелей и пороков, а также вознаграждений и наказаний за них - достижение цели добродетельным человеком, который использует память как часть Добродетели.</w:t>
      </w:r>
    </w:p>
    <w:p w:rsidR="00CF75B2" w:rsidRDefault="00470155">
      <w:pPr>
        <w:widowControl w:val="0"/>
        <w:spacing w:before="120"/>
        <w:ind w:firstLine="567"/>
        <w:jc w:val="both"/>
        <w:rPr>
          <w:color w:val="000000"/>
          <w:sz w:val="24"/>
          <w:szCs w:val="24"/>
        </w:rPr>
      </w:pPr>
      <w:r>
        <w:rPr>
          <w:color w:val="000000"/>
          <w:sz w:val="24"/>
          <w:szCs w:val="24"/>
        </w:rPr>
        <w:t>Таким образом "Божественная комедия" могла бы стать наивысшим примером превращения суммы абстракций в сумму подобий и образов, где Память играла бы роль преобразующей силы, моста между абстракцией и образом. Но есть еще и другая причина для использования материальных подобий, указанная Фомой Аквинским в Summa; кроме использования в памяти, они также могут употребляться в поэзии, к примеру, когда Писание использует поэтические метафоры и говорит о духовных сущностях посредством их материальных подобий. Если представить себе искусство Данте как мистическое искусство, соединенное с мистической риторикой, то образы Туллия превратились бы в поэтические метафоры духовных вещей. Бонкомпаньо, как мы помним, утверждал в своей мистической риторике, что метафора была изобретена в Земном Раю.</w:t>
      </w:r>
    </w:p>
    <w:p w:rsidR="00CF75B2" w:rsidRDefault="00470155">
      <w:pPr>
        <w:widowControl w:val="0"/>
        <w:spacing w:before="120"/>
        <w:ind w:firstLine="567"/>
        <w:jc w:val="both"/>
        <w:rPr>
          <w:color w:val="000000"/>
          <w:sz w:val="24"/>
          <w:szCs w:val="24"/>
        </w:rPr>
      </w:pPr>
      <w:r>
        <w:rPr>
          <w:color w:val="000000"/>
          <w:sz w:val="24"/>
          <w:szCs w:val="24"/>
        </w:rPr>
        <w:t>Предположение о том, что "взращивание" образов при использовании искусства памяти в благочестивых целях могло стимулировать творческую работу в искусстве и литературе, все же до сих пор оставляет необъясненным, как средневековое искусство могло быть использовано в качестве мнемонического в обычном смысле этого слова. Как, например, мог проповедник с его помощью запомнить детали проповеди? Или как мог ученик запомнить с его помощью текст, который он хотел удержать в памяти? Эта проблема была поставлена Берил Смолли при изучении жизни английских монахов XIV века, в ходе которого она уделила внимание одной любопытной особенности в работах францисканца Джона Райдволла и доминиканца Роберта Холкота, а именно, их детальным описаниям "картин", которые не предназначались для живописного воплощения, но использовались как инструмент для запоминания. Эти невидимые "картины" дают нам примеры невидимых образов памяти, которые хранились в ней, не требуя внешнего воплощения и использовались лишь для практических мнемонических целей.</w:t>
      </w:r>
    </w:p>
    <w:p w:rsidR="00CF75B2" w:rsidRDefault="00470155">
      <w:pPr>
        <w:widowControl w:val="0"/>
        <w:spacing w:before="120"/>
        <w:ind w:firstLine="567"/>
        <w:jc w:val="both"/>
        <w:rPr>
          <w:color w:val="000000"/>
          <w:sz w:val="24"/>
          <w:szCs w:val="24"/>
        </w:rPr>
      </w:pPr>
      <w:r>
        <w:rPr>
          <w:color w:val="000000"/>
          <w:sz w:val="24"/>
          <w:szCs w:val="24"/>
        </w:rPr>
        <w:t>К примеру, Райдволл описывает образ продажной женщины: она слепа, с уродливыми ушами и искаженным лицом; труба возвещает о ее преступлениях. Автор называет это "изображением идолопоклонства согласно поэтам". Источник такого образа неизвестен, и Смолли полагает, что Райдволл изобрел его сам. У него не было сомнений, поскольку он предлагал памятный образ, который в силу своего ужасающего уродства соответствовал правилу imagines agentes и использовался для напоминания о грехе идолопоклонства, который был представлен в виде продажной женщины, поскольку идолопоклонники оставляют истинного Бога, чтобы грешить с идолами; эта женщина изображена слепой и глухой, ибо порождена лестью, ослепляющей и оглушающей подверженных ей людей; она ославлена как преступница, ибо злодеи надеются получить прощение через поклонение идолам; у нее скорбное и обезображенное лицо, ибо одной из причин идолопоклонства может стать чрезмерное горе; она больна, ибо идолопоклонство сродни любовным излишествам. Мнемоническое стихотворение суммирует черты этого образа:</w:t>
      </w:r>
    </w:p>
    <w:p w:rsidR="00CF75B2" w:rsidRDefault="00470155">
      <w:pPr>
        <w:widowControl w:val="0"/>
        <w:spacing w:before="120"/>
        <w:ind w:firstLine="567"/>
        <w:jc w:val="both"/>
        <w:rPr>
          <w:color w:val="000000"/>
          <w:sz w:val="24"/>
          <w:szCs w:val="24"/>
          <w:lang w:val="en-US"/>
        </w:rPr>
      </w:pPr>
      <w:r>
        <w:rPr>
          <w:color w:val="000000"/>
          <w:sz w:val="24"/>
          <w:szCs w:val="24"/>
          <w:lang w:val="en-US"/>
        </w:rPr>
        <w:t>Mulier notata, oculis orbata,</w:t>
      </w:r>
    </w:p>
    <w:p w:rsidR="00CF75B2" w:rsidRDefault="00470155">
      <w:pPr>
        <w:widowControl w:val="0"/>
        <w:spacing w:before="120"/>
        <w:ind w:firstLine="567"/>
        <w:jc w:val="both"/>
        <w:rPr>
          <w:color w:val="000000"/>
          <w:sz w:val="24"/>
          <w:szCs w:val="24"/>
          <w:lang w:val="en-US"/>
        </w:rPr>
      </w:pPr>
      <w:r>
        <w:rPr>
          <w:color w:val="000000"/>
          <w:sz w:val="24"/>
          <w:szCs w:val="24"/>
          <w:lang w:val="en-US"/>
        </w:rPr>
        <w:t>aure mutilata, cornu ventilata,</w:t>
      </w:r>
    </w:p>
    <w:p w:rsidR="00CF75B2" w:rsidRDefault="00470155">
      <w:pPr>
        <w:widowControl w:val="0"/>
        <w:spacing w:before="120"/>
        <w:ind w:firstLine="567"/>
        <w:jc w:val="both"/>
        <w:rPr>
          <w:color w:val="000000"/>
          <w:sz w:val="24"/>
          <w:szCs w:val="24"/>
          <w:lang w:val="en-US"/>
        </w:rPr>
      </w:pPr>
      <w:r>
        <w:rPr>
          <w:color w:val="000000"/>
          <w:sz w:val="24"/>
          <w:szCs w:val="24"/>
          <w:lang w:val="en-US"/>
        </w:rPr>
        <w:t>vultu deformata et morbo vexata.</w:t>
      </w:r>
    </w:p>
    <w:p w:rsidR="00CF75B2" w:rsidRDefault="00470155">
      <w:pPr>
        <w:widowControl w:val="0"/>
        <w:spacing w:before="120"/>
        <w:ind w:firstLine="567"/>
        <w:jc w:val="both"/>
        <w:rPr>
          <w:color w:val="000000"/>
          <w:sz w:val="24"/>
          <w:szCs w:val="24"/>
        </w:rPr>
      </w:pPr>
      <w:r>
        <w:rPr>
          <w:color w:val="000000"/>
          <w:sz w:val="24"/>
          <w:szCs w:val="24"/>
        </w:rPr>
        <w:t>Все это можно безошибочно определить как памятный образ, служащий для того, чтобы возбудить память своими яркими чертами, не требующий внешнего выражения (его запоминание облегчалось с помощью мнемонического стихотворения) и используемый лишь в целях мнемонического запоминания пунктов, затронутых в проповеди против идолопоклонства.</w:t>
      </w:r>
    </w:p>
    <w:p w:rsidR="00CF75B2" w:rsidRDefault="00470155">
      <w:pPr>
        <w:widowControl w:val="0"/>
        <w:spacing w:before="120"/>
        <w:ind w:firstLine="567"/>
        <w:jc w:val="both"/>
        <w:rPr>
          <w:color w:val="000000"/>
          <w:sz w:val="24"/>
          <w:szCs w:val="24"/>
        </w:rPr>
      </w:pPr>
      <w:r>
        <w:rPr>
          <w:color w:val="000000"/>
          <w:sz w:val="24"/>
          <w:szCs w:val="24"/>
        </w:rPr>
        <w:t>"Картина" идолопоклонства содержится во вступлении к Fulgentius metaforalis Райдволла, моральном рассуждении по поводу мифологии Фульгения, предназначенной для проповедников. Эта работа хорошо известна, но хотелось бы знать, вполне ли мы понимаем, как использовали проповедники эти ненарисованные картины языческих богов. То, что они относились к сфере средневековой искусной памяти, хорошо подтверждается фактом, что первый из описанных образов - образ Сатурна - иллюстрирует добродетель Благоразумия, за ним следуют Юнона, представляющая memoria, Нептун как intelligentia и Плутон в качестве providentia. Мы хорошо поняли, что представление о памяти как части благоразумия оправдывает использование искусной памяти в рамках исполнения этического долга. Альберт Великий научил нас, что поэтические метафоры, включая мифы о языческих богах, могут быть использованы в памяти ради своей "волнующей силы". Можно предположить, что Райдволл инструктирует проповедника, как использовать "волнующее" невидимых памятных образов богов для запоминания проповеди о добродетелях и их частях. Каждый образ, подобно упомянутому образу идолопоклонства, имеет свои атрибуты и характеристики, тщательно описанные и сохраненные в мнемоническом стихотворении, которые служат для иллюстрации или, лучше сказать, для запоминания основных деталей рассуждения о той или иной добродетели.</w:t>
      </w:r>
    </w:p>
    <w:p w:rsidR="00CF75B2" w:rsidRDefault="00470155">
      <w:pPr>
        <w:widowControl w:val="0"/>
        <w:spacing w:before="120"/>
        <w:ind w:firstLine="567"/>
        <w:jc w:val="both"/>
        <w:rPr>
          <w:color w:val="000000"/>
          <w:sz w:val="24"/>
          <w:szCs w:val="24"/>
        </w:rPr>
      </w:pPr>
      <w:r>
        <w:rPr>
          <w:color w:val="000000"/>
          <w:sz w:val="24"/>
          <w:szCs w:val="24"/>
        </w:rPr>
        <w:t>Moralitates Холкота представляют собой собрание примеров для нужд проповедника, в которых обильно используется "картинная" техника. Усилия обнаружить источники этих "картин" не увенчались успехом, и это неудивительно, поскольку, как и в случае с Райдволлом, образы эти были, очевидно, выдуманы автором. Холкот придает им, по выражению Смолли, оттенок "лжеантичности". Например, при "изображении" Покаяния.</w:t>
      </w:r>
    </w:p>
    <w:p w:rsidR="00CF75B2" w:rsidRDefault="00470155">
      <w:pPr>
        <w:widowControl w:val="0"/>
        <w:spacing w:before="120"/>
        <w:ind w:firstLine="567"/>
        <w:jc w:val="both"/>
        <w:rPr>
          <w:color w:val="000000"/>
          <w:sz w:val="24"/>
          <w:szCs w:val="24"/>
        </w:rPr>
      </w:pPr>
      <w:r>
        <w:rPr>
          <w:color w:val="000000"/>
          <w:sz w:val="24"/>
          <w:szCs w:val="24"/>
        </w:rPr>
        <w:t>"Изображение Покаяния жрецами богини Весты, согласно Ремигию. Покаяние изображалось в виде обнаженного мужчины, который держит в руке пятихвостную плеть, на хвостах которой можно прочесть пять стихов или изречений".</w:t>
      </w:r>
    </w:p>
    <w:p w:rsidR="00CF75B2" w:rsidRDefault="00470155">
      <w:pPr>
        <w:widowControl w:val="0"/>
        <w:spacing w:before="120"/>
        <w:ind w:firstLine="567"/>
        <w:jc w:val="both"/>
        <w:rPr>
          <w:color w:val="000000"/>
          <w:sz w:val="24"/>
          <w:szCs w:val="24"/>
        </w:rPr>
      </w:pPr>
      <w:r>
        <w:rPr>
          <w:color w:val="000000"/>
          <w:sz w:val="24"/>
          <w:szCs w:val="24"/>
        </w:rPr>
        <w:t>Далее приводятся эти изречения, и такое их размещение на соответствующем образе или вокруг него характерно для метода Холкота. "Изображение" Дружбы, например, представлено в виде юноши, облаченного в зеленую одежду, и содержит надписи о Дружбе, помещенные на самой фигуре и вокруг нее.</w:t>
      </w:r>
    </w:p>
    <w:p w:rsidR="00CF75B2" w:rsidRDefault="00470155">
      <w:pPr>
        <w:widowControl w:val="0"/>
        <w:spacing w:before="120"/>
        <w:ind w:firstLine="567"/>
        <w:jc w:val="both"/>
        <w:rPr>
          <w:color w:val="000000"/>
          <w:sz w:val="24"/>
          <w:szCs w:val="24"/>
        </w:rPr>
      </w:pPr>
      <w:r>
        <w:rPr>
          <w:color w:val="000000"/>
          <w:sz w:val="24"/>
          <w:szCs w:val="24"/>
        </w:rPr>
        <w:t>Ни одна из многочисленных рукописей Moralitates не иллюстрирована; описанные там "изображения" не были предназначены для зрительного восприятия, но являлись невидимыми памятными образами. Однако Саксл обнаружил несколько визуальных изображений холкотовских образов, включая изображение Покаяния, в двух рукописях XV века. Когда мы видим человека с плетью и надписями на ней, мы распознаем технику образа с надписями, весьма характерную для средневековых манускриптов. Но суть заключена в том, что нам не нужно видеть эти образы выраженными вовне. Здесь мы имеем дело с невидимыми памятными образами. И это подсказывает нам, что запоминание слов и изречений, которые размещались или записывались на памятных образах, могло быть именно тем, что называлось в Средние века "памятью для слов".</w:t>
      </w:r>
    </w:p>
    <w:p w:rsidR="00CF75B2" w:rsidRDefault="00470155">
      <w:pPr>
        <w:widowControl w:val="0"/>
        <w:spacing w:before="120"/>
        <w:ind w:firstLine="567"/>
        <w:jc w:val="both"/>
        <w:rPr>
          <w:color w:val="000000"/>
          <w:sz w:val="24"/>
          <w:szCs w:val="24"/>
        </w:rPr>
      </w:pPr>
      <w:r>
        <w:rPr>
          <w:color w:val="000000"/>
          <w:sz w:val="24"/>
          <w:szCs w:val="24"/>
        </w:rPr>
        <w:t>Другое чрезвычайно любопытное использование памятных образов описано Холкотом. В своем воображении он помещает эти образы на страницы библейского текста, чтобы напомнить себе о том, как он собирался комментировать этот текст. На одной из страниц книги пророка Осии он представляет себе фигуру Идолопоклонства (позаимствованную у Райдволла), которая должна напомнить ему, как следует толковать слова Осии об этом грехе. Он даже размещает на тексте пророка изображение Купидона, вооруженного луком и стрелами! Конечно же, бог любви и его атрибуты были истолкованы монахом в моральном смысле, а "волнующий" языческий образ применен как памятный образ для моралистического комментария к тексту.</w:t>
      </w:r>
    </w:p>
    <w:p w:rsidR="00CF75B2" w:rsidRDefault="00470155">
      <w:pPr>
        <w:widowControl w:val="0"/>
        <w:spacing w:before="120"/>
        <w:ind w:firstLine="567"/>
        <w:jc w:val="both"/>
        <w:rPr>
          <w:color w:val="000000"/>
          <w:sz w:val="24"/>
          <w:szCs w:val="24"/>
        </w:rPr>
      </w:pPr>
      <w:r>
        <w:rPr>
          <w:color w:val="000000"/>
          <w:sz w:val="24"/>
          <w:szCs w:val="24"/>
        </w:rPr>
        <w:t>Приверженность этих английских монахов мифическим сюжетам как источникам памятных образов, берущая начало от Альберта Великого, дает возможность предположить, что искусство памяти могло быть тем оставшимся без внимания проводником, благодаря которому языческая образность сохранилась в Средние века.</w:t>
      </w:r>
    </w:p>
    <w:p w:rsidR="00CF75B2" w:rsidRDefault="00470155">
      <w:pPr>
        <w:widowControl w:val="0"/>
        <w:spacing w:before="120"/>
        <w:ind w:firstLine="567"/>
        <w:jc w:val="both"/>
        <w:rPr>
          <w:color w:val="000000"/>
          <w:sz w:val="24"/>
          <w:szCs w:val="24"/>
        </w:rPr>
      </w:pPr>
      <w:r>
        <w:rPr>
          <w:color w:val="000000"/>
          <w:sz w:val="24"/>
          <w:szCs w:val="24"/>
        </w:rPr>
        <w:t>Приведя указания по размещению на тексте памятной "картины", наши монахи, по всей видимости, умалчивают о том, как должны быть размещены их сложные памятные образы для запоминания проповедей. Как я предположила ранее, правила мест из Ad Herennium, скорее всего, модифицированы в Средние века. Основное в правилах св. Фомы - это порядок, и этот порядок, бесспорно, является порядком аргументации. Если материал располагается в определенном порядке, то и запоминать следует в этом порядке с помощью порядков подобий. Следовательно, чтобы распознать томистскую искусную память, вовсе не обязательно искать места и фигуры, расположенные по классическому образцу, фигуры эти могут располагаться просто в соответствии с порядком мест.</w:t>
      </w:r>
    </w:p>
    <w:p w:rsidR="00CF75B2" w:rsidRDefault="00470155">
      <w:pPr>
        <w:widowControl w:val="0"/>
        <w:spacing w:before="120"/>
        <w:ind w:firstLine="567"/>
        <w:jc w:val="both"/>
        <w:rPr>
          <w:color w:val="000000"/>
          <w:sz w:val="24"/>
          <w:szCs w:val="24"/>
        </w:rPr>
      </w:pPr>
      <w:r>
        <w:rPr>
          <w:color w:val="000000"/>
          <w:sz w:val="24"/>
          <w:szCs w:val="24"/>
        </w:rPr>
        <w:t>В одной иллюстрированной итальянской рукописи начала XIV века представлены изображения трех теологических и четырех основных добродетелей, размещенные в ряд, и сходным образом выстроенные аллегории семи свободных искусств. Торжествующие добродетели показаны попирающими пороки, которые преклоняются перед ними. Свободные искусства изображены вместе с представителями этих искусств, сидящими перед ними. Как полагал Шлоссер, эти фигуры добродетелей и свободных искусств являются реминисценцией изображения теологических дисциплин и свободных искусств в сцене прославления св. Фомы на фреске из церкви Санта Мария Новелла. Здесь мы можем видеть фигуры четырех основных добродетелей, как они изображены в этой рукописи. В свое время эти рисунки использовались для запоминания частей каждой из добродетелей по Svmma theologiae. Благоразумие держит круг, символ времени, в который вписаны имена восьми частей этой добродетели согласно Фоме Аквинскому. Рядом с Умеренностью изображено раскидистое древо, на котором написаны названия ее частей, также почерпнутые из Summa. Части Силы Духа изображены на замке, в котором она обитает, а книга, которую держит в руках Справедливость, вмещает определения этой добродетели. Фигуры и их атрибуты детально разработаны, чтобы вместить или запомнить весь этот многообразный материал.</w:t>
      </w:r>
    </w:p>
    <w:p w:rsidR="00CF75B2" w:rsidRDefault="00470155">
      <w:pPr>
        <w:widowControl w:val="0"/>
        <w:spacing w:before="120"/>
        <w:ind w:firstLine="567"/>
        <w:jc w:val="both"/>
        <w:rPr>
          <w:color w:val="000000"/>
          <w:sz w:val="24"/>
          <w:szCs w:val="24"/>
        </w:rPr>
      </w:pPr>
      <w:r>
        <w:rPr>
          <w:color w:val="000000"/>
          <w:sz w:val="24"/>
          <w:szCs w:val="24"/>
        </w:rPr>
        <w:t>Специалист но иконографии увидит на этих миниатюрах многие из обычных атрибутов добродетелей. Историк искусства будет ломать себе голову, какое влияние оказала на них утраченная фреска из Падуи и как связаны они с рядом из фигур, символизирующих теологические дисциплины и свободные искусства в сцене прославления св. Фомы из церкви Санта Мария Новелла. Я же предлагаю читателю взглянуть на них как на imagines agentes, броские и яркие, богато одетые и увенчанные коронами. Короны символизируют, разумеется, победу добродетелей над пороками, но эти огромные короны служат, кроме того, для лучшего запоминания образов. И когда мы видим, что посвященные добродетелям разделы из Summa Theologiae запоминаются с помощью надписей (как Холкот запоминал изречения о Покаянии, написанные на плети из его памятного образа), мы спрашиваем себя, не являются ли эти изображения чем-то вроде искусства памяти Фомы Аквинского или они, по крайней мере, столь же близки ему, сколь внешнее представление может быть близко некоему внутреннему, невидимому и индивидуальному искусству.</w:t>
      </w:r>
    </w:p>
    <w:p w:rsidR="00CF75B2" w:rsidRDefault="00470155">
      <w:pPr>
        <w:widowControl w:val="0"/>
        <w:spacing w:before="120"/>
        <w:ind w:firstLine="567"/>
        <w:jc w:val="both"/>
        <w:rPr>
          <w:color w:val="000000"/>
          <w:sz w:val="24"/>
          <w:szCs w:val="24"/>
        </w:rPr>
      </w:pPr>
      <w:r>
        <w:rPr>
          <w:color w:val="000000"/>
          <w:sz w:val="24"/>
          <w:szCs w:val="24"/>
        </w:rPr>
        <w:t>Вереницы фигур, в которых представлены различные классификации из Summa и вся энциклопедия средневскового знания (свободные искусства, например), расположенные в определенном порядке среди просторов памяти и снабженные надписями о каждой из них, могут служить основой феноменальной памяти. Этот метод не противоречит методу Метродора из Скепсиса, который, по преданию, записывал в порядке чередования образов зодиакального круга все, что намеревался запомнить. Такие образы были бы как художественно убедительными материальными подобиями, вызывающими духовные интенции, так и подлинными мнемоническими образами, которые использовались человеком, наделенным изумительной природной памятью и громадной силой внутренней визуализации. В сочетании с этим методом могли использоваться и другие приемы, более пригодные для запоминания различных мест внутри зданий. Но есть основания полагать, что основной метод св. Фомы состоял в том, что порядки образов с надписями на них запоминались в порядке тщательно выверенной аргументации.</w:t>
      </w:r>
    </w:p>
    <w:p w:rsidR="00CF75B2" w:rsidRDefault="00470155">
      <w:pPr>
        <w:widowControl w:val="0"/>
        <w:spacing w:before="120"/>
        <w:ind w:firstLine="567"/>
        <w:jc w:val="both"/>
        <w:rPr>
          <w:color w:val="000000"/>
          <w:sz w:val="24"/>
          <w:szCs w:val="24"/>
        </w:rPr>
      </w:pPr>
      <w:r>
        <w:rPr>
          <w:color w:val="000000"/>
          <w:sz w:val="24"/>
          <w:szCs w:val="24"/>
        </w:rPr>
        <w:t>Так на бескрайних просторах внутренней памяти возводились средневековые соборы.</w:t>
      </w:r>
    </w:p>
    <w:p w:rsidR="00CF75B2" w:rsidRDefault="00470155">
      <w:pPr>
        <w:widowControl w:val="0"/>
        <w:spacing w:before="120"/>
        <w:ind w:firstLine="567"/>
        <w:jc w:val="both"/>
        <w:rPr>
          <w:color w:val="000000"/>
          <w:sz w:val="24"/>
          <w:szCs w:val="24"/>
        </w:rPr>
      </w:pPr>
      <w:r>
        <w:rPr>
          <w:color w:val="000000"/>
          <w:sz w:val="24"/>
          <w:szCs w:val="24"/>
        </w:rPr>
        <w:t xml:space="preserve">Петрарка безусловно может считаться той личностью, с которой связывается начало перехода от средневековой памяти к памяти эпохи Возрождения. На него, как на важнейший авторитет, постоянно ссылаются в трудах по искусной памяти. Неудивительно, что доминиканец Ромберх цитирует в своем трактате о памяти правила и формулировки Фомы, но упоминание им авторитета Петрарки, иногда в связи с личностью того же Фомы, может показаться неожиданным. При обсуждении правил для мест Ромберх утверждает, что Петрарка предупреждал против возможных нарушений порядка их расположения. Согласно правилу, эти места не должны быть ни слишком широкими, ни слишком узкими, но соразмерными образу, с которым они связаны; Петрарка, "подражаемый многими", сказал по этому поводу, что места должны быть среднего размера, добавляет Ромберх. А на вопрос, сколько мест должны мы использовать, он отвечает, что </w:t>
      </w:r>
    </w:p>
    <w:p w:rsidR="00CF75B2" w:rsidRDefault="00470155">
      <w:pPr>
        <w:widowControl w:val="0"/>
        <w:spacing w:before="120"/>
        <w:ind w:firstLine="567"/>
        <w:jc w:val="both"/>
        <w:rPr>
          <w:color w:val="000000"/>
          <w:sz w:val="24"/>
          <w:szCs w:val="24"/>
        </w:rPr>
      </w:pPr>
      <w:r>
        <w:rPr>
          <w:color w:val="000000"/>
          <w:sz w:val="24"/>
          <w:szCs w:val="24"/>
        </w:rPr>
        <w:t>"Божественный Аквинат в II. II, 49 советует использовать много мест, и ему многие в этом следуют, например, Франчсско Петрарка..."</w:t>
      </w:r>
    </w:p>
    <w:p w:rsidR="00CF75B2" w:rsidRDefault="00470155">
      <w:pPr>
        <w:widowControl w:val="0"/>
        <w:spacing w:before="120"/>
        <w:ind w:firstLine="567"/>
        <w:jc w:val="both"/>
        <w:rPr>
          <w:color w:val="000000"/>
          <w:sz w:val="24"/>
          <w:szCs w:val="24"/>
        </w:rPr>
      </w:pPr>
      <w:r>
        <w:rPr>
          <w:color w:val="000000"/>
          <w:sz w:val="24"/>
          <w:szCs w:val="24"/>
        </w:rPr>
        <w:t>Это весьма занятно, ибо у Фомы в II, II, 49 ничего не сказано о количестве мест, которое следует употреблять, и, кроме того, ни в одной из сохранившихся работ Петрарки не содержится упоминания о правилах искусной памяти с детальными рекомендациями по использованию мест, которые приписывает ему Ромберх.</w:t>
      </w:r>
    </w:p>
    <w:p w:rsidR="00CF75B2" w:rsidRDefault="00470155">
      <w:pPr>
        <w:widowControl w:val="0"/>
        <w:spacing w:before="120"/>
        <w:ind w:firstLine="567"/>
        <w:jc w:val="both"/>
        <w:rPr>
          <w:color w:val="000000"/>
          <w:sz w:val="24"/>
          <w:szCs w:val="24"/>
        </w:rPr>
      </w:pPr>
      <w:r>
        <w:rPr>
          <w:color w:val="000000"/>
          <w:sz w:val="24"/>
          <w:szCs w:val="24"/>
        </w:rPr>
        <w:t>Возможно, благодаря влиянию книги Ромберха, имя Петрарки часто повторяется в трактатах о памяти, относящихся к XVI веку. Джезуладо говорит о "Петрарке, которому следует Ромберх в вопросах памяти". Гардзони причисляет Петрарку к знаменитым "Учителям Памяти". Генрих Корнелий Агриппа после перечисления классических источников по искусству памяти упоминает Петрарку как первого из новых христианских авторов. В начале XVII века Ламберт Шенкель утверждает, что искусство памяти было "с жадностию воскрешено" и "старательно взращено" Петраркой. Имя Петрарки упоминается в статье о памяти в Энциклопедии Дидро.</w:t>
      </w:r>
    </w:p>
    <w:p w:rsidR="00CF75B2" w:rsidRDefault="00470155">
      <w:pPr>
        <w:widowControl w:val="0"/>
        <w:spacing w:before="120"/>
        <w:ind w:firstLine="567"/>
        <w:jc w:val="both"/>
        <w:rPr>
          <w:color w:val="000000"/>
          <w:sz w:val="24"/>
          <w:szCs w:val="24"/>
        </w:rPr>
      </w:pPr>
      <w:r>
        <w:rPr>
          <w:color w:val="000000"/>
          <w:sz w:val="24"/>
          <w:szCs w:val="24"/>
        </w:rPr>
        <w:t>Видимо, Петрарке были присущи некоторые черты, вызывавшие восхищение в эпоху памяти и совершенно забытые современными петрарковедами - ситуация, идентичная современному игнорированию в той же связи имени Фомы Аквинского. Что же в работах Петрарки послужило источником, который дал начало этой устойчивой традиции? Возможно, он написал что-то вроде собственного, не дошедшего до нас Ars memorativa. Можно, однако, обойтись и без этого предположения. Источник может быть найден в какой-нибудь из сохранившихся работ, которую мы не прочли, не поняли и не усвоили так, как следовало это сделать.</w:t>
      </w:r>
    </w:p>
    <w:p w:rsidR="00CF75B2" w:rsidRDefault="00470155">
      <w:pPr>
        <w:widowControl w:val="0"/>
        <w:spacing w:before="120"/>
        <w:ind w:firstLine="567"/>
        <w:jc w:val="both"/>
        <w:rPr>
          <w:color w:val="000000"/>
          <w:sz w:val="24"/>
          <w:szCs w:val="24"/>
        </w:rPr>
      </w:pPr>
      <w:r>
        <w:rPr>
          <w:color w:val="000000"/>
          <w:sz w:val="24"/>
          <w:szCs w:val="24"/>
        </w:rPr>
        <w:t>Приблизительно между 1343 и 1345 годом Петрарка написал книгу под названием "Вещи для запоминания" (Rerum memorandarum libri). Это название наводит на размышления, и, когда обнаружится, что главной "вещью" для запоминания является добродетель Благоразумия с тремя ее частями - memoria, intelligentia, providentia,- изучающий искусную память сразу почувствует себя на родной почве. План книги, только часть которой была написана, основывается на определениях Благоразумия, Справедливости, Силы Духа и Умеренности, данных Цицероном в De inventione. Она открывается "подступами к добродетели", каковыми являются досуг, уединение, старание и учение. Затем идет Благоразумие и его части, первая из которых - memoria. Главы о Справедливости и Силе Духа либо утеряны, либо не были никогда написаны; из главы об Умеренности сохранился лишь фрагмент одной из частей. Этим книгам, посвященным добродетелям, возможно, должны были последовать сочинения о пороках.</w:t>
      </w:r>
    </w:p>
    <w:p w:rsidR="00CF75B2" w:rsidRDefault="00470155">
      <w:pPr>
        <w:widowControl w:val="0"/>
        <w:spacing w:before="120"/>
        <w:ind w:firstLine="567"/>
        <w:jc w:val="both"/>
        <w:rPr>
          <w:color w:val="000000"/>
          <w:sz w:val="24"/>
          <w:szCs w:val="24"/>
        </w:rPr>
      </w:pPr>
      <w:r>
        <w:rPr>
          <w:color w:val="000000"/>
          <w:sz w:val="24"/>
          <w:szCs w:val="24"/>
        </w:rPr>
        <w:t>Кажется, никем еще не было отмечено, наличие сильного сходства между этой книгой и "Наставлениями древних" Бартоломео де Сан Конкордио. Ammaestramenti degli antichi начинаются точно такими же, "подступами к добродетели", затем обстоятельно и подробно рассматриваются Цицероновы добродетели, а следом за ними - пороки. Так могла бы выглядеть книга Петрарки, если бы она была закончена им.</w:t>
      </w:r>
    </w:p>
    <w:p w:rsidR="00CF75B2" w:rsidRDefault="00470155">
      <w:pPr>
        <w:widowControl w:val="0"/>
        <w:spacing w:before="120"/>
        <w:ind w:firstLine="567"/>
        <w:jc w:val="both"/>
        <w:rPr>
          <w:color w:val="000000"/>
          <w:sz w:val="24"/>
          <w:szCs w:val="24"/>
        </w:rPr>
      </w:pPr>
      <w:r>
        <w:rPr>
          <w:color w:val="000000"/>
          <w:sz w:val="24"/>
          <w:szCs w:val="24"/>
        </w:rPr>
        <w:t>Существует и более значительное сходство, состоящее в том, что оба автора, говоря о memoria, ссылаются на искусство памяти. Бартоломео, как мы видели, относит к этой рубрике правила памяти св. Фомы, Петрарка намекает на это искусство, приводя примеры мужей древности, прославившихся своей памятью, и связывая эти примеры с классическим искусством. Его параграф о памяти Лукулла и Гортензия начинается так: "Существуют две разновидности памяти, одна для вещей и другая для слов". Он напоминает, что Сенека старший мог произнести речь в обратном порядке и повторяет вслед за Сенекой, что память Латро Порция была "хороша как благодаря природе, так и благодаря искусству". А говоря о памяти Фемистокла, он повторяет рассказанную Цицероном в De oratore историю о том, как Фемистокл отказался изучать "искусство памяти", поскольку, его природная память и без того была достаточно хороша. Петрарка, конечно же, должен был знать, что Цицерон не одобрял позицию Фемистокла и описывал в своей работе, как сам он использует искусство памяти.</w:t>
      </w:r>
    </w:p>
    <w:p w:rsidR="00CF75B2" w:rsidRDefault="00470155">
      <w:pPr>
        <w:widowControl w:val="0"/>
        <w:spacing w:before="120"/>
        <w:ind w:firstLine="567"/>
        <w:jc w:val="both"/>
        <w:rPr>
          <w:color w:val="000000"/>
          <w:sz w:val="24"/>
          <w:szCs w:val="24"/>
        </w:rPr>
      </w:pPr>
      <w:r>
        <w:rPr>
          <w:color w:val="000000"/>
          <w:sz w:val="24"/>
          <w:szCs w:val="24"/>
        </w:rPr>
        <w:t>Я полагаю, что этих ссылок на искусство памяти в работе, где части Благоразумия и другие добродетели рассматриваются в качестве "вещей для запоминания" достаточно, чтобы отнести Петрарку к традиции памяти и классифицировать Rerum memorandarum libri как этический трактат, предназначенный для запоминания подобно Аmmaestramenti degli antichi. И это, возможно, соответствует замыслам самого Петрарки. Несмотря на гуманистический оттенок работы и более частое, по сравнению с Ad Неrennium, использование De oratore, книга Петрарки вырастает непосредственно из схоластики с ее благоговейным отношением к искусству памяти как части Благоразумия.</w:t>
      </w:r>
    </w:p>
    <w:p w:rsidR="00CF75B2" w:rsidRDefault="00470155">
      <w:pPr>
        <w:widowControl w:val="0"/>
        <w:spacing w:before="120"/>
        <w:ind w:firstLine="567"/>
        <w:jc w:val="both"/>
        <w:rPr>
          <w:color w:val="000000"/>
          <w:sz w:val="24"/>
          <w:szCs w:val="24"/>
        </w:rPr>
      </w:pPr>
      <w:r>
        <w:rPr>
          <w:color w:val="000000"/>
          <w:sz w:val="24"/>
          <w:szCs w:val="24"/>
        </w:rPr>
        <w:t>Что же представляли собой эти телесные подобия, невидимые "картины", которые Петрарка разместил бы в памяти для напоминания о Благоразумии и его частях? Если со своим глубоким почитанием древних он решился использовать для запоминания языческие образы, образы, которые "волновали" его в силу его классических пристрастий, то в этом ему следовало опереться на авторитет Альберта Великого.</w:t>
      </w:r>
    </w:p>
    <w:p w:rsidR="00CF75B2" w:rsidRDefault="00470155">
      <w:pPr>
        <w:widowControl w:val="0"/>
        <w:spacing w:before="120"/>
        <w:ind w:firstLine="567"/>
        <w:jc w:val="both"/>
        <w:rPr>
          <w:color w:val="000000"/>
          <w:sz w:val="24"/>
          <w:szCs w:val="24"/>
        </w:rPr>
      </w:pPr>
      <w:r>
        <w:rPr>
          <w:color w:val="000000"/>
          <w:sz w:val="24"/>
          <w:szCs w:val="24"/>
        </w:rPr>
        <w:t>Быть может, добродетели у Петрарки проносятся в памяти на колесницах, как это описано в 'Trionfi, сопровождаемые маршем наиболее известных "примеров" для каждой из них.</w:t>
      </w:r>
    </w:p>
    <w:p w:rsidR="00CF75B2" w:rsidRDefault="00470155">
      <w:pPr>
        <w:widowControl w:val="0"/>
        <w:spacing w:before="120"/>
        <w:ind w:firstLine="567"/>
        <w:jc w:val="both"/>
        <w:rPr>
          <w:color w:val="000000"/>
          <w:sz w:val="24"/>
          <w:szCs w:val="24"/>
        </w:rPr>
      </w:pPr>
      <w:r>
        <w:rPr>
          <w:color w:val="000000"/>
          <w:sz w:val="24"/>
          <w:szCs w:val="24"/>
        </w:rPr>
        <w:t>Предпринятая в этой главе попытка вызвать к жизни средневековую намять остается фрагментарной и незавершенной и представляет собой, скорее, предлагаемый другим авторам набросок дальнейших исследований столь обширного предмета, ни в коем случае не претендуя на окончательность. Моей темой было искусство памяти и его значение в формировании образности. Это внутреннее искусство, которое стимулировало использование воображения как исполнение некой обязанности следует считать решающим фактором построения системы образов. Может ли память стать одним из объяснений средневекового идеосинкразического пристрастия к гротеску? Не свидетельствуют ли те странные фигуры, которые мы можем найти на страницах средневековых рукописей и во всех разновидностях средневекового искусства не столько о терзаемой муками психике, сколько об очевидности того, что люди эпохи Средневековья следовали при запоминании классическим правилам создания памятных образов? Действительно ли распространение новой образности в XII и XIV веках связано с возрождением интереса к памяти у схоластов? Я старалась показать, что дело, скорее всего, обстоит именно так. То, что историк искусства памяти не может избежать упоминания имен Джотто, Данте и Петрарки, является несомненным свидетельством чрезвычайной важности этого предмета.</w:t>
      </w:r>
    </w:p>
    <w:p w:rsidR="00CF75B2" w:rsidRDefault="00470155">
      <w:pPr>
        <w:widowControl w:val="0"/>
        <w:spacing w:before="120"/>
        <w:ind w:firstLine="567"/>
        <w:jc w:val="both"/>
        <w:rPr>
          <w:color w:val="000000"/>
          <w:sz w:val="24"/>
          <w:szCs w:val="24"/>
        </w:rPr>
      </w:pPr>
      <w:r>
        <w:rPr>
          <w:color w:val="000000"/>
          <w:sz w:val="24"/>
          <w:szCs w:val="24"/>
        </w:rPr>
        <w:t>Учитывая особенность этой книги, в которой речь идет в основном о позднейшей истории искусства памяти, важно подчеркнуть, что это искусство появляется в эпоху Средневековья. А его глубочайшие корни находятся в еще более отдаленной древности. От этих глубоких и таинственных истоков оно проникло к более поздним столетиям, сохранив отпечаток религиозного пыла в странном сочетании с мнемотехническими деталями, который оставили на нем Средние века.</w:t>
      </w:r>
      <w:bookmarkStart w:id="0" w:name="_GoBack"/>
      <w:bookmarkEnd w:id="0"/>
    </w:p>
    <w:sectPr w:rsidR="00CF75B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9905D4"/>
    <w:multiLevelType w:val="hybridMultilevel"/>
    <w:tmpl w:val="A9E441DA"/>
    <w:lvl w:ilvl="0" w:tplc="BC4A00FA">
      <w:start w:val="1"/>
      <w:numFmt w:val="decimal"/>
      <w:lvlText w:val="%1."/>
      <w:lvlJc w:val="left"/>
      <w:pPr>
        <w:tabs>
          <w:tab w:val="num" w:pos="720"/>
        </w:tabs>
        <w:ind w:left="720" w:hanging="360"/>
      </w:pPr>
    </w:lvl>
    <w:lvl w:ilvl="1" w:tplc="D352A57E">
      <w:start w:val="1"/>
      <w:numFmt w:val="decimal"/>
      <w:lvlText w:val="%2."/>
      <w:lvlJc w:val="left"/>
      <w:pPr>
        <w:tabs>
          <w:tab w:val="num" w:pos="1440"/>
        </w:tabs>
        <w:ind w:left="1440" w:hanging="360"/>
      </w:pPr>
    </w:lvl>
    <w:lvl w:ilvl="2" w:tplc="689A685C">
      <w:start w:val="1"/>
      <w:numFmt w:val="decimal"/>
      <w:lvlText w:val="%3."/>
      <w:lvlJc w:val="left"/>
      <w:pPr>
        <w:tabs>
          <w:tab w:val="num" w:pos="2160"/>
        </w:tabs>
        <w:ind w:left="2160" w:hanging="360"/>
      </w:pPr>
    </w:lvl>
    <w:lvl w:ilvl="3" w:tplc="E82A42BE">
      <w:start w:val="1"/>
      <w:numFmt w:val="decimal"/>
      <w:lvlText w:val="%4."/>
      <w:lvlJc w:val="left"/>
      <w:pPr>
        <w:tabs>
          <w:tab w:val="num" w:pos="2880"/>
        </w:tabs>
        <w:ind w:left="2880" w:hanging="360"/>
      </w:pPr>
    </w:lvl>
    <w:lvl w:ilvl="4" w:tplc="E6668F38">
      <w:start w:val="1"/>
      <w:numFmt w:val="decimal"/>
      <w:lvlText w:val="%5."/>
      <w:lvlJc w:val="left"/>
      <w:pPr>
        <w:tabs>
          <w:tab w:val="num" w:pos="3600"/>
        </w:tabs>
        <w:ind w:left="3600" w:hanging="360"/>
      </w:pPr>
    </w:lvl>
    <w:lvl w:ilvl="5" w:tplc="FD1EF2D0">
      <w:start w:val="1"/>
      <w:numFmt w:val="decimal"/>
      <w:lvlText w:val="%6."/>
      <w:lvlJc w:val="left"/>
      <w:pPr>
        <w:tabs>
          <w:tab w:val="num" w:pos="4320"/>
        </w:tabs>
        <w:ind w:left="4320" w:hanging="360"/>
      </w:pPr>
    </w:lvl>
    <w:lvl w:ilvl="6" w:tplc="D7E289A4">
      <w:start w:val="1"/>
      <w:numFmt w:val="decimal"/>
      <w:lvlText w:val="%7."/>
      <w:lvlJc w:val="left"/>
      <w:pPr>
        <w:tabs>
          <w:tab w:val="num" w:pos="5040"/>
        </w:tabs>
        <w:ind w:left="5040" w:hanging="360"/>
      </w:pPr>
    </w:lvl>
    <w:lvl w:ilvl="7" w:tplc="FB34A6E6">
      <w:start w:val="1"/>
      <w:numFmt w:val="decimal"/>
      <w:lvlText w:val="%8."/>
      <w:lvlJc w:val="left"/>
      <w:pPr>
        <w:tabs>
          <w:tab w:val="num" w:pos="5760"/>
        </w:tabs>
        <w:ind w:left="5760" w:hanging="360"/>
      </w:pPr>
    </w:lvl>
    <w:lvl w:ilvl="8" w:tplc="52E20E58">
      <w:start w:val="1"/>
      <w:numFmt w:val="decimal"/>
      <w:lvlText w:val="%9."/>
      <w:lvlJc w:val="left"/>
      <w:pPr>
        <w:tabs>
          <w:tab w:val="num" w:pos="6480"/>
        </w:tabs>
        <w:ind w:left="6480" w:hanging="360"/>
      </w:pPr>
    </w:lvl>
  </w:abstractNum>
  <w:abstractNum w:abstractNumId="1">
    <w:nsid w:val="493E0386"/>
    <w:multiLevelType w:val="hybridMultilevel"/>
    <w:tmpl w:val="CF6A9DDA"/>
    <w:lvl w:ilvl="0" w:tplc="3020C734">
      <w:start w:val="1"/>
      <w:numFmt w:val="bullet"/>
      <w:lvlText w:val=""/>
      <w:lvlJc w:val="left"/>
      <w:pPr>
        <w:tabs>
          <w:tab w:val="num" w:pos="720"/>
        </w:tabs>
        <w:ind w:left="720" w:hanging="360"/>
      </w:pPr>
      <w:rPr>
        <w:rFonts w:ascii="Symbol" w:hAnsi="Symbol" w:cs="Symbol" w:hint="default"/>
        <w:sz w:val="20"/>
        <w:szCs w:val="20"/>
      </w:rPr>
    </w:lvl>
    <w:lvl w:ilvl="1" w:tplc="BE9619F4">
      <w:start w:val="1"/>
      <w:numFmt w:val="bullet"/>
      <w:lvlText w:val="o"/>
      <w:lvlJc w:val="left"/>
      <w:pPr>
        <w:tabs>
          <w:tab w:val="num" w:pos="1440"/>
        </w:tabs>
        <w:ind w:left="1440" w:hanging="360"/>
      </w:pPr>
      <w:rPr>
        <w:rFonts w:ascii="Courier New" w:hAnsi="Courier New" w:cs="Courier New" w:hint="default"/>
        <w:sz w:val="20"/>
        <w:szCs w:val="20"/>
      </w:rPr>
    </w:lvl>
    <w:lvl w:ilvl="2" w:tplc="26CCD6B8">
      <w:start w:val="1"/>
      <w:numFmt w:val="bullet"/>
      <w:lvlText w:val=""/>
      <w:lvlJc w:val="left"/>
      <w:pPr>
        <w:tabs>
          <w:tab w:val="num" w:pos="2160"/>
        </w:tabs>
        <w:ind w:left="2160" w:hanging="360"/>
      </w:pPr>
      <w:rPr>
        <w:rFonts w:ascii="Wingdings" w:hAnsi="Wingdings" w:cs="Wingdings" w:hint="default"/>
        <w:sz w:val="20"/>
        <w:szCs w:val="20"/>
      </w:rPr>
    </w:lvl>
    <w:lvl w:ilvl="3" w:tplc="0F1638C0">
      <w:start w:val="1"/>
      <w:numFmt w:val="bullet"/>
      <w:lvlText w:val=""/>
      <w:lvlJc w:val="left"/>
      <w:pPr>
        <w:tabs>
          <w:tab w:val="num" w:pos="2880"/>
        </w:tabs>
        <w:ind w:left="2880" w:hanging="360"/>
      </w:pPr>
      <w:rPr>
        <w:rFonts w:ascii="Wingdings" w:hAnsi="Wingdings" w:cs="Wingdings" w:hint="default"/>
        <w:sz w:val="20"/>
        <w:szCs w:val="20"/>
      </w:rPr>
    </w:lvl>
    <w:lvl w:ilvl="4" w:tplc="98A4709A">
      <w:start w:val="1"/>
      <w:numFmt w:val="bullet"/>
      <w:lvlText w:val=""/>
      <w:lvlJc w:val="left"/>
      <w:pPr>
        <w:tabs>
          <w:tab w:val="num" w:pos="3600"/>
        </w:tabs>
        <w:ind w:left="3600" w:hanging="360"/>
      </w:pPr>
      <w:rPr>
        <w:rFonts w:ascii="Wingdings" w:hAnsi="Wingdings" w:cs="Wingdings" w:hint="default"/>
        <w:sz w:val="20"/>
        <w:szCs w:val="20"/>
      </w:rPr>
    </w:lvl>
    <w:lvl w:ilvl="5" w:tplc="3B8CD642">
      <w:start w:val="1"/>
      <w:numFmt w:val="bullet"/>
      <w:lvlText w:val=""/>
      <w:lvlJc w:val="left"/>
      <w:pPr>
        <w:tabs>
          <w:tab w:val="num" w:pos="4320"/>
        </w:tabs>
        <w:ind w:left="4320" w:hanging="360"/>
      </w:pPr>
      <w:rPr>
        <w:rFonts w:ascii="Wingdings" w:hAnsi="Wingdings" w:cs="Wingdings" w:hint="default"/>
        <w:sz w:val="20"/>
        <w:szCs w:val="20"/>
      </w:rPr>
    </w:lvl>
    <w:lvl w:ilvl="6" w:tplc="4CD0162A">
      <w:start w:val="1"/>
      <w:numFmt w:val="bullet"/>
      <w:lvlText w:val=""/>
      <w:lvlJc w:val="left"/>
      <w:pPr>
        <w:tabs>
          <w:tab w:val="num" w:pos="5040"/>
        </w:tabs>
        <w:ind w:left="5040" w:hanging="360"/>
      </w:pPr>
      <w:rPr>
        <w:rFonts w:ascii="Wingdings" w:hAnsi="Wingdings" w:cs="Wingdings" w:hint="default"/>
        <w:sz w:val="20"/>
        <w:szCs w:val="20"/>
      </w:rPr>
    </w:lvl>
    <w:lvl w:ilvl="7" w:tplc="C1BCC450">
      <w:start w:val="1"/>
      <w:numFmt w:val="bullet"/>
      <w:lvlText w:val=""/>
      <w:lvlJc w:val="left"/>
      <w:pPr>
        <w:tabs>
          <w:tab w:val="num" w:pos="5760"/>
        </w:tabs>
        <w:ind w:left="5760" w:hanging="360"/>
      </w:pPr>
      <w:rPr>
        <w:rFonts w:ascii="Wingdings" w:hAnsi="Wingdings" w:cs="Wingdings" w:hint="default"/>
        <w:sz w:val="20"/>
        <w:szCs w:val="20"/>
      </w:rPr>
    </w:lvl>
    <w:lvl w:ilvl="8" w:tplc="BDF4B53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7469278B"/>
    <w:multiLevelType w:val="hybridMultilevel"/>
    <w:tmpl w:val="65864C3E"/>
    <w:lvl w:ilvl="0" w:tplc="4B4278C2">
      <w:start w:val="1"/>
      <w:numFmt w:val="bullet"/>
      <w:lvlText w:val=""/>
      <w:lvlJc w:val="left"/>
      <w:pPr>
        <w:tabs>
          <w:tab w:val="num" w:pos="720"/>
        </w:tabs>
        <w:ind w:left="720" w:hanging="360"/>
      </w:pPr>
      <w:rPr>
        <w:rFonts w:ascii="Symbol" w:hAnsi="Symbol" w:cs="Symbol" w:hint="default"/>
        <w:sz w:val="20"/>
        <w:szCs w:val="20"/>
      </w:rPr>
    </w:lvl>
    <w:lvl w:ilvl="1" w:tplc="4E9894AC">
      <w:start w:val="1"/>
      <w:numFmt w:val="bullet"/>
      <w:lvlText w:val="o"/>
      <w:lvlJc w:val="left"/>
      <w:pPr>
        <w:tabs>
          <w:tab w:val="num" w:pos="1440"/>
        </w:tabs>
        <w:ind w:left="1440" w:hanging="360"/>
      </w:pPr>
      <w:rPr>
        <w:rFonts w:ascii="Courier New" w:hAnsi="Courier New" w:cs="Courier New" w:hint="default"/>
        <w:sz w:val="20"/>
        <w:szCs w:val="20"/>
      </w:rPr>
    </w:lvl>
    <w:lvl w:ilvl="2" w:tplc="2E084B1E">
      <w:start w:val="1"/>
      <w:numFmt w:val="bullet"/>
      <w:lvlText w:val=""/>
      <w:lvlJc w:val="left"/>
      <w:pPr>
        <w:tabs>
          <w:tab w:val="num" w:pos="2160"/>
        </w:tabs>
        <w:ind w:left="2160" w:hanging="360"/>
      </w:pPr>
      <w:rPr>
        <w:rFonts w:ascii="Wingdings" w:hAnsi="Wingdings" w:cs="Wingdings" w:hint="default"/>
        <w:sz w:val="20"/>
        <w:szCs w:val="20"/>
      </w:rPr>
    </w:lvl>
    <w:lvl w:ilvl="3" w:tplc="26086852">
      <w:start w:val="1"/>
      <w:numFmt w:val="bullet"/>
      <w:lvlText w:val=""/>
      <w:lvlJc w:val="left"/>
      <w:pPr>
        <w:tabs>
          <w:tab w:val="num" w:pos="2880"/>
        </w:tabs>
        <w:ind w:left="2880" w:hanging="360"/>
      </w:pPr>
      <w:rPr>
        <w:rFonts w:ascii="Wingdings" w:hAnsi="Wingdings" w:cs="Wingdings" w:hint="default"/>
        <w:sz w:val="20"/>
        <w:szCs w:val="20"/>
      </w:rPr>
    </w:lvl>
    <w:lvl w:ilvl="4" w:tplc="6CAC92F4">
      <w:start w:val="1"/>
      <w:numFmt w:val="bullet"/>
      <w:lvlText w:val=""/>
      <w:lvlJc w:val="left"/>
      <w:pPr>
        <w:tabs>
          <w:tab w:val="num" w:pos="3600"/>
        </w:tabs>
        <w:ind w:left="3600" w:hanging="360"/>
      </w:pPr>
      <w:rPr>
        <w:rFonts w:ascii="Wingdings" w:hAnsi="Wingdings" w:cs="Wingdings" w:hint="default"/>
        <w:sz w:val="20"/>
        <w:szCs w:val="20"/>
      </w:rPr>
    </w:lvl>
    <w:lvl w:ilvl="5" w:tplc="FE4EA918">
      <w:start w:val="1"/>
      <w:numFmt w:val="bullet"/>
      <w:lvlText w:val=""/>
      <w:lvlJc w:val="left"/>
      <w:pPr>
        <w:tabs>
          <w:tab w:val="num" w:pos="4320"/>
        </w:tabs>
        <w:ind w:left="4320" w:hanging="360"/>
      </w:pPr>
      <w:rPr>
        <w:rFonts w:ascii="Wingdings" w:hAnsi="Wingdings" w:cs="Wingdings" w:hint="default"/>
        <w:sz w:val="20"/>
        <w:szCs w:val="20"/>
      </w:rPr>
    </w:lvl>
    <w:lvl w:ilvl="6" w:tplc="AB06A0EC">
      <w:start w:val="1"/>
      <w:numFmt w:val="bullet"/>
      <w:lvlText w:val=""/>
      <w:lvlJc w:val="left"/>
      <w:pPr>
        <w:tabs>
          <w:tab w:val="num" w:pos="5040"/>
        </w:tabs>
        <w:ind w:left="5040" w:hanging="360"/>
      </w:pPr>
      <w:rPr>
        <w:rFonts w:ascii="Wingdings" w:hAnsi="Wingdings" w:cs="Wingdings" w:hint="default"/>
        <w:sz w:val="20"/>
        <w:szCs w:val="20"/>
      </w:rPr>
    </w:lvl>
    <w:lvl w:ilvl="7" w:tplc="2DCC5E36">
      <w:start w:val="1"/>
      <w:numFmt w:val="bullet"/>
      <w:lvlText w:val=""/>
      <w:lvlJc w:val="left"/>
      <w:pPr>
        <w:tabs>
          <w:tab w:val="num" w:pos="5760"/>
        </w:tabs>
        <w:ind w:left="5760" w:hanging="360"/>
      </w:pPr>
      <w:rPr>
        <w:rFonts w:ascii="Wingdings" w:hAnsi="Wingdings" w:cs="Wingdings" w:hint="default"/>
        <w:sz w:val="20"/>
        <w:szCs w:val="20"/>
      </w:rPr>
    </w:lvl>
    <w:lvl w:ilvl="8" w:tplc="BEB82D3E">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0155"/>
    <w:rsid w:val="001B150C"/>
    <w:rsid w:val="00470155"/>
    <w:rsid w:val="00CF75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3DF78AB-4939-4673-AC38-4B31E0A8A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basedOn w:val="a0"/>
    <w:uiPriority w:val="99"/>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6849</Words>
  <Characters>39044</Characters>
  <Application>Microsoft Office Word</Application>
  <DocSecurity>0</DocSecurity>
  <Lines>325</Lines>
  <Paragraphs>91</Paragraphs>
  <ScaleCrop>false</ScaleCrop>
  <Company>PERSONAL COMPUTERS</Company>
  <LinksUpToDate>false</LinksUpToDate>
  <CharactersWithSpaces>45802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Средневековая память и формирование образности</dc:title>
  <dc:subject/>
  <dc:creator>USER</dc:creator>
  <cp:keywords/>
  <dc:description/>
  <cp:lastModifiedBy>admin</cp:lastModifiedBy>
  <cp:revision>2</cp:revision>
  <dcterms:created xsi:type="dcterms:W3CDTF">2014-02-18T04:35:00Z</dcterms:created>
  <dcterms:modified xsi:type="dcterms:W3CDTF">2014-02-18T04:35:00Z</dcterms:modified>
</cp:coreProperties>
</file>