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C4" w:rsidRPr="00727CEB" w:rsidRDefault="00FF25C4" w:rsidP="00FF25C4">
      <w:pPr>
        <w:spacing w:before="120"/>
        <w:jc w:val="center"/>
        <w:rPr>
          <w:b/>
          <w:bCs/>
          <w:sz w:val="32"/>
          <w:szCs w:val="32"/>
        </w:rPr>
      </w:pPr>
      <w:r w:rsidRPr="00727CEB">
        <w:rPr>
          <w:b/>
          <w:bCs/>
          <w:sz w:val="32"/>
          <w:szCs w:val="32"/>
        </w:rPr>
        <w:t xml:space="preserve">Становление духовной школы Сибири </w:t>
      </w:r>
    </w:p>
    <w:p w:rsidR="00FF25C4" w:rsidRPr="00727CEB" w:rsidRDefault="00FF25C4" w:rsidP="00FF25C4">
      <w:pPr>
        <w:spacing w:before="120"/>
        <w:jc w:val="center"/>
        <w:rPr>
          <w:sz w:val="28"/>
          <w:szCs w:val="28"/>
        </w:rPr>
      </w:pPr>
      <w:r w:rsidRPr="00727CEB">
        <w:rPr>
          <w:sz w:val="28"/>
          <w:szCs w:val="28"/>
        </w:rPr>
        <w:t xml:space="preserve">Софронов В. Ю.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Реформы Петра обнажили многие недостатки русского общества, среди которых одной из главных являлось необразованность духовенства. В</w:t>
      </w:r>
      <w:r>
        <w:t xml:space="preserve"> </w:t>
      </w:r>
      <w:r w:rsidRPr="00727CEB">
        <w:t>Сибири эта проблема ощущалась еще острей. Мысль о</w:t>
      </w:r>
      <w:r>
        <w:t xml:space="preserve"> </w:t>
      </w:r>
      <w:r w:rsidRPr="00727CEB">
        <w:t>специальном духовном образовании была впервые высказана Петром I патриарху Адриану после возвращения царя из его первого путешествия по Европе[1].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Московская академия по прямому распоряжению Петра I была преобразована по образцу Киевской академии и</w:t>
      </w:r>
      <w:r>
        <w:t xml:space="preserve"> </w:t>
      </w:r>
      <w:r w:rsidRPr="00727CEB">
        <w:t>ее эллино-славянское образование заменилось латинским. Вместе с</w:t>
      </w:r>
      <w:r>
        <w:t xml:space="preserve"> </w:t>
      </w:r>
      <w:r w:rsidRPr="00727CEB">
        <w:t>тем в</w:t>
      </w:r>
      <w:r>
        <w:t xml:space="preserve"> </w:t>
      </w:r>
      <w:r w:rsidRPr="00727CEB">
        <w:t>академию перешли и</w:t>
      </w:r>
      <w:r>
        <w:t xml:space="preserve"> </w:t>
      </w:r>
      <w:r w:rsidRPr="00727CEB">
        <w:t xml:space="preserve">все киевские школьные порядки, разделение классов, состав курса, школьные должности, экзамены, диспуты, школьное проповедничество, рекреации, пение виршей, театральные представления[2].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результате реформ были отвергнуты старые византийские традиции и</w:t>
      </w:r>
      <w:r>
        <w:t xml:space="preserve"> </w:t>
      </w:r>
      <w:r w:rsidRPr="00727CEB">
        <w:t>взят курс на римско-латинскую школу. Петр I призвал для исполнения своих замыслов иностранных специалистов, которые встали практически на всех ключевых государственных постах. Но для школьной реформы нужны были высокообразованные люди, хорошо владеющие и</w:t>
      </w:r>
      <w:r>
        <w:t xml:space="preserve"> </w:t>
      </w:r>
      <w:r w:rsidRPr="00727CEB">
        <w:t>знающие русский язык. Подобных специалистов можно было найти лишь за монастырской оградой, где и</w:t>
      </w:r>
      <w:r>
        <w:t xml:space="preserve"> </w:t>
      </w:r>
      <w:r w:rsidRPr="00727CEB">
        <w:t>была сосредоточена на тот момент вся российская ученость. Однако, не встретив поддержки с</w:t>
      </w:r>
      <w:r>
        <w:t xml:space="preserve"> </w:t>
      </w:r>
      <w:r w:rsidRPr="00727CEB">
        <w:t>первых лет своего царствования со стороны русского духовенства, Петр здраво решил, что малороссы (украинцы) или как их еще называли «черкасы», станут более ревностно выполнять все его указы и</w:t>
      </w:r>
      <w:r>
        <w:t xml:space="preserve"> </w:t>
      </w:r>
      <w:r w:rsidRPr="00727CEB">
        <w:t>нововведения, а</w:t>
      </w:r>
      <w:r>
        <w:t xml:space="preserve"> </w:t>
      </w:r>
      <w:r w:rsidRPr="00727CEB">
        <w:t>потому в</w:t>
      </w:r>
      <w:r>
        <w:t xml:space="preserve"> </w:t>
      </w:r>
      <w:r w:rsidRPr="00727CEB">
        <w:t>спешном порядке сменил в</w:t>
      </w:r>
      <w:r>
        <w:t xml:space="preserve"> </w:t>
      </w:r>
      <w:r w:rsidRPr="00727CEB">
        <w:t>большинстве епархий великороссов на «черкасс», назначив их архиереями в</w:t>
      </w:r>
      <w:r>
        <w:t xml:space="preserve"> </w:t>
      </w:r>
      <w:r w:rsidRPr="00727CEB">
        <w:t>наиболее крупных епархях. Именно монахи из «черкасс» открыли первые духовные школы в</w:t>
      </w:r>
      <w:r>
        <w:t xml:space="preserve"> </w:t>
      </w:r>
      <w:r w:rsidRPr="00727CEB">
        <w:t>Чернигове, Ростове, Смоленске, Тобольске, взяв за образец систему обучения Киевской академии, где целиком и</w:t>
      </w:r>
      <w:r>
        <w:t xml:space="preserve"> </w:t>
      </w:r>
      <w:r w:rsidRPr="00727CEB">
        <w:t xml:space="preserve">полностью царили европейская школа латинской направленности. </w:t>
      </w:r>
    </w:p>
    <w:p w:rsidR="00FF25C4" w:rsidRPr="00727CEB" w:rsidRDefault="00FF25C4" w:rsidP="00FF25C4">
      <w:pPr>
        <w:spacing w:before="120"/>
        <w:jc w:val="center"/>
        <w:rPr>
          <w:b/>
          <w:bCs/>
          <w:sz w:val="28"/>
          <w:szCs w:val="28"/>
        </w:rPr>
      </w:pPr>
      <w:r w:rsidRPr="00727CEB">
        <w:rPr>
          <w:b/>
          <w:bCs/>
          <w:sz w:val="28"/>
          <w:szCs w:val="28"/>
        </w:rPr>
        <w:t>Тобольская архиерейская славяно-русская школа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 учреждением Св. Синода согласно духовному регламенту было приказано заводить школы по всем епархиям и</w:t>
      </w:r>
      <w:r>
        <w:t xml:space="preserve"> </w:t>
      </w:r>
      <w:r w:rsidRPr="00727CEB">
        <w:t>содержать их за счет архиерейских домов из сборов с</w:t>
      </w:r>
      <w:r>
        <w:t xml:space="preserve"> </w:t>
      </w:r>
      <w:r w:rsidRPr="00727CEB">
        <w:t>церковных и</w:t>
      </w:r>
      <w:r>
        <w:t xml:space="preserve"> </w:t>
      </w:r>
      <w:r w:rsidRPr="00727CEB">
        <w:t>монастырских земель (по 30-й</w:t>
      </w:r>
      <w:r>
        <w:t xml:space="preserve"> </w:t>
      </w:r>
      <w:r w:rsidRPr="00727CEB">
        <w:t>— с</w:t>
      </w:r>
      <w:r>
        <w:t xml:space="preserve"> </w:t>
      </w:r>
      <w:r w:rsidRPr="00727CEB">
        <w:t>церковных и</w:t>
      </w:r>
      <w:r>
        <w:t xml:space="preserve"> </w:t>
      </w:r>
      <w:r w:rsidRPr="00727CEB">
        <w:t>по 20-й части с</w:t>
      </w:r>
      <w:r>
        <w:t xml:space="preserve"> </w:t>
      </w:r>
      <w:r w:rsidRPr="00727CEB">
        <w:t>монастырских хлебных доходов). Обучаться в</w:t>
      </w:r>
      <w:r>
        <w:t xml:space="preserve"> </w:t>
      </w:r>
      <w:r w:rsidRPr="00727CEB">
        <w:t>них было обязательным для всех детей духовенства. Главное предназначение духовных школ виделось властям в</w:t>
      </w:r>
      <w:r>
        <w:t xml:space="preserve"> </w:t>
      </w:r>
      <w:r w:rsidRPr="00727CEB">
        <w:t>подготовке детей духовенства «в надежду священства». Курс обучения был рассчитан на 8</w:t>
      </w:r>
      <w:r>
        <w:t xml:space="preserve"> </w:t>
      </w:r>
      <w:r w:rsidRPr="00727CEB">
        <w:t>лет и</w:t>
      </w:r>
      <w:r>
        <w:t xml:space="preserve"> </w:t>
      </w:r>
      <w:r w:rsidRPr="00727CEB">
        <w:t>состоял из изучения: 1) грамматики или латинского языка, в</w:t>
      </w:r>
      <w:r>
        <w:t xml:space="preserve"> </w:t>
      </w:r>
      <w:r w:rsidRPr="00727CEB">
        <w:t>котором рекомендовалось изучать историю с</w:t>
      </w:r>
      <w:r>
        <w:t xml:space="preserve"> </w:t>
      </w:r>
      <w:r w:rsidRPr="00727CEB">
        <w:t>географией; 2) из арифметики и</w:t>
      </w:r>
      <w:r>
        <w:t xml:space="preserve"> </w:t>
      </w:r>
      <w:r w:rsidRPr="00727CEB">
        <w:t>геометрии; 3) логики с</w:t>
      </w:r>
      <w:r>
        <w:t xml:space="preserve"> </w:t>
      </w:r>
      <w:r w:rsidRPr="00727CEB">
        <w:t>диалектикой; 4) пиитики с</w:t>
      </w:r>
      <w:r>
        <w:t xml:space="preserve"> </w:t>
      </w:r>
      <w:r w:rsidRPr="00727CEB">
        <w:t>риторикой; 5) физики с</w:t>
      </w:r>
      <w:r>
        <w:t xml:space="preserve"> </w:t>
      </w:r>
      <w:r w:rsidRPr="00727CEB">
        <w:t>краткой метафизикой; 6) политики и</w:t>
      </w:r>
      <w:r>
        <w:t xml:space="preserve"> </w:t>
      </w:r>
      <w:r w:rsidRPr="00727CEB">
        <w:t>7) богословия в</w:t>
      </w:r>
      <w:r>
        <w:t xml:space="preserve"> </w:t>
      </w:r>
      <w:r w:rsidRPr="00727CEB">
        <w:t>течение двух лет. По своей сути архиерейские школы являлись закрытыми учебными заведениями «образом монастыря». Правилами предусматривались редкие свиданья учеников с</w:t>
      </w:r>
      <w:r>
        <w:t xml:space="preserve"> </w:t>
      </w:r>
      <w:r w:rsidRPr="00727CEB">
        <w:t>родными, распределением времени по точным «регулам» со строгим надзором за семинаристами ректора, префекта и</w:t>
      </w:r>
      <w:r>
        <w:t xml:space="preserve"> </w:t>
      </w:r>
      <w:r w:rsidRPr="00727CEB">
        <w:t xml:space="preserve">других служителей.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Начало сибирской духовной школе положил указ Петра I от 9</w:t>
      </w:r>
      <w:r>
        <w:t xml:space="preserve"> </w:t>
      </w:r>
      <w:r w:rsidRPr="00727CEB">
        <w:t>января 1701</w:t>
      </w:r>
      <w:r>
        <w:t xml:space="preserve"> </w:t>
      </w:r>
      <w:r w:rsidRPr="00727CEB">
        <w:t>г., в</w:t>
      </w:r>
      <w:r>
        <w:t xml:space="preserve"> </w:t>
      </w:r>
      <w:r w:rsidRPr="00727CEB">
        <w:t>котором повелевалось: «приказному человеку Тобольского Софийского дома из дворян Андрею Городецкому на Софийском дворе или где прилично, построить училище поповских, диаконовских и</w:t>
      </w:r>
      <w:r>
        <w:t xml:space="preserve"> </w:t>
      </w:r>
      <w:r w:rsidRPr="00727CEB">
        <w:t>церковниковых детей, робяток учить грамоте, а</w:t>
      </w:r>
      <w:r>
        <w:t xml:space="preserve"> </w:t>
      </w:r>
      <w:r w:rsidRPr="00727CEB">
        <w:t>потом словенской грамматике и</w:t>
      </w:r>
      <w:r>
        <w:t xml:space="preserve"> </w:t>
      </w:r>
      <w:r w:rsidRPr="00727CEB">
        <w:t xml:space="preserve">прочим на словенском языке книгам»[3].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Известный сибирский историк церкви А.</w:t>
      </w:r>
      <w:r>
        <w:t xml:space="preserve"> </w:t>
      </w:r>
      <w:r w:rsidRPr="00727CEB">
        <w:t>И.</w:t>
      </w:r>
      <w:r>
        <w:t xml:space="preserve"> </w:t>
      </w:r>
      <w:r w:rsidRPr="00727CEB">
        <w:t>Сулоцкий в</w:t>
      </w:r>
      <w:r>
        <w:t xml:space="preserve"> </w:t>
      </w:r>
      <w:r w:rsidRPr="00727CEB">
        <w:t>своих трудах указывает, что в</w:t>
      </w:r>
      <w:r>
        <w:t xml:space="preserve"> </w:t>
      </w:r>
      <w:r w:rsidRPr="00727CEB">
        <w:t>Тобольске в</w:t>
      </w:r>
      <w:r>
        <w:t xml:space="preserve"> </w:t>
      </w:r>
      <w:r w:rsidRPr="00727CEB">
        <w:t>1702–1703</w:t>
      </w:r>
      <w:r>
        <w:t xml:space="preserve"> </w:t>
      </w:r>
      <w:r w:rsidRPr="00727CEB">
        <w:t>гг. митрополитом Филофеем (Лещинским) была открыта духовная архиерейская школа[4]. В</w:t>
      </w:r>
      <w:r>
        <w:t xml:space="preserve"> </w:t>
      </w:r>
      <w:r w:rsidRPr="00727CEB">
        <w:t>своей челобитной от 31</w:t>
      </w:r>
      <w:r>
        <w:t xml:space="preserve"> </w:t>
      </w:r>
      <w:r w:rsidRPr="00727CEB">
        <w:t>декабря 1702</w:t>
      </w:r>
      <w:r>
        <w:t xml:space="preserve"> </w:t>
      </w:r>
      <w:r w:rsidRPr="00727CEB">
        <w:t>г. митрополит просит о</w:t>
      </w:r>
      <w:r>
        <w:t xml:space="preserve"> </w:t>
      </w:r>
      <w:r w:rsidRPr="00727CEB">
        <w:t>присылке «до школ на 16</w:t>
      </w:r>
      <w:r>
        <w:t xml:space="preserve"> </w:t>
      </w:r>
      <w:r w:rsidRPr="00727CEB">
        <w:t>окошек дать слюды из приказной палаты», поскольку «и строениям приходят в</w:t>
      </w:r>
      <w:r>
        <w:t xml:space="preserve"> </w:t>
      </w:r>
      <w:r w:rsidRPr="00727CEB">
        <w:t xml:space="preserve">совершенство»[5].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ответ царь через дьяка А.</w:t>
      </w:r>
      <w:r>
        <w:t xml:space="preserve"> </w:t>
      </w:r>
      <w:r w:rsidRPr="00727CEB">
        <w:t>А.</w:t>
      </w:r>
      <w:r>
        <w:t xml:space="preserve"> </w:t>
      </w:r>
      <w:r w:rsidRPr="00727CEB">
        <w:t>Виниуса ответил: «преосвященному митрополиту паче простиратися в</w:t>
      </w:r>
      <w:r>
        <w:t xml:space="preserve"> </w:t>
      </w:r>
      <w:r w:rsidRPr="00727CEB">
        <w:t>учение славяно-российской грамматики, и</w:t>
      </w:r>
      <w:r>
        <w:t xml:space="preserve"> </w:t>
      </w:r>
      <w:r w:rsidRPr="00727CEB">
        <w:t>чтобы вся, яже попу или диакону надобно знать, изучились…»[6].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Но в</w:t>
      </w:r>
      <w:r>
        <w:t xml:space="preserve"> </w:t>
      </w:r>
      <w:r w:rsidRPr="00727CEB">
        <w:t>отдельных вопросах царь-реформатор и</w:t>
      </w:r>
      <w:r>
        <w:t xml:space="preserve"> </w:t>
      </w:r>
      <w:r w:rsidRPr="00727CEB">
        <w:t>сибирский митрополит не достигли, так сказать, консенсуса. Тобольский владыка считал, что в</w:t>
      </w:r>
      <w:r>
        <w:t xml:space="preserve"> </w:t>
      </w:r>
      <w:r w:rsidRPr="00727CEB">
        <w:t>сибирской школе должны обучаться дети всех сословий и</w:t>
      </w:r>
      <w:r>
        <w:t xml:space="preserve"> </w:t>
      </w:r>
      <w:r w:rsidRPr="00727CEB">
        <w:t>непременно на латинском языке. Воспитанный на традициях Киевской академии митрополит Филофей видел в</w:t>
      </w:r>
      <w:r>
        <w:t xml:space="preserve"> </w:t>
      </w:r>
      <w:r w:rsidRPr="00727CEB">
        <w:t>создаваемой им духовной школе не только учебное заведение, которое</w:t>
      </w:r>
      <w:r>
        <w:t xml:space="preserve"> </w:t>
      </w:r>
      <w:r w:rsidRPr="00727CEB">
        <w:t>бы взращивало и</w:t>
      </w:r>
      <w:r>
        <w:t xml:space="preserve"> </w:t>
      </w:r>
      <w:r w:rsidRPr="00727CEB">
        <w:t>обучало будущих служителей церкви, но, прежде всего центр духовной культуры Сибири с</w:t>
      </w:r>
      <w:r>
        <w:t xml:space="preserve"> </w:t>
      </w:r>
      <w:r w:rsidRPr="00727CEB">
        <w:t>фундаментальной библиотекой и</w:t>
      </w:r>
      <w:r>
        <w:t xml:space="preserve"> </w:t>
      </w:r>
      <w:r w:rsidRPr="00727CEB">
        <w:t>собственной типографией. В</w:t>
      </w:r>
      <w:r>
        <w:t xml:space="preserve"> </w:t>
      </w:r>
      <w:r w:rsidRPr="00727CEB">
        <w:t>послании от 31</w:t>
      </w:r>
      <w:r>
        <w:t xml:space="preserve"> </w:t>
      </w:r>
      <w:r w:rsidRPr="00727CEB">
        <w:t>декабря 1703</w:t>
      </w:r>
      <w:r>
        <w:t xml:space="preserve"> </w:t>
      </w:r>
      <w:r w:rsidRPr="00727CEB">
        <w:t>г. к</w:t>
      </w:r>
      <w:r>
        <w:t xml:space="preserve"> </w:t>
      </w:r>
      <w:r w:rsidRPr="00727CEB">
        <w:t>Петру I он предлагал:</w:t>
      </w:r>
      <w:r>
        <w:t xml:space="preserve">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завести в</w:t>
      </w:r>
      <w:r>
        <w:t xml:space="preserve"> </w:t>
      </w:r>
      <w:r w:rsidRPr="00727CEB">
        <w:t xml:space="preserve">Тобольске школу;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учить в</w:t>
      </w:r>
      <w:r>
        <w:t xml:space="preserve"> </w:t>
      </w:r>
      <w:r w:rsidRPr="00727CEB">
        <w:t>ней не только детей духовенства, но и</w:t>
      </w:r>
      <w:r>
        <w:t xml:space="preserve"> </w:t>
      </w:r>
      <w:r w:rsidRPr="00727CEB">
        <w:t xml:space="preserve">других сословий;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обучение вести на латыни;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на содержание учеников и</w:t>
      </w:r>
      <w:r>
        <w:t xml:space="preserve"> </w:t>
      </w:r>
      <w:r w:rsidRPr="00727CEB">
        <w:t xml:space="preserve">на учебники дать пособие из казны;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завести при школе типографию («друкарню») с</w:t>
      </w:r>
      <w:r>
        <w:t xml:space="preserve"> </w:t>
      </w:r>
      <w:r w:rsidRPr="00727CEB">
        <w:t>тем, чтобы печатать в</w:t>
      </w:r>
      <w:r>
        <w:t xml:space="preserve"> </w:t>
      </w:r>
      <w:r w:rsidRPr="00727CEB">
        <w:t xml:space="preserve">ней учебники;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позволить школьным учителям и</w:t>
      </w:r>
      <w:r>
        <w:t xml:space="preserve"> </w:t>
      </w:r>
      <w:r w:rsidRPr="00727CEB">
        <w:t>миссионерам приезжать в</w:t>
      </w:r>
      <w:r>
        <w:t xml:space="preserve"> </w:t>
      </w:r>
      <w:r w:rsidRPr="00727CEB">
        <w:t>Сибирь беспрепятственно и</w:t>
      </w:r>
      <w:r>
        <w:t xml:space="preserve"> </w:t>
      </w:r>
      <w:r w:rsidRPr="00727CEB">
        <w:t xml:space="preserve">оплачивать их проезд за счет государства.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Но Петр имел несколько другое представление и</w:t>
      </w:r>
      <w:r>
        <w:t xml:space="preserve"> </w:t>
      </w:r>
      <w:r w:rsidRPr="00727CEB">
        <w:t xml:space="preserve">не одобрил большую часть предложений сибирского митрополита.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качестве учителей были приглашены из Киева нескольких просвещенных монахов. Это было поручено «митрополичьему боярину» Сергею Иванову, который в</w:t>
      </w:r>
      <w:r>
        <w:t xml:space="preserve"> </w:t>
      </w:r>
      <w:r w:rsidRPr="00727CEB">
        <w:t>августе 1702</w:t>
      </w:r>
      <w:r>
        <w:t xml:space="preserve"> </w:t>
      </w:r>
      <w:r w:rsidRPr="00727CEB">
        <w:t>г. прибыл в</w:t>
      </w:r>
      <w:r>
        <w:t xml:space="preserve"> </w:t>
      </w:r>
      <w:r w:rsidRPr="00727CEB">
        <w:t>Москву из Тобольска для покупки «церковных треб и</w:t>
      </w:r>
      <w:r>
        <w:t xml:space="preserve"> </w:t>
      </w:r>
      <w:r w:rsidRPr="00727CEB">
        <w:t>книг грамматических», а</w:t>
      </w:r>
      <w:r>
        <w:t xml:space="preserve"> </w:t>
      </w:r>
      <w:r w:rsidRPr="00727CEB">
        <w:t>так</w:t>
      </w:r>
      <w:r>
        <w:t xml:space="preserve"> </w:t>
      </w:r>
      <w:r w:rsidRPr="00727CEB">
        <w:t>же для вывоза из Киева «учителей латынских наук 2, спеваков 4</w:t>
      </w:r>
      <w:r>
        <w:t xml:space="preserve"> </w:t>
      </w:r>
      <w:r w:rsidRPr="00727CEB">
        <w:t>чел., и</w:t>
      </w:r>
      <w:r>
        <w:t xml:space="preserve"> </w:t>
      </w:r>
      <w:r w:rsidRPr="00727CEB">
        <w:t>студентов 2</w:t>
      </w:r>
      <w:r>
        <w:t xml:space="preserve"> </w:t>
      </w:r>
      <w:r w:rsidRPr="00727CEB">
        <w:t>чел»[7].В дальнейшем один из них, Мартиниан, стал первым миссионером на Камчатке, архимандрит Варлаам (Коссовский) был викарием Иркутским, а</w:t>
      </w:r>
      <w:r>
        <w:t xml:space="preserve"> </w:t>
      </w:r>
      <w:r w:rsidRPr="00727CEB">
        <w:t>Антоний (Платковский) архимандритом Вознесенского монастыря в</w:t>
      </w:r>
      <w:r>
        <w:t xml:space="preserve"> </w:t>
      </w:r>
      <w:r w:rsidRPr="00727CEB">
        <w:t xml:space="preserve">Иркутске.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 целью приучить учеников славяно-русской школы к</w:t>
      </w:r>
      <w:r>
        <w:t xml:space="preserve"> </w:t>
      </w:r>
      <w:r w:rsidRPr="00727CEB">
        <w:t>свободному произношению проповедей и</w:t>
      </w:r>
      <w:r>
        <w:t xml:space="preserve"> </w:t>
      </w:r>
      <w:r w:rsidRPr="00727CEB">
        <w:t>речей, а</w:t>
      </w:r>
      <w:r>
        <w:t xml:space="preserve"> </w:t>
      </w:r>
      <w:r w:rsidRPr="00727CEB">
        <w:t>вместе с</w:t>
      </w:r>
      <w:r>
        <w:t xml:space="preserve"> </w:t>
      </w:r>
      <w:r w:rsidRPr="00727CEB">
        <w:t>тем «доставить увеселение и</w:t>
      </w:r>
      <w:r>
        <w:t xml:space="preserve"> </w:t>
      </w:r>
      <w:r w:rsidRPr="00727CEB">
        <w:t>назидание для тобольских граждан», митрополит Филофей заставлял учеников разучивать и</w:t>
      </w:r>
      <w:r>
        <w:t xml:space="preserve"> </w:t>
      </w:r>
      <w:r w:rsidRPr="00727CEB">
        <w:t>представлять трагедии, комедии и</w:t>
      </w:r>
      <w:r>
        <w:t xml:space="preserve"> </w:t>
      </w:r>
      <w:r w:rsidRPr="00727CEB">
        <w:t>драмы, составителем которых большей частью был он сам. Сбор во время театральные представлений составлял довольно весомую статью школьных доходов, о</w:t>
      </w:r>
      <w:r>
        <w:t xml:space="preserve"> </w:t>
      </w:r>
      <w:r w:rsidRPr="00727CEB">
        <w:t>чем говорят расписки учителей, получавших жалование из собранных денег. Школьный театр продолжал существовать и</w:t>
      </w:r>
      <w:r>
        <w:t xml:space="preserve"> </w:t>
      </w:r>
      <w:r w:rsidRPr="00727CEB">
        <w:t>в последующие годы. Так, учитель Кирьяков в</w:t>
      </w:r>
      <w:r>
        <w:t xml:space="preserve"> </w:t>
      </w:r>
      <w:r w:rsidRPr="00727CEB">
        <w:t>1737</w:t>
      </w:r>
      <w:r>
        <w:t xml:space="preserve"> </w:t>
      </w:r>
      <w:r w:rsidRPr="00727CEB">
        <w:t>г. по благословению митрополита Антония в</w:t>
      </w:r>
      <w:r>
        <w:t xml:space="preserve"> </w:t>
      </w:r>
      <w:r w:rsidRPr="00727CEB">
        <w:t>прибавку к</w:t>
      </w:r>
      <w:r>
        <w:t xml:space="preserve"> </w:t>
      </w:r>
      <w:r w:rsidRPr="00727CEB">
        <w:t>жалованию «получил 4</w:t>
      </w:r>
      <w:r>
        <w:t xml:space="preserve"> </w:t>
      </w:r>
      <w:r w:rsidRPr="00727CEB">
        <w:t>руб. из комедии».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Духовная школа по мысли ее учредителей должна была кроме всего прочего выполнять роль миссионерского центра. В</w:t>
      </w:r>
      <w:r>
        <w:t xml:space="preserve"> </w:t>
      </w:r>
      <w:r w:rsidRPr="00727CEB">
        <w:t>ней предполагалось с</w:t>
      </w:r>
      <w:r>
        <w:t xml:space="preserve"> </w:t>
      </w:r>
      <w:r w:rsidRPr="00727CEB">
        <w:t>одной стороны готовить проповедников «слова Божия», а</w:t>
      </w:r>
      <w:r>
        <w:t xml:space="preserve"> </w:t>
      </w:r>
      <w:r w:rsidRPr="00727CEB">
        <w:t>с другой набирать детей из числа местных народностей для обучения, а</w:t>
      </w:r>
      <w:r>
        <w:t xml:space="preserve"> </w:t>
      </w:r>
      <w:r w:rsidRPr="00727CEB">
        <w:t>впоследствии ведения миссионерской деятельности в</w:t>
      </w:r>
      <w:r>
        <w:t xml:space="preserve"> </w:t>
      </w:r>
      <w:r w:rsidRPr="00727CEB">
        <w:t>местах их коренного проживания. В</w:t>
      </w:r>
      <w:r>
        <w:t xml:space="preserve"> </w:t>
      </w:r>
      <w:r w:rsidRPr="00727CEB">
        <w:t>1718</w:t>
      </w:r>
      <w:r>
        <w:t xml:space="preserve"> </w:t>
      </w:r>
      <w:r w:rsidRPr="00727CEB">
        <w:t>г. в</w:t>
      </w:r>
      <w:r>
        <w:t xml:space="preserve"> </w:t>
      </w:r>
      <w:r w:rsidRPr="00727CEB">
        <w:t>послании к</w:t>
      </w:r>
      <w:r>
        <w:t xml:space="preserve"> </w:t>
      </w:r>
      <w:r w:rsidRPr="00727CEB">
        <w:t>архимандриту Верхотурского Никольского монастыря Сильвестру митрополит предписывает набирать в</w:t>
      </w:r>
      <w:r>
        <w:t xml:space="preserve"> </w:t>
      </w:r>
      <w:r w:rsidRPr="00727CEB">
        <w:t>школу детей из числа новокрещенных остяков и</w:t>
      </w:r>
      <w:r>
        <w:t xml:space="preserve"> </w:t>
      </w:r>
      <w:r w:rsidRPr="00727CEB">
        <w:t>вогулов: «а буде возможно и</w:t>
      </w:r>
      <w:r>
        <w:t xml:space="preserve"> </w:t>
      </w:r>
      <w:r w:rsidRPr="00727CEB">
        <w:t>в Тобольск отсылать в</w:t>
      </w:r>
      <w:r>
        <w:t xml:space="preserve"> </w:t>
      </w:r>
      <w:r w:rsidRPr="00727CEB">
        <w:t>дом архиерейский ко учению, где многие новокрещенных робята учатся в</w:t>
      </w:r>
      <w:r>
        <w:t xml:space="preserve"> </w:t>
      </w:r>
      <w:r w:rsidRPr="00727CEB">
        <w:t>грамоте»[8]. Келейником у</w:t>
      </w:r>
      <w:r>
        <w:t xml:space="preserve"> </w:t>
      </w:r>
      <w:r w:rsidRPr="00727CEB">
        <w:t>митрополита был Петр Тунгус, который затем служил иподьяконом и</w:t>
      </w:r>
      <w:r>
        <w:t xml:space="preserve"> </w:t>
      </w:r>
      <w:r w:rsidRPr="00727CEB">
        <w:t xml:space="preserve">письмоводителем при Тюменском правлении.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Дело Филофея (Лещинского) продолжил его приемник митрополит Антоний (Стаховский) (1721–1740) так</w:t>
      </w:r>
      <w:r>
        <w:t xml:space="preserve"> </w:t>
      </w:r>
      <w:r w:rsidRPr="00727CEB">
        <w:t>же выпускник Киевской духовной академии. По прибытии на Тобольскую кафедру он разослал по всей епархии строгий указ, предписывающий священникам, диаконам и</w:t>
      </w:r>
      <w:r>
        <w:t xml:space="preserve"> </w:t>
      </w:r>
      <w:r w:rsidRPr="00727CEB">
        <w:t>причетникам направлять своих детей в</w:t>
      </w:r>
      <w:r>
        <w:t xml:space="preserve"> </w:t>
      </w:r>
      <w:r w:rsidRPr="00727CEB">
        <w:t>Тобольскую школу. В</w:t>
      </w:r>
      <w:r>
        <w:t xml:space="preserve"> </w:t>
      </w:r>
      <w:r w:rsidRPr="00727CEB">
        <w:t>своем отчете на запрос Верховного тайного совета о</w:t>
      </w:r>
      <w:r>
        <w:t xml:space="preserve"> </w:t>
      </w:r>
      <w:r w:rsidRPr="00727CEB">
        <w:t>состоянии архиерейской школы он сообщает: «Здесь обучалось 5</w:t>
      </w:r>
      <w:r>
        <w:t xml:space="preserve"> </w:t>
      </w:r>
      <w:r w:rsidRPr="00727CEB">
        <w:t>человек букваря малаго, часослова, псалтыря, писать и</w:t>
      </w:r>
      <w:r>
        <w:t xml:space="preserve"> </w:t>
      </w:r>
      <w:r w:rsidRPr="00727CEB">
        <w:t>петь; 14</w:t>
      </w:r>
      <w:r>
        <w:t xml:space="preserve"> </w:t>
      </w:r>
      <w:r w:rsidRPr="00727CEB">
        <w:t>человек десятисловию и</w:t>
      </w:r>
      <w:r>
        <w:t xml:space="preserve"> </w:t>
      </w:r>
      <w:r w:rsidRPr="00727CEB">
        <w:t>граматики и</w:t>
      </w:r>
      <w:r>
        <w:t xml:space="preserve"> </w:t>
      </w:r>
      <w:r w:rsidRPr="00727CEB">
        <w:t>одному десятисловию 14». Следовательно, почти за четверть века существования школы ее закончило 33</w:t>
      </w:r>
      <w:r>
        <w:t xml:space="preserve"> </w:t>
      </w:r>
      <w:r w:rsidRPr="00727CEB">
        <w:t>человека.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 1727</w:t>
      </w:r>
      <w:r>
        <w:t xml:space="preserve"> </w:t>
      </w:r>
      <w:r w:rsidRPr="00727CEB">
        <w:t>г. в</w:t>
      </w:r>
      <w:r>
        <w:t xml:space="preserve"> </w:t>
      </w:r>
      <w:r w:rsidRPr="00727CEB">
        <w:t>школе обучается уже 57</w:t>
      </w:r>
      <w:r>
        <w:t xml:space="preserve"> </w:t>
      </w:r>
      <w:r w:rsidRPr="00727CEB">
        <w:t>человек, и</w:t>
      </w:r>
      <w:r>
        <w:t xml:space="preserve"> </w:t>
      </w:r>
      <w:r w:rsidRPr="00727CEB">
        <w:t>14</w:t>
      </w:r>
      <w:r>
        <w:t xml:space="preserve"> </w:t>
      </w:r>
      <w:r w:rsidRPr="00727CEB">
        <w:t>человек в</w:t>
      </w:r>
      <w:r>
        <w:t xml:space="preserve"> </w:t>
      </w:r>
      <w:r w:rsidRPr="00727CEB">
        <w:t>Знаменском монастыре, (где так</w:t>
      </w:r>
      <w:r>
        <w:t xml:space="preserve"> </w:t>
      </w:r>
      <w:r w:rsidRPr="00727CEB">
        <w:t>же была школа) осваивали письмо и</w:t>
      </w:r>
      <w:r>
        <w:t xml:space="preserve"> </w:t>
      </w:r>
      <w:r w:rsidRPr="00727CEB">
        <w:t>нотное пение. В</w:t>
      </w:r>
      <w:r>
        <w:t xml:space="preserve"> </w:t>
      </w:r>
      <w:r w:rsidRPr="00727CEB">
        <w:t>отчете сообщаются и</w:t>
      </w:r>
      <w:r>
        <w:t xml:space="preserve"> </w:t>
      </w:r>
      <w:r w:rsidRPr="00727CEB">
        <w:t>о причинах понижения числа учеников: «В епархии Тобольской дети к</w:t>
      </w:r>
      <w:r>
        <w:t xml:space="preserve"> </w:t>
      </w:r>
      <w:r w:rsidRPr="00727CEB">
        <w:t>обучению весьма тупы; к</w:t>
      </w:r>
      <w:r>
        <w:t xml:space="preserve"> </w:t>
      </w:r>
      <w:r w:rsidRPr="00727CEB">
        <w:t>тому</w:t>
      </w:r>
      <w:r>
        <w:t xml:space="preserve"> </w:t>
      </w:r>
      <w:r w:rsidRPr="00727CEB">
        <w:t>же многие объявляют детей болезненных, которые по усмотрению в</w:t>
      </w:r>
      <w:r>
        <w:t xml:space="preserve"> </w:t>
      </w:r>
      <w:r w:rsidRPr="00727CEB">
        <w:t>школу не приемлются». Тем не менее, в</w:t>
      </w:r>
      <w:r>
        <w:t xml:space="preserve"> </w:t>
      </w:r>
      <w:r w:rsidRPr="00727CEB">
        <w:t>отдельные годы число учащихся доходило до 90</w:t>
      </w:r>
      <w:r>
        <w:t xml:space="preserve"> </w:t>
      </w:r>
      <w:r w:rsidRPr="00727CEB">
        <w:t xml:space="preserve">человек.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Таким образом, Тобольской духовной школе с</w:t>
      </w:r>
      <w:r>
        <w:t xml:space="preserve"> </w:t>
      </w:r>
      <w:r w:rsidRPr="00727CEB">
        <w:t>самого начала был придан ярко выраженный профессиональный характер по подготовке сибирского духовенства.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Обучение в</w:t>
      </w:r>
      <w:r>
        <w:t xml:space="preserve"> </w:t>
      </w:r>
      <w:r w:rsidRPr="00727CEB">
        <w:t>школе велось с</w:t>
      </w:r>
      <w:r>
        <w:t xml:space="preserve"> </w:t>
      </w:r>
      <w:r w:rsidRPr="00727CEB">
        <w:t>самого начала ее основания по букварю, часослову и</w:t>
      </w:r>
      <w:r>
        <w:t xml:space="preserve"> </w:t>
      </w:r>
      <w:r w:rsidRPr="00727CEB">
        <w:t>псалтырю. Первоначально учащиеся пользовались катехизисом Петра Могилы, а</w:t>
      </w:r>
      <w:r>
        <w:t xml:space="preserve"> </w:t>
      </w:r>
      <w:r w:rsidRPr="00727CEB">
        <w:t>затем он был заменен специальным указом Синода от 31</w:t>
      </w:r>
      <w:r>
        <w:t xml:space="preserve"> </w:t>
      </w:r>
      <w:r w:rsidRPr="00727CEB">
        <w:t>мая 1722</w:t>
      </w:r>
      <w:r>
        <w:t xml:space="preserve"> </w:t>
      </w:r>
      <w:r w:rsidRPr="00727CEB">
        <w:t>г. букварем Феофаном Прокоповичем. Учебником грамматики служила славянская грамматика Мелетия Смотрицкого, которые рассылались Св. Синодом по всем епархиям. Дисциплина в</w:t>
      </w:r>
      <w:r>
        <w:t xml:space="preserve"> </w:t>
      </w:r>
      <w:r w:rsidRPr="00727CEB">
        <w:t>семинариях поддерживалась путем телесных наказаний не только учеников, но и</w:t>
      </w:r>
      <w:r>
        <w:t xml:space="preserve"> </w:t>
      </w:r>
      <w:r w:rsidRPr="00727CEB">
        <w:t>учителей. Дореформенные семинарии получили в</w:t>
      </w:r>
      <w:r>
        <w:t xml:space="preserve"> </w:t>
      </w:r>
      <w:r w:rsidRPr="00727CEB">
        <w:t>народе название «бурсы», а</w:t>
      </w:r>
      <w:r>
        <w:t xml:space="preserve"> </w:t>
      </w:r>
      <w:r w:rsidRPr="00727CEB">
        <w:t>их воспитанников называли не иначе как «бурсаками». Скудное их содержание вынуждало их искать заработок за счет так называемых «кондиций» (уроков), а</w:t>
      </w:r>
      <w:r>
        <w:t xml:space="preserve"> </w:t>
      </w:r>
      <w:r w:rsidRPr="00727CEB">
        <w:t>так</w:t>
      </w:r>
      <w:r>
        <w:t xml:space="preserve"> </w:t>
      </w:r>
      <w:r w:rsidRPr="00727CEB">
        <w:t>же написанием прошений обывателям; многие из них собирали подаяния по дворам горожан, распевая псалмы, канты, а</w:t>
      </w:r>
      <w:r>
        <w:t xml:space="preserve"> </w:t>
      </w:r>
      <w:r w:rsidRPr="00727CEB">
        <w:t>то и</w:t>
      </w:r>
      <w:r>
        <w:t xml:space="preserve"> </w:t>
      </w:r>
      <w:r w:rsidRPr="00727CEB">
        <w:t xml:space="preserve">огородными работами.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Число лет, которые ученик тратил на обучение, зависело от способностей ученика. Причетник Андрей Старчесский писал в</w:t>
      </w:r>
      <w:r>
        <w:t xml:space="preserve"> </w:t>
      </w:r>
      <w:r w:rsidRPr="00727CEB">
        <w:t>1743</w:t>
      </w:r>
      <w:r>
        <w:t xml:space="preserve"> </w:t>
      </w:r>
      <w:r w:rsidRPr="00727CEB">
        <w:t>г. митрополиту Антонию (Нарожницкому): «в прошедшем 1722</w:t>
      </w:r>
      <w:r>
        <w:t xml:space="preserve"> </w:t>
      </w:r>
      <w:r w:rsidRPr="00727CEB">
        <w:t>году взят был я</w:t>
      </w:r>
      <w:r>
        <w:t xml:space="preserve"> </w:t>
      </w:r>
      <w:r w:rsidRPr="00727CEB">
        <w:t>для обучения при Тобольском доме митрополитанском в</w:t>
      </w:r>
      <w:r>
        <w:t xml:space="preserve"> </w:t>
      </w:r>
      <w:r w:rsidRPr="00727CEB">
        <w:t>школу, где и</w:t>
      </w:r>
      <w:r>
        <w:t xml:space="preserve"> </w:t>
      </w:r>
      <w:r w:rsidRPr="00727CEB">
        <w:t>обучался славяно-российской грамоте чрез шестилетнее время». О</w:t>
      </w:r>
      <w:r>
        <w:t xml:space="preserve"> </w:t>
      </w:r>
      <w:r w:rsidRPr="00727CEB">
        <w:t>шестилетнем обучении говорит и</w:t>
      </w:r>
      <w:r>
        <w:t xml:space="preserve"> </w:t>
      </w:r>
      <w:r w:rsidRPr="00727CEB">
        <w:t>бывший ученик школы Андрей Попов: «в прошедших годах от прошлого 1736</w:t>
      </w:r>
      <w:r>
        <w:t xml:space="preserve"> </w:t>
      </w:r>
      <w:r w:rsidRPr="00727CEB">
        <w:t>г. был я</w:t>
      </w:r>
      <w:r>
        <w:t xml:space="preserve"> </w:t>
      </w:r>
      <w:r w:rsidRPr="00727CEB">
        <w:t>в Тобольску в</w:t>
      </w:r>
      <w:r>
        <w:t xml:space="preserve"> </w:t>
      </w:r>
      <w:r w:rsidRPr="00727CEB">
        <w:t>домовом архиерейском училище лет с</w:t>
      </w:r>
      <w:r>
        <w:t xml:space="preserve"> </w:t>
      </w:r>
      <w:r w:rsidRPr="00727CEB">
        <w:t>шесть и</w:t>
      </w:r>
      <w:r>
        <w:t xml:space="preserve"> </w:t>
      </w:r>
      <w:r w:rsidRPr="00727CEB">
        <w:t>обучался на казенном коште чтению и</w:t>
      </w:r>
      <w:r>
        <w:t xml:space="preserve"> </w:t>
      </w:r>
      <w:r w:rsidRPr="00727CEB">
        <w:t>писанию совершенно, а</w:t>
      </w:r>
      <w:r>
        <w:t xml:space="preserve"> </w:t>
      </w:r>
      <w:r w:rsidRPr="00727CEB">
        <w:t>потом в</w:t>
      </w:r>
      <w:r>
        <w:t xml:space="preserve"> </w:t>
      </w:r>
      <w:r w:rsidRPr="00727CEB">
        <w:t>1739</w:t>
      </w:r>
      <w:r>
        <w:t xml:space="preserve"> </w:t>
      </w:r>
      <w:r w:rsidRPr="00727CEB">
        <w:t>г. я</w:t>
      </w:r>
      <w:r>
        <w:t xml:space="preserve"> </w:t>
      </w:r>
      <w:r w:rsidRPr="00727CEB">
        <w:t>определен был учиться в</w:t>
      </w:r>
      <w:r>
        <w:t xml:space="preserve"> </w:t>
      </w:r>
      <w:r w:rsidRPr="00727CEB">
        <w:t>латинскую школу к</w:t>
      </w:r>
      <w:r>
        <w:t xml:space="preserve"> </w:t>
      </w:r>
      <w:r w:rsidRPr="00727CEB">
        <w:t>учителю Якимовичу».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Мало сведений сохранилось о</w:t>
      </w:r>
      <w:r>
        <w:t xml:space="preserve"> </w:t>
      </w:r>
      <w:r w:rsidRPr="00727CEB">
        <w:t>первых учителях школы. Известно, что двое из них,</w:t>
      </w:r>
      <w:r>
        <w:t xml:space="preserve"> </w:t>
      </w:r>
      <w:r w:rsidRPr="00727CEB">
        <w:t>— Михаил Лукашевич и</w:t>
      </w:r>
      <w:r>
        <w:t xml:space="preserve"> </w:t>
      </w:r>
      <w:r w:rsidRPr="00727CEB">
        <w:t>Тихон Карпов,</w:t>
      </w:r>
      <w:r>
        <w:t xml:space="preserve"> </w:t>
      </w:r>
      <w:r w:rsidRPr="00727CEB">
        <w:t>— подписались под отчетом о</w:t>
      </w:r>
      <w:r>
        <w:t xml:space="preserve"> </w:t>
      </w:r>
      <w:r w:rsidRPr="00727CEB">
        <w:t>состоянии школы за 1727</w:t>
      </w:r>
      <w:r>
        <w:t xml:space="preserve"> </w:t>
      </w:r>
      <w:r w:rsidRPr="00727CEB">
        <w:t>г. В</w:t>
      </w:r>
      <w:r>
        <w:t xml:space="preserve"> </w:t>
      </w:r>
      <w:r w:rsidRPr="00727CEB">
        <w:t>1736</w:t>
      </w:r>
      <w:r>
        <w:t xml:space="preserve"> </w:t>
      </w:r>
      <w:r w:rsidRPr="00727CEB">
        <w:t>и 1737</w:t>
      </w:r>
      <w:r>
        <w:t xml:space="preserve"> </w:t>
      </w:r>
      <w:r w:rsidRPr="00727CEB">
        <w:t>гг. встречается учитель чтения и</w:t>
      </w:r>
      <w:r>
        <w:t xml:space="preserve"> </w:t>
      </w:r>
      <w:r w:rsidRPr="00727CEB">
        <w:t>пения Петр Кирьяков, а</w:t>
      </w:r>
      <w:r>
        <w:t xml:space="preserve"> </w:t>
      </w:r>
      <w:r w:rsidRPr="00727CEB">
        <w:t>также учитель латинского языка Иван Якимович. Карпов и</w:t>
      </w:r>
      <w:r>
        <w:t xml:space="preserve"> </w:t>
      </w:r>
      <w:r w:rsidRPr="00727CEB">
        <w:t>Кирьяков были, вероятно, уроженцами Сибири; Кирьяков называл себя сыном «тобольского попа»[9]. Они обучались в</w:t>
      </w:r>
      <w:r>
        <w:t xml:space="preserve"> </w:t>
      </w:r>
      <w:r w:rsidRPr="00727CEB">
        <w:t>школе в</w:t>
      </w:r>
      <w:r>
        <w:t xml:space="preserve"> </w:t>
      </w:r>
      <w:r w:rsidRPr="00727CEB">
        <w:t>г. Новгороде, куда «для обучения грамматического художества» по указу Св. Синода в</w:t>
      </w:r>
      <w:r>
        <w:t xml:space="preserve"> </w:t>
      </w:r>
      <w:r w:rsidRPr="00727CEB">
        <w:t>1723</w:t>
      </w:r>
      <w:r>
        <w:t xml:space="preserve"> </w:t>
      </w:r>
      <w:r w:rsidRPr="00727CEB">
        <w:t>г. [10].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Здание школы содержалось на средства архиерейского дома, а</w:t>
      </w:r>
      <w:r>
        <w:t xml:space="preserve"> </w:t>
      </w:r>
      <w:r w:rsidRPr="00727CEB">
        <w:t>дети состоятельных родителей, согласно указу Петра I, состояли на собственном коште: «тем детям, у</w:t>
      </w:r>
      <w:r>
        <w:t xml:space="preserve"> </w:t>
      </w:r>
      <w:r w:rsidRPr="00727CEB">
        <w:t>которых отцы приходских церквей люди не скудные, питаться и</w:t>
      </w:r>
      <w:r>
        <w:t xml:space="preserve"> </w:t>
      </w:r>
      <w:r w:rsidRPr="00727CEB">
        <w:t>одежды на себя класть свои». Тем</w:t>
      </w:r>
      <w:r>
        <w:t xml:space="preserve"> </w:t>
      </w:r>
      <w:r w:rsidRPr="00727CEB">
        <w:t>же, кто не мог себя обеспечить: «а детям скудным давать на одежду по две деньги на день да пищу из домовых доходов». Содержание учителей и</w:t>
      </w:r>
      <w:r>
        <w:t xml:space="preserve"> </w:t>
      </w:r>
      <w:r w:rsidRPr="00727CEB">
        <w:t>покупка книг, согласно духовного регламента, так</w:t>
      </w:r>
      <w:r>
        <w:t xml:space="preserve"> </w:t>
      </w:r>
      <w:r w:rsidRPr="00727CEB">
        <w:t>же возлагалась на архиерейский дом. Но бюджет архиерейского дома едва покрывал остальные статьи расходов, о</w:t>
      </w:r>
      <w:r>
        <w:t xml:space="preserve"> </w:t>
      </w:r>
      <w:r w:rsidRPr="00727CEB">
        <w:t>чем Антоний (Стаховский) в</w:t>
      </w:r>
      <w:r>
        <w:t xml:space="preserve"> </w:t>
      </w:r>
      <w:r w:rsidRPr="00727CEB">
        <w:t>1723</w:t>
      </w:r>
      <w:r>
        <w:t xml:space="preserve"> </w:t>
      </w:r>
      <w:r w:rsidRPr="00727CEB">
        <w:t>г. доносил Св. Синоду, указывая, что архиерейский дом скуден за недородом, и</w:t>
      </w:r>
      <w:r>
        <w:t xml:space="preserve"> </w:t>
      </w:r>
      <w:r w:rsidRPr="00727CEB">
        <w:t xml:space="preserve">служителей своих всех прокормить не может, церковных вотчин нет, монастырей обильных хлебом поблизости от Тобольска не имеется.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Содержать архиерейскую школу предусматривалось по специальной статье, о</w:t>
      </w:r>
      <w:r>
        <w:t xml:space="preserve"> </w:t>
      </w:r>
      <w:r w:rsidRPr="00727CEB">
        <w:t>чем говорится в</w:t>
      </w:r>
      <w:r>
        <w:t xml:space="preserve"> </w:t>
      </w:r>
      <w:r w:rsidRPr="00727CEB">
        <w:t>правительственном запросе 1727</w:t>
      </w:r>
      <w:r>
        <w:t xml:space="preserve"> </w:t>
      </w:r>
      <w:r w:rsidRPr="00727CEB">
        <w:t>г.: «по силе Регламента на пропитание учеников всякого хлеба от монастырей двадцать-я, а</w:t>
      </w:r>
      <w:r>
        <w:t xml:space="preserve"> </w:t>
      </w:r>
      <w:r w:rsidRPr="00727CEB">
        <w:t>у церковных земель тридцать-я часть берется-ли?» Однако специфика сибирского землепользования не позволяла рассчитывать на содержание школы за счет хлебного сбора, о</w:t>
      </w:r>
      <w:r>
        <w:t xml:space="preserve"> </w:t>
      </w:r>
      <w:r w:rsidRPr="00727CEB">
        <w:t>чем Тобольская консистория и</w:t>
      </w:r>
      <w:r>
        <w:t xml:space="preserve"> </w:t>
      </w:r>
      <w:r w:rsidRPr="00727CEB">
        <w:t>сообщала: «от монастырей на пропитание школьных учеников по силе духовного Регламента за скудностью не бралось».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Твердо установленной оплаты для учителей школы не предусматривалось. Их жалование зависело от средств, которые собирал архиерейский дом. Холостые учителя жили при архиерейском доме и</w:t>
      </w:r>
      <w:r>
        <w:t xml:space="preserve"> </w:t>
      </w:r>
      <w:r w:rsidRPr="00727CEB">
        <w:t>там</w:t>
      </w:r>
      <w:r>
        <w:t xml:space="preserve"> </w:t>
      </w:r>
      <w:r w:rsidRPr="00727CEB">
        <w:t>же столовались «пищею при трапезе с</w:t>
      </w:r>
      <w:r>
        <w:t xml:space="preserve"> </w:t>
      </w:r>
      <w:r w:rsidRPr="00727CEB">
        <w:t>братией», а</w:t>
      </w:r>
      <w:r>
        <w:t xml:space="preserve"> </w:t>
      </w:r>
      <w:r w:rsidRPr="00727CEB">
        <w:t>иногда и</w:t>
      </w:r>
      <w:r>
        <w:t xml:space="preserve"> </w:t>
      </w:r>
      <w:r w:rsidRPr="00727CEB">
        <w:t xml:space="preserve">с келейниками митрополита.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Если говорить о</w:t>
      </w:r>
      <w:r>
        <w:t xml:space="preserve"> </w:t>
      </w:r>
      <w:r w:rsidRPr="00727CEB">
        <w:t>том достигла</w:t>
      </w:r>
      <w:r>
        <w:t xml:space="preserve"> </w:t>
      </w:r>
      <w:r w:rsidRPr="00727CEB">
        <w:t>ли Тобольская архиерейская школа тех целей, которые ставились при ее открытии, то в</w:t>
      </w:r>
      <w:r>
        <w:t xml:space="preserve"> </w:t>
      </w:r>
      <w:r w:rsidRPr="00727CEB">
        <w:t>этом случае мы должны будем дать отрицательный ответ: грамотных священников в</w:t>
      </w:r>
      <w:r>
        <w:t xml:space="preserve"> </w:t>
      </w:r>
      <w:r w:rsidRPr="00727CEB">
        <w:t>Сибири едва</w:t>
      </w:r>
      <w:r>
        <w:t xml:space="preserve"> </w:t>
      </w:r>
      <w:r w:rsidRPr="00727CEB">
        <w:t>ли стало больше за тот короткий промежуток времени, ее существования. В</w:t>
      </w:r>
      <w:r>
        <w:t xml:space="preserve"> </w:t>
      </w:r>
      <w:r w:rsidRPr="00727CEB">
        <w:t>основном молодое поколение сибирского духовенства обучалось грамоте частным путем. Показателен тот факт, когда сибирское население присягало императрице Анне Иоановне, то только половина священноцерковнослужителей смогла самостоятельно расписаться под присяжными листами; за остальных расписывались или другие, указывая в</w:t>
      </w:r>
      <w:r>
        <w:t xml:space="preserve"> </w:t>
      </w:r>
      <w:r w:rsidRPr="00727CEB">
        <w:t>подписи, что священник такой-то «грамоте не умеет», или, что он, поп, «очами скорбен»[11]. Но в</w:t>
      </w:r>
      <w:r>
        <w:t xml:space="preserve"> </w:t>
      </w:r>
      <w:r w:rsidRPr="00727CEB">
        <w:t>любом случае Тобольская школа стала той основой, на базе которой в</w:t>
      </w:r>
      <w:r>
        <w:t xml:space="preserve"> </w:t>
      </w:r>
      <w:r w:rsidRPr="00727CEB">
        <w:t>дальнейшем получила свое развитие духовная семинария.</w:t>
      </w:r>
    </w:p>
    <w:p w:rsidR="00FF25C4" w:rsidRPr="00727CEB" w:rsidRDefault="00FF25C4" w:rsidP="00FF25C4">
      <w:pPr>
        <w:spacing w:before="120"/>
        <w:jc w:val="center"/>
        <w:rPr>
          <w:b/>
          <w:bCs/>
          <w:sz w:val="28"/>
          <w:szCs w:val="28"/>
        </w:rPr>
      </w:pPr>
      <w:r w:rsidRPr="00727CEB">
        <w:rPr>
          <w:b/>
          <w:bCs/>
          <w:sz w:val="28"/>
          <w:szCs w:val="28"/>
        </w:rPr>
        <w:t>Тобольская духовная семинария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Несмотря на значительную историю, и</w:t>
      </w:r>
      <w:r>
        <w:t xml:space="preserve"> </w:t>
      </w:r>
      <w:r w:rsidRPr="00727CEB">
        <w:t>более чем полутора вековое существование Тобольской духовной семинарии, работ посвященных ее истории, насчитывается буквально единицы. Практически все они были опубликованы в</w:t>
      </w:r>
      <w:r>
        <w:t xml:space="preserve"> </w:t>
      </w:r>
      <w:r w:rsidRPr="00727CEB">
        <w:t>дореволюционное время в</w:t>
      </w:r>
      <w:r>
        <w:t xml:space="preserve"> </w:t>
      </w:r>
      <w:r w:rsidRPr="00727CEB">
        <w:t>большинстве своем в</w:t>
      </w:r>
      <w:r>
        <w:t xml:space="preserve"> </w:t>
      </w:r>
      <w:r w:rsidRPr="00727CEB">
        <w:t>«Тобольских епархиальных ведомостях». Хотя о</w:t>
      </w:r>
      <w:r>
        <w:t xml:space="preserve"> </w:t>
      </w:r>
      <w:r w:rsidRPr="00727CEB">
        <w:t>«сибирских Афинах» писали и</w:t>
      </w:r>
      <w:r>
        <w:t xml:space="preserve"> </w:t>
      </w:r>
      <w:r w:rsidRPr="00727CEB">
        <w:t>Н.</w:t>
      </w:r>
      <w:r>
        <w:t xml:space="preserve"> </w:t>
      </w:r>
      <w:r w:rsidRPr="00727CEB">
        <w:t>А.</w:t>
      </w:r>
      <w:r>
        <w:t xml:space="preserve"> </w:t>
      </w:r>
      <w:r w:rsidRPr="00727CEB">
        <w:t>Абрамов и</w:t>
      </w:r>
      <w:r>
        <w:t xml:space="preserve"> </w:t>
      </w:r>
      <w:r w:rsidRPr="00727CEB">
        <w:t>А.</w:t>
      </w:r>
      <w:r>
        <w:t xml:space="preserve"> </w:t>
      </w:r>
      <w:r w:rsidRPr="00727CEB">
        <w:t>И.</w:t>
      </w:r>
      <w:r>
        <w:t xml:space="preserve"> </w:t>
      </w:r>
      <w:r w:rsidRPr="00727CEB">
        <w:t>Сулоцкий, но наиболее близко к</w:t>
      </w:r>
      <w:r>
        <w:t xml:space="preserve"> </w:t>
      </w:r>
      <w:r w:rsidRPr="00727CEB">
        <w:t>обобщающему труду подошел Н.</w:t>
      </w:r>
      <w:r>
        <w:t xml:space="preserve"> </w:t>
      </w:r>
      <w:r w:rsidRPr="00727CEB">
        <w:t>А.</w:t>
      </w:r>
      <w:r>
        <w:t xml:space="preserve"> </w:t>
      </w:r>
      <w:r w:rsidRPr="00727CEB">
        <w:t>Бирюков. Последние его публикации относятся к</w:t>
      </w:r>
      <w:r>
        <w:t xml:space="preserve"> </w:t>
      </w:r>
      <w:r w:rsidRPr="00727CEB">
        <w:t>1918</w:t>
      </w:r>
      <w:r>
        <w:t xml:space="preserve"> </w:t>
      </w:r>
      <w:r w:rsidRPr="00727CEB">
        <w:t>г. и</w:t>
      </w:r>
      <w:r>
        <w:t xml:space="preserve"> </w:t>
      </w:r>
      <w:r w:rsidRPr="00727CEB">
        <w:t>лишь смена власти и, соответственно идеологических ориентиров, надо полагать, помешали ему выпустить монографию, подобную работе Г.</w:t>
      </w:r>
      <w:r>
        <w:t xml:space="preserve"> </w:t>
      </w:r>
      <w:r w:rsidRPr="00727CEB">
        <w:t>А.</w:t>
      </w:r>
      <w:r>
        <w:t xml:space="preserve"> </w:t>
      </w:r>
      <w:r w:rsidRPr="00727CEB">
        <w:t>Цветаева и</w:t>
      </w:r>
      <w:r>
        <w:t xml:space="preserve"> </w:t>
      </w:r>
      <w:r w:rsidRPr="00727CEB">
        <w:t>С. Н.[12].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первые годы советской власти выходит работа Н.</w:t>
      </w:r>
      <w:r>
        <w:t xml:space="preserve"> </w:t>
      </w:r>
      <w:r w:rsidRPr="00727CEB">
        <w:t>С.</w:t>
      </w:r>
      <w:r>
        <w:t xml:space="preserve"> </w:t>
      </w:r>
      <w:r w:rsidRPr="00727CEB">
        <w:t>Юрцовского, в</w:t>
      </w:r>
      <w:r>
        <w:t xml:space="preserve"> </w:t>
      </w:r>
      <w:r w:rsidRPr="00727CEB">
        <w:t xml:space="preserve">которой он рассматривает историю первого духовного учебного заведения Сибири, но пользуется при этом данными вышеназванных авторов.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Ряд новых сведений в</w:t>
      </w:r>
      <w:r>
        <w:t xml:space="preserve"> </w:t>
      </w:r>
      <w:r w:rsidRPr="00727CEB">
        <w:t>своей фундаментальной работе сообщает Копылов А. Н.[13]. Отдельной брошюрой вышли публикации</w:t>
      </w:r>
      <w:r>
        <w:t xml:space="preserve"> </w:t>
      </w:r>
      <w:r w:rsidRPr="00727CEB">
        <w:t>Б.</w:t>
      </w:r>
      <w:r>
        <w:t xml:space="preserve"> </w:t>
      </w:r>
      <w:r w:rsidRPr="00727CEB">
        <w:t>О.</w:t>
      </w:r>
      <w:r>
        <w:t xml:space="preserve"> </w:t>
      </w:r>
      <w:r w:rsidRPr="00727CEB">
        <w:t>Эристова, а</w:t>
      </w:r>
      <w:r>
        <w:t xml:space="preserve"> </w:t>
      </w:r>
      <w:r w:rsidRPr="00727CEB">
        <w:t>так</w:t>
      </w:r>
      <w:r>
        <w:t xml:space="preserve"> </w:t>
      </w:r>
      <w:r w:rsidRPr="00727CEB">
        <w:t>же А.</w:t>
      </w:r>
      <w:r>
        <w:t xml:space="preserve"> </w:t>
      </w:r>
      <w:r w:rsidRPr="00727CEB">
        <w:t>В.</w:t>
      </w:r>
      <w:r>
        <w:t xml:space="preserve"> </w:t>
      </w:r>
      <w:r w:rsidRPr="00727CEB">
        <w:t>Чернышова [14]. В</w:t>
      </w:r>
      <w:r>
        <w:t xml:space="preserve"> </w:t>
      </w:r>
      <w:r w:rsidRPr="00727CEB">
        <w:t>сургутской православной газете «Преображение» за 2002</w:t>
      </w:r>
      <w:r>
        <w:t xml:space="preserve"> </w:t>
      </w:r>
      <w:r w:rsidRPr="00727CEB">
        <w:t>г. была опубликована статья протоиерея А.</w:t>
      </w:r>
      <w:r>
        <w:t xml:space="preserve"> </w:t>
      </w:r>
      <w:r w:rsidRPr="00727CEB">
        <w:t>К.</w:t>
      </w:r>
      <w:r>
        <w:t xml:space="preserve"> </w:t>
      </w:r>
      <w:r w:rsidRPr="00727CEB">
        <w:t>Сидоренко «Краткий очерк истории Тобольской духовной семинарии», но она построена на общеизвестных фактах и</w:t>
      </w:r>
      <w:r>
        <w:t xml:space="preserve"> </w:t>
      </w:r>
      <w:r w:rsidRPr="00727CEB">
        <w:t xml:space="preserve">новых документов не содержит.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Если предшественница семинарии</w:t>
      </w:r>
      <w:r>
        <w:t xml:space="preserve"> </w:t>
      </w:r>
      <w:r w:rsidRPr="00727CEB">
        <w:t>— архиерейская школа</w:t>
      </w:r>
      <w:r>
        <w:t xml:space="preserve"> </w:t>
      </w:r>
      <w:r w:rsidRPr="00727CEB">
        <w:t>— была открыта по прямому указанию Петра I, то в</w:t>
      </w:r>
      <w:r>
        <w:t xml:space="preserve"> </w:t>
      </w:r>
      <w:r w:rsidRPr="00727CEB">
        <w:t>духовную семинарию она преобразовалась на основании указа 1737</w:t>
      </w:r>
      <w:r>
        <w:t xml:space="preserve"> </w:t>
      </w:r>
      <w:r w:rsidRPr="00727CEB">
        <w:t xml:space="preserve">г., исполнение которого затянулось на несколько лет[15].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Первые шаги по преобразованию духовной школы в</w:t>
      </w:r>
      <w:r>
        <w:t xml:space="preserve"> </w:t>
      </w:r>
      <w:r w:rsidRPr="00727CEB">
        <w:t>семинарию были предприняты тобольским митрополитом Арсением (Мациевичем) (1741–1742), возглавлявшим тобольскую кафедру всего два месяца. Об этом сообщает заказчик Царева Городища, что согласно указу преосвященного от 12</w:t>
      </w:r>
      <w:r>
        <w:t xml:space="preserve"> </w:t>
      </w:r>
      <w:r w:rsidRPr="00727CEB">
        <w:t>ноября 1741</w:t>
      </w:r>
      <w:r>
        <w:t xml:space="preserve"> </w:t>
      </w:r>
      <w:r w:rsidRPr="00727CEB">
        <w:t>г. ему был направлен запрос «о наличии священно церковно-служительских детей, прислать к</w:t>
      </w:r>
      <w:r>
        <w:t xml:space="preserve"> </w:t>
      </w:r>
      <w:r w:rsidRPr="00727CEB">
        <w:t xml:space="preserve">преосвященному имянные ведомости»[16]. Но после отъезда из Сибири преосвященного Арсения все ученики архиерейской школы вообще были распущены по домам.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Заслугу по преобразованию архиерейской школы в</w:t>
      </w:r>
      <w:r>
        <w:t xml:space="preserve"> </w:t>
      </w:r>
      <w:r w:rsidRPr="00727CEB">
        <w:t>семинарию целиком приписывают очередному малороссу, выпускнику Киевской духовной академии митрополиту Антонию (Нарожницкому) (1742–1748), прибывшему в</w:t>
      </w:r>
      <w:r>
        <w:t xml:space="preserve"> </w:t>
      </w:r>
      <w:r w:rsidRPr="00727CEB">
        <w:t>Тобольск 19</w:t>
      </w:r>
      <w:r>
        <w:t xml:space="preserve"> </w:t>
      </w:r>
      <w:r w:rsidRPr="00727CEB">
        <w:t>февраля 1743</w:t>
      </w:r>
      <w:r>
        <w:t xml:space="preserve"> </w:t>
      </w:r>
      <w:r w:rsidRPr="00727CEB">
        <w:t>г. Но первые его послания в</w:t>
      </w:r>
      <w:r>
        <w:t xml:space="preserve"> </w:t>
      </w:r>
      <w:r w:rsidRPr="00727CEB">
        <w:t>Св. Синод свидетельствуют скорее о</w:t>
      </w:r>
      <w:r>
        <w:t xml:space="preserve"> </w:t>
      </w:r>
      <w:r w:rsidRPr="00727CEB">
        <w:t>его нежелании содержать школу при архиерейском доме, которая на тот период функционировала уже добрых четыре десятка лет. Он обращается в</w:t>
      </w:r>
      <w:r>
        <w:t xml:space="preserve"> </w:t>
      </w:r>
      <w:r w:rsidRPr="00727CEB">
        <w:t>Св. Синод с</w:t>
      </w:r>
      <w:r>
        <w:t xml:space="preserve"> </w:t>
      </w:r>
      <w:r w:rsidRPr="00727CEB">
        <w:t>просьбой о</w:t>
      </w:r>
      <w:r>
        <w:t xml:space="preserve"> </w:t>
      </w:r>
      <w:r w:rsidRPr="00727CEB">
        <w:t>закрытии школы при архиерейском доме, поскольку «за скудостию епаршеских доходов латинским школам в</w:t>
      </w:r>
      <w:r>
        <w:t xml:space="preserve"> </w:t>
      </w:r>
      <w:r w:rsidRPr="00727CEB">
        <w:t>Тобольску при доме архиерейском не быть». На что Синод, ссылаясь на указ от 20</w:t>
      </w:r>
      <w:r>
        <w:t xml:space="preserve"> </w:t>
      </w:r>
      <w:r w:rsidRPr="00727CEB">
        <w:t>июля 1742</w:t>
      </w:r>
      <w:r>
        <w:t xml:space="preserve"> </w:t>
      </w:r>
      <w:r w:rsidRPr="00727CEB">
        <w:t>г., отвечал, что для упразднения школ полномочий не имеет, а</w:t>
      </w:r>
      <w:r>
        <w:t xml:space="preserve"> </w:t>
      </w:r>
      <w:r w:rsidRPr="00727CEB">
        <w:t>учеников содержать в</w:t>
      </w:r>
      <w:r>
        <w:t xml:space="preserve"> </w:t>
      </w:r>
      <w:r w:rsidRPr="00727CEB">
        <w:t>школах пропорционально епархиальным доходам. И</w:t>
      </w:r>
      <w:r>
        <w:t xml:space="preserve"> </w:t>
      </w:r>
      <w:r w:rsidRPr="00727CEB">
        <w:t>дальше ссылается на уже приводимые положения духовного регламента: «на содержание семинарии от знатнейших в</w:t>
      </w:r>
      <w:r>
        <w:t xml:space="preserve"> </w:t>
      </w:r>
      <w:r w:rsidRPr="00727CEB">
        <w:t>епархии монастырей брать всякого хлеба двадцатую долю, да от земель церковных, где суть, тридцатую долю» и</w:t>
      </w:r>
      <w:r>
        <w:t xml:space="preserve"> </w:t>
      </w:r>
      <w:r w:rsidRPr="00727CEB">
        <w:t xml:space="preserve">«а учителя или учителей довольствовать из архиерейской казны»[17].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Но на этом митрополит Антоний не успокоился и</w:t>
      </w:r>
      <w:r>
        <w:t xml:space="preserve"> </w:t>
      </w:r>
      <w:r w:rsidRPr="00727CEB">
        <w:t>«доношениями» в</w:t>
      </w:r>
      <w:r>
        <w:t xml:space="preserve"> </w:t>
      </w:r>
      <w:r w:rsidRPr="00727CEB">
        <w:t>Синод и</w:t>
      </w:r>
      <w:r>
        <w:t xml:space="preserve"> </w:t>
      </w:r>
      <w:r w:rsidRPr="00727CEB">
        <w:t>в 1744, и</w:t>
      </w:r>
      <w:r>
        <w:t xml:space="preserve"> </w:t>
      </w:r>
      <w:r w:rsidRPr="00727CEB">
        <w:t>в 1745</w:t>
      </w:r>
      <w:r>
        <w:t xml:space="preserve"> </w:t>
      </w:r>
      <w:r w:rsidRPr="00727CEB">
        <w:t>и в</w:t>
      </w:r>
      <w:r>
        <w:t xml:space="preserve"> </w:t>
      </w:r>
      <w:r w:rsidRPr="00727CEB">
        <w:t>1748</w:t>
      </w:r>
      <w:r>
        <w:t xml:space="preserve"> </w:t>
      </w:r>
      <w:r w:rsidRPr="00727CEB">
        <w:t>гг. (!) вновь и</w:t>
      </w:r>
      <w:r>
        <w:t xml:space="preserve"> </w:t>
      </w:r>
      <w:r w:rsidRPr="00727CEB">
        <w:t>вновь ссылаясь на «скудости епаршеских в</w:t>
      </w:r>
      <w:r>
        <w:t xml:space="preserve"> </w:t>
      </w:r>
      <w:r w:rsidRPr="00727CEB">
        <w:t>дом архиерейский, также и</w:t>
      </w:r>
      <w:r>
        <w:t xml:space="preserve"> </w:t>
      </w:r>
      <w:r w:rsidRPr="00727CEB">
        <w:t>монастырских доходов», предлагал закрыть семинарию. Меж тем 12</w:t>
      </w:r>
      <w:r>
        <w:t xml:space="preserve"> </w:t>
      </w:r>
      <w:r w:rsidRPr="00727CEB">
        <w:t>марта 1743</w:t>
      </w:r>
      <w:r>
        <w:t xml:space="preserve"> </w:t>
      </w:r>
      <w:r w:rsidRPr="00727CEB">
        <w:t>г. из тобольской духовной консистории по всем заказам был разослан специальный указ, в</w:t>
      </w:r>
      <w:r>
        <w:t xml:space="preserve"> </w:t>
      </w:r>
      <w:r w:rsidRPr="00727CEB">
        <w:t>котором сообщалось о</w:t>
      </w:r>
      <w:r>
        <w:t xml:space="preserve"> </w:t>
      </w:r>
      <w:r w:rsidRPr="00727CEB">
        <w:t>сборе детей духовенства в</w:t>
      </w:r>
      <w:r>
        <w:t xml:space="preserve"> </w:t>
      </w:r>
      <w:r w:rsidRPr="00727CEB">
        <w:t>возрасте от 8</w:t>
      </w:r>
      <w:r>
        <w:t xml:space="preserve"> </w:t>
      </w:r>
      <w:r w:rsidRPr="00727CEB">
        <w:t>до 18</w:t>
      </w:r>
      <w:r>
        <w:t xml:space="preserve"> </w:t>
      </w:r>
      <w:r w:rsidRPr="00727CEB">
        <w:t>лет и</w:t>
      </w:r>
      <w:r>
        <w:t xml:space="preserve"> </w:t>
      </w:r>
      <w:r w:rsidRPr="00727CEB">
        <w:t>их отправке в</w:t>
      </w:r>
      <w:r>
        <w:t xml:space="preserve"> </w:t>
      </w:r>
      <w:r w:rsidRPr="00727CEB">
        <w:t>Тобольск. «По силе имянных Их Императорского Величества неоднократных указов и</w:t>
      </w:r>
      <w:r>
        <w:t xml:space="preserve"> </w:t>
      </w:r>
      <w:r w:rsidRPr="00727CEB">
        <w:t>духовного регламента велено в</w:t>
      </w:r>
      <w:r>
        <w:t xml:space="preserve"> </w:t>
      </w:r>
      <w:r w:rsidRPr="00727CEB">
        <w:t>доме архиерейском славенороссийской и</w:t>
      </w:r>
      <w:r>
        <w:t xml:space="preserve"> </w:t>
      </w:r>
      <w:r w:rsidRPr="00727CEB">
        <w:t>латинской школах, для обучения в</w:t>
      </w:r>
      <w:r>
        <w:t xml:space="preserve"> </w:t>
      </w:r>
      <w:r w:rsidRPr="00727CEB">
        <w:t>тех школах студентов в</w:t>
      </w:r>
      <w:r>
        <w:t xml:space="preserve"> </w:t>
      </w:r>
      <w:r w:rsidRPr="00727CEB">
        <w:t xml:space="preserve">надежду священства»[18].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Сопоставляя те и</w:t>
      </w:r>
      <w:r>
        <w:t xml:space="preserve"> </w:t>
      </w:r>
      <w:r w:rsidRPr="00727CEB">
        <w:t>другие документы, невольно закрадываются сомнения, что «официальной» датой открытия семинарии можно считать именно 1743</w:t>
      </w:r>
      <w:r>
        <w:t xml:space="preserve"> </w:t>
      </w:r>
      <w:r w:rsidRPr="00727CEB">
        <w:t>год. Н.</w:t>
      </w:r>
      <w:r>
        <w:t xml:space="preserve"> </w:t>
      </w:r>
      <w:r w:rsidRPr="00727CEB">
        <w:t>А.</w:t>
      </w:r>
      <w:r>
        <w:t xml:space="preserve"> </w:t>
      </w:r>
      <w:r w:rsidRPr="00727CEB">
        <w:t>Абрамов на этот счет указывает: «В 1744</w:t>
      </w:r>
      <w:r>
        <w:t xml:space="preserve"> </w:t>
      </w:r>
      <w:r w:rsidRPr="00727CEB">
        <w:t>году митрополит Антоний открыл семинарию под непосредственным своим наблюдением». Но в</w:t>
      </w:r>
      <w:r>
        <w:t xml:space="preserve"> </w:t>
      </w:r>
      <w:r w:rsidRPr="00727CEB">
        <w:t>другой своей работе «Варлаам Петров» он довольно категорично заявляет: «Тобольская семинария, основанная в</w:t>
      </w:r>
      <w:r>
        <w:t xml:space="preserve"> </w:t>
      </w:r>
      <w:r w:rsidRPr="00727CEB">
        <w:t>1748</w:t>
      </w:r>
      <w:r>
        <w:t xml:space="preserve"> </w:t>
      </w:r>
      <w:r w:rsidRPr="00727CEB">
        <w:t>г. митрополитом Антонием II Нарожницким, помещалась в</w:t>
      </w:r>
      <w:r>
        <w:t xml:space="preserve"> </w:t>
      </w:r>
      <w:r w:rsidRPr="00727CEB">
        <w:t>архиерейском доме, где к</w:t>
      </w:r>
      <w:r>
        <w:t xml:space="preserve"> </w:t>
      </w:r>
      <w:r w:rsidRPr="00727CEB">
        <w:t>открытию ее и</w:t>
      </w:r>
      <w:r>
        <w:t xml:space="preserve"> </w:t>
      </w:r>
      <w:r w:rsidRPr="00727CEB">
        <w:t>построено было каменное здание для шести классов»[19]. Более категоричен в</w:t>
      </w:r>
      <w:r>
        <w:t xml:space="preserve"> </w:t>
      </w:r>
      <w:r w:rsidRPr="00727CEB">
        <w:t>этом вопросе А.</w:t>
      </w:r>
      <w:r>
        <w:t xml:space="preserve"> </w:t>
      </w:r>
      <w:r w:rsidRPr="00727CEB">
        <w:t>Н.</w:t>
      </w:r>
      <w:r>
        <w:t xml:space="preserve"> </w:t>
      </w:r>
      <w:r w:rsidRPr="00727CEB">
        <w:t>Копылов, который подчеркивает, что именно «в 1748</w:t>
      </w:r>
      <w:r>
        <w:t xml:space="preserve"> </w:t>
      </w:r>
      <w:r w:rsidRPr="00727CEB">
        <w:t>г. состоялось официальное открытие семинарии», считая, что преобразование духовной школы в</w:t>
      </w:r>
      <w:r>
        <w:t xml:space="preserve"> </w:t>
      </w:r>
      <w:r w:rsidRPr="00727CEB">
        <w:t>семинарию происходило с</w:t>
      </w:r>
      <w:r>
        <w:t xml:space="preserve"> </w:t>
      </w:r>
      <w:r w:rsidRPr="00727CEB">
        <w:t>1743</w:t>
      </w:r>
      <w:r>
        <w:t xml:space="preserve"> </w:t>
      </w:r>
      <w:r w:rsidRPr="00727CEB">
        <w:t>по 1748</w:t>
      </w:r>
      <w:r>
        <w:t xml:space="preserve"> </w:t>
      </w:r>
      <w:r w:rsidRPr="00727CEB">
        <w:t>гг.[20].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1747</w:t>
      </w:r>
      <w:r>
        <w:t xml:space="preserve"> </w:t>
      </w:r>
      <w:r w:rsidRPr="00727CEB">
        <w:t>г. в</w:t>
      </w:r>
      <w:r>
        <w:t xml:space="preserve"> </w:t>
      </w:r>
      <w:r w:rsidRPr="00727CEB">
        <w:t>Чернигов едет архимандрит Димитрий, который привозит учителей «словесных наук и</w:t>
      </w:r>
      <w:r>
        <w:t xml:space="preserve"> </w:t>
      </w:r>
      <w:r w:rsidRPr="00727CEB">
        <w:t>философии»: Волынского, Блажевского и</w:t>
      </w:r>
      <w:r>
        <w:t xml:space="preserve"> </w:t>
      </w:r>
      <w:r w:rsidRPr="00727CEB">
        <w:t>Граневича. Из Киева «около того</w:t>
      </w:r>
      <w:r>
        <w:t xml:space="preserve"> </w:t>
      </w:r>
      <w:r w:rsidRPr="00727CEB">
        <w:t>ж времени» прибыли Русанович и</w:t>
      </w:r>
      <w:r>
        <w:t xml:space="preserve"> </w:t>
      </w:r>
      <w:r w:rsidRPr="00727CEB">
        <w:t>Даневский. Пять человек для шестилетней школы. Недосеков А. указывает: «Впоследствии, в</w:t>
      </w:r>
      <w:r>
        <w:t xml:space="preserve"> </w:t>
      </w:r>
      <w:r w:rsidRPr="00727CEB">
        <w:t>сентябре 1749</w:t>
      </w:r>
      <w:r>
        <w:t xml:space="preserve"> </w:t>
      </w:r>
      <w:r w:rsidRPr="00727CEB">
        <w:t>г. киевский митрополит Тимофей (Щербацкий) отправил в</w:t>
      </w:r>
      <w:r>
        <w:t xml:space="preserve"> </w:t>
      </w:r>
      <w:r w:rsidRPr="00727CEB">
        <w:t>Тобольскую семинарию учителем на класс риторики воспитанника Киевской академии Матвея Миткевича»[21]. С</w:t>
      </w:r>
      <w:r>
        <w:t xml:space="preserve"> </w:t>
      </w:r>
      <w:r w:rsidRPr="00727CEB">
        <w:t>их приездом и</w:t>
      </w:r>
      <w:r>
        <w:t xml:space="preserve"> </w:t>
      </w:r>
      <w:r w:rsidRPr="00727CEB">
        <w:t>начала свою непосредственную деятельность Тобольская духовная семинария, а</w:t>
      </w:r>
      <w:r>
        <w:t xml:space="preserve"> </w:t>
      </w:r>
      <w:r w:rsidRPr="00727CEB">
        <w:t>это произошло именно в</w:t>
      </w:r>
      <w:r>
        <w:t xml:space="preserve"> </w:t>
      </w:r>
      <w:r w:rsidRPr="00727CEB">
        <w:t>1748–49</w:t>
      </w:r>
      <w:r>
        <w:t xml:space="preserve"> </w:t>
      </w:r>
      <w:r w:rsidRPr="00727CEB">
        <w:t>гг., хотя подготовка к</w:t>
      </w:r>
      <w:r>
        <w:t xml:space="preserve"> </w:t>
      </w:r>
      <w:r w:rsidRPr="00727CEB">
        <w:t>ее открытию началась после 1743</w:t>
      </w:r>
      <w:r>
        <w:t xml:space="preserve"> </w:t>
      </w:r>
      <w:r w:rsidRPr="00727CEB">
        <w:t xml:space="preserve">г.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Еще Филофей (Лещинский) просил у</w:t>
      </w:r>
      <w:r>
        <w:t xml:space="preserve"> </w:t>
      </w:r>
      <w:r w:rsidRPr="00727CEB">
        <w:t>Петра I разрешения вести в</w:t>
      </w:r>
      <w:r>
        <w:t xml:space="preserve"> </w:t>
      </w:r>
      <w:r w:rsidRPr="00727CEB">
        <w:t>архиерейской школе преподавание на латинском языке, но такового разрешения не получил.[22]. Когда именно было введено преподавание латинского в</w:t>
      </w:r>
      <w:r>
        <w:t xml:space="preserve"> </w:t>
      </w:r>
      <w:r w:rsidRPr="00727CEB">
        <w:t>Тобольской архиерейской школе точно установить не представляется возможным. Сулоцкий</w:t>
      </w:r>
      <w:r>
        <w:t xml:space="preserve"> </w:t>
      </w:r>
      <w:r w:rsidRPr="00727CEB">
        <w:t>А.</w:t>
      </w:r>
      <w:r>
        <w:t xml:space="preserve"> </w:t>
      </w:r>
      <w:r w:rsidRPr="00727CEB">
        <w:t>И. на этот счет сообщает: «Известно только, что в</w:t>
      </w:r>
      <w:r>
        <w:t xml:space="preserve"> </w:t>
      </w:r>
      <w:r w:rsidRPr="00727CEB">
        <w:t>конце 1727</w:t>
      </w:r>
      <w:r>
        <w:t xml:space="preserve"> </w:t>
      </w:r>
      <w:r w:rsidRPr="00727CEB">
        <w:t>года его еще не было … в</w:t>
      </w:r>
      <w:r>
        <w:t xml:space="preserve"> </w:t>
      </w:r>
      <w:r w:rsidRPr="00727CEB">
        <w:t>1739</w:t>
      </w:r>
      <w:r>
        <w:t xml:space="preserve"> </w:t>
      </w:r>
      <w:r w:rsidRPr="00727CEB">
        <w:t>г. оно, несомненно, уже было». В</w:t>
      </w:r>
      <w:r>
        <w:t xml:space="preserve"> </w:t>
      </w:r>
      <w:r w:rsidRPr="00727CEB">
        <w:t>другой своей работе он более конкретен: «При приемнике Филофея митрополите Антонии Стаховском в</w:t>
      </w:r>
      <w:r>
        <w:t xml:space="preserve"> </w:t>
      </w:r>
      <w:r w:rsidRPr="00727CEB">
        <w:t>1728</w:t>
      </w:r>
      <w:r>
        <w:t xml:space="preserve"> </w:t>
      </w:r>
      <w:r w:rsidRPr="00727CEB">
        <w:t>году школа эта была расширена присовокуплением к</w:t>
      </w:r>
      <w:r>
        <w:t xml:space="preserve"> </w:t>
      </w:r>
      <w:r w:rsidRPr="00727CEB">
        <w:t>прежде преподававшимся предметам преподавания латинского языка»[23]. Надо полагать, что латынь была введена в</w:t>
      </w:r>
      <w:r>
        <w:t xml:space="preserve"> </w:t>
      </w:r>
      <w:r w:rsidRPr="00727CEB">
        <w:t>курс архиерейской школы при митрополите Антонии I (Стаховском) (1721–1740</w:t>
      </w:r>
      <w:r>
        <w:t xml:space="preserve"> </w:t>
      </w:r>
      <w:r w:rsidRPr="00727CEB">
        <w:t>гг.). Первым преподавателем латинского языка по некоторым сведениям стал священник Иван Якимович, прибывший в</w:t>
      </w:r>
      <w:r>
        <w:t xml:space="preserve"> </w:t>
      </w:r>
      <w:r w:rsidRPr="00727CEB">
        <w:t>Тобольск из Киева.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Во вновь открытом в</w:t>
      </w:r>
      <w:r>
        <w:t xml:space="preserve"> </w:t>
      </w:r>
      <w:r w:rsidRPr="00727CEB">
        <w:t>Тобольске духовном учебном заведении преподавание всех предметов велось на латинском языке</w:t>
      </w:r>
      <w:r>
        <w:t xml:space="preserve"> </w:t>
      </w:r>
      <w:r w:rsidRPr="00727CEB">
        <w:t>— по образцу и</w:t>
      </w:r>
      <w:r>
        <w:t xml:space="preserve"> </w:t>
      </w:r>
      <w:r w:rsidRPr="00727CEB">
        <w:t>традициям Киевской духовной академии. И</w:t>
      </w:r>
      <w:r>
        <w:t xml:space="preserve"> </w:t>
      </w:r>
      <w:r w:rsidRPr="00727CEB">
        <w:t>это не вызывает удивления, поскольку первые устроители семинарии, сибирские митрополиты, и</w:t>
      </w:r>
      <w:r>
        <w:t xml:space="preserve"> </w:t>
      </w:r>
      <w:r w:rsidRPr="00727CEB">
        <w:t>практически все преподаватели первого набора являлись ее выпускниками. Это подтверждается семинарскими «Ведомостями», поданными в</w:t>
      </w:r>
      <w:r>
        <w:t xml:space="preserve"> </w:t>
      </w:r>
      <w:r w:rsidRPr="00727CEB">
        <w:t>Тобольскую Губернскую канцелярию 20</w:t>
      </w:r>
      <w:r>
        <w:t xml:space="preserve"> </w:t>
      </w:r>
      <w:r w:rsidRPr="00727CEB">
        <w:t>октября 1780</w:t>
      </w:r>
      <w:r>
        <w:t xml:space="preserve"> </w:t>
      </w:r>
      <w:r w:rsidRPr="00727CEB">
        <w:t>г.: «Во оной преподаются на латинском языке: Грамматика и</w:t>
      </w:r>
      <w:r>
        <w:t xml:space="preserve"> </w:t>
      </w:r>
      <w:r w:rsidRPr="00727CEB">
        <w:t xml:space="preserve">синтаксима, Пиитика, Риторика, Философия (четырех частей логики, физики, нравоучительной науки, метафизики), Богословие»[24].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низших классах семинарии использовались так называемые «экзерциции» и</w:t>
      </w:r>
      <w:r>
        <w:t xml:space="preserve"> </w:t>
      </w:r>
      <w:r w:rsidRPr="00727CEB">
        <w:t>«оккупации». Под ними понимались особые письменные упражнения в</w:t>
      </w:r>
      <w:r>
        <w:t xml:space="preserve"> </w:t>
      </w:r>
      <w:r w:rsidRPr="00727CEB">
        <w:t>переводах с</w:t>
      </w:r>
      <w:r>
        <w:t xml:space="preserve"> </w:t>
      </w:r>
      <w:r w:rsidRPr="00727CEB">
        <w:t>латинского языка на русский и</w:t>
      </w:r>
      <w:r>
        <w:t xml:space="preserve"> </w:t>
      </w:r>
      <w:r w:rsidRPr="00727CEB">
        <w:t>наоборот (слово «оккупации» с</w:t>
      </w:r>
      <w:r>
        <w:t xml:space="preserve"> </w:t>
      </w:r>
      <w:r w:rsidRPr="00727CEB">
        <w:t>латинского occuptio</w:t>
      </w:r>
      <w:r>
        <w:t xml:space="preserve"> </w:t>
      </w:r>
      <w:r w:rsidRPr="00727CEB">
        <w:t>— занятие, дело, выполнение работы). Макарий (Булгаков) поясняет, что «Первыя сочиняемы были в</w:t>
      </w:r>
      <w:r>
        <w:t xml:space="preserve"> </w:t>
      </w:r>
      <w:r w:rsidRPr="00727CEB">
        <w:t>классах и</w:t>
      </w:r>
      <w:r>
        <w:t xml:space="preserve"> </w:t>
      </w:r>
      <w:r w:rsidRPr="00727CEB">
        <w:t>там</w:t>
      </w:r>
      <w:r>
        <w:t xml:space="preserve"> </w:t>
      </w:r>
      <w:r w:rsidRPr="00727CEB">
        <w:t>же были подаваемы учителю. Последния … составляемы были в</w:t>
      </w:r>
      <w:r>
        <w:t xml:space="preserve"> </w:t>
      </w:r>
      <w:r w:rsidRPr="00727CEB">
        <w:t>домах и</w:t>
      </w:r>
      <w:r>
        <w:t xml:space="preserve"> </w:t>
      </w:r>
      <w:r w:rsidRPr="00727CEB">
        <w:t>квартирах и</w:t>
      </w:r>
      <w:r>
        <w:t xml:space="preserve"> </w:t>
      </w:r>
      <w:r w:rsidRPr="00727CEB">
        <w:t xml:space="preserve">представлялись учителю»[25].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Интересен педагогический прием, с</w:t>
      </w:r>
      <w:r>
        <w:t xml:space="preserve"> </w:t>
      </w:r>
      <w:r w:rsidRPr="00727CEB">
        <w:t>помощью которого учителя семинарии могли воздействовать на нерадивых учеников: им вручался так называемый «калькулюс»</w:t>
      </w:r>
      <w:r>
        <w:t xml:space="preserve"> </w:t>
      </w:r>
      <w:r w:rsidRPr="00727CEB">
        <w:t>— чистый листа бумаги в</w:t>
      </w:r>
      <w:r>
        <w:t xml:space="preserve"> </w:t>
      </w:r>
      <w:r w:rsidRPr="00727CEB">
        <w:t>футляре. Семинарист должен был носить это футляр до тех пор, пока не обнаруживал ошибки в</w:t>
      </w:r>
      <w:r>
        <w:t xml:space="preserve"> </w:t>
      </w:r>
      <w:r w:rsidRPr="00727CEB">
        <w:t>ответе у</w:t>
      </w:r>
      <w:r>
        <w:t xml:space="preserve"> </w:t>
      </w:r>
      <w:r w:rsidRPr="00727CEB">
        <w:t>кого-то из своих товарищей; если подобного не происходило, то он уносил злосчастный футляр с</w:t>
      </w:r>
      <w:r>
        <w:t xml:space="preserve"> </w:t>
      </w:r>
      <w:r w:rsidRPr="00727CEB">
        <w:t>собой в</w:t>
      </w:r>
      <w:r>
        <w:t xml:space="preserve"> </w:t>
      </w:r>
      <w:r w:rsidRPr="00727CEB">
        <w:t xml:space="preserve">спальню.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Детей духовенства принимали в</w:t>
      </w:r>
      <w:r>
        <w:t xml:space="preserve"> </w:t>
      </w:r>
      <w:r w:rsidRPr="00727CEB">
        <w:t>семинарию уже прошедших первый этап обучения. Они должны были иметь необходимые навыки письма и</w:t>
      </w:r>
      <w:r>
        <w:t xml:space="preserve"> </w:t>
      </w:r>
      <w:r w:rsidRPr="00727CEB">
        <w:t>чтения книг на русском языке. И</w:t>
      </w:r>
      <w:r>
        <w:t xml:space="preserve"> </w:t>
      </w:r>
      <w:r w:rsidRPr="00727CEB">
        <w:t>эти обязанности возлагались на епархиальных заказчиков. Об этом красноречиво свидетельствует документ от 10</w:t>
      </w:r>
      <w:r>
        <w:t xml:space="preserve"> </w:t>
      </w:r>
      <w:r w:rsidRPr="00727CEB">
        <w:t>сентября 1750</w:t>
      </w:r>
      <w:r>
        <w:t xml:space="preserve"> </w:t>
      </w:r>
      <w:r w:rsidRPr="00727CEB">
        <w:t>г., который направил ишимский заказчик священник Михаил Соболев. В</w:t>
      </w:r>
      <w:r>
        <w:t xml:space="preserve"> </w:t>
      </w:r>
      <w:r w:rsidRPr="00727CEB">
        <w:t>нем он сообщает, что согласно указа от ноября 1748</w:t>
      </w:r>
      <w:r>
        <w:t xml:space="preserve"> </w:t>
      </w:r>
      <w:r w:rsidRPr="00727CEB">
        <w:t>г. и</w:t>
      </w:r>
      <w:r>
        <w:t xml:space="preserve"> </w:t>
      </w:r>
      <w:r w:rsidRPr="00727CEB">
        <w:t>«над священно церковно-служительскими детьми во учении их иметь крепкое смотрение и</w:t>
      </w:r>
      <w:r>
        <w:t xml:space="preserve"> </w:t>
      </w:r>
      <w:r w:rsidRPr="00727CEB">
        <w:t>неусыпное попечение»[26]. Дети, не сумевшие показать «своих успехов» в</w:t>
      </w:r>
      <w:r>
        <w:t xml:space="preserve"> </w:t>
      </w:r>
      <w:r w:rsidRPr="00727CEB">
        <w:t>письме и</w:t>
      </w:r>
      <w:r>
        <w:t xml:space="preserve"> </w:t>
      </w:r>
      <w:r w:rsidRPr="00727CEB">
        <w:t>чтении, отсылались домой еще на год для «совершенного обучения». Через год родители должны были вновь представить их на смотр в</w:t>
      </w:r>
      <w:r>
        <w:t xml:space="preserve"> </w:t>
      </w:r>
      <w:r w:rsidRPr="00727CEB">
        <w:t xml:space="preserve">консисторию, иначе «будут штрафованы».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Но многие из присылаемых на учебу в</w:t>
      </w:r>
      <w:r>
        <w:t xml:space="preserve"> </w:t>
      </w:r>
      <w:r w:rsidRPr="00727CEB">
        <w:t>Тобольск не желали или не имели возможности несколько лет провести за партой. Так, Иван Старцов (14</w:t>
      </w:r>
      <w:r>
        <w:t xml:space="preserve"> </w:t>
      </w:r>
      <w:r w:rsidRPr="00727CEB">
        <w:t>лет) из Верхотурья обратился к</w:t>
      </w:r>
      <w:r>
        <w:t xml:space="preserve"> </w:t>
      </w:r>
      <w:r w:rsidRPr="00727CEB">
        <w:t>митрополиту Антонию, с</w:t>
      </w:r>
      <w:r>
        <w:t xml:space="preserve"> </w:t>
      </w:r>
      <w:r w:rsidRPr="00727CEB">
        <w:t>прошением о</w:t>
      </w:r>
      <w:r>
        <w:t xml:space="preserve"> </w:t>
      </w:r>
      <w:r w:rsidRPr="00727CEB">
        <w:t>назначении его пономарем в</w:t>
      </w:r>
      <w:r>
        <w:t xml:space="preserve"> </w:t>
      </w:r>
      <w:r w:rsidRPr="00727CEB">
        <w:t>Ильинскую церковь Муганского села, поскольку он остался сиротой вместе с</w:t>
      </w:r>
      <w:r>
        <w:t xml:space="preserve"> </w:t>
      </w:r>
      <w:r w:rsidRPr="00727CEB">
        <w:t>сестрой и</w:t>
      </w:r>
      <w:r>
        <w:t xml:space="preserve"> </w:t>
      </w:r>
      <w:r w:rsidRPr="00727CEB">
        <w:t>он «отчасти славянороссийской граммате, то есть Часослова и</w:t>
      </w:r>
      <w:r>
        <w:t xml:space="preserve"> </w:t>
      </w:r>
      <w:r w:rsidRPr="00727CEB">
        <w:t>Псалтыря обучился»[27]. При митрополите Сильвестре в</w:t>
      </w:r>
      <w:r>
        <w:t xml:space="preserve"> </w:t>
      </w:r>
      <w:r w:rsidRPr="00727CEB">
        <w:t>1752</w:t>
      </w:r>
      <w:r>
        <w:t xml:space="preserve"> </w:t>
      </w:r>
      <w:r w:rsidRPr="00727CEB">
        <w:t>г. был принят указ, согласно которому запрещалось назначать на должности священно и</w:t>
      </w:r>
      <w:r>
        <w:t xml:space="preserve"> </w:t>
      </w:r>
      <w:r w:rsidRPr="00727CEB">
        <w:t>церковнослужителей кого-либо без испытаний в</w:t>
      </w:r>
      <w:r>
        <w:t xml:space="preserve"> </w:t>
      </w:r>
      <w:r w:rsidRPr="00727CEB">
        <w:t>умении писать, читать и</w:t>
      </w:r>
      <w:r>
        <w:t xml:space="preserve"> </w:t>
      </w:r>
      <w:r w:rsidRPr="00727CEB">
        <w:t>знания церковной службы.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Вместо прежнего уже устаревшего помещения славяно-русской школы, митрополит Антоний II (Нарожницкий) выстроил новое каменное здание для семинарии, поместив его при архиерейском доме. Им</w:t>
      </w:r>
      <w:r>
        <w:t xml:space="preserve"> </w:t>
      </w:r>
      <w:r w:rsidRPr="00727CEB">
        <w:t>же была основана семинарская библиотека, без которой немыслимо обучение как таковое. Многие книги он пожертвовал от себя лично. Но основу семинарской библиотеки составили книги, оставшиеся после митрополита Антония I. Абрамов</w:t>
      </w:r>
      <w:r>
        <w:t xml:space="preserve"> </w:t>
      </w:r>
      <w:r w:rsidRPr="00727CEB">
        <w:t>Н.</w:t>
      </w:r>
      <w:r>
        <w:t xml:space="preserve"> </w:t>
      </w:r>
      <w:r w:rsidRPr="00727CEB">
        <w:t>А. указывает на такое издание: «Maximam bibliothecam veterum Patrum et antiquorum scriptorum ecclesiasticorum in tomos XXVII distributam» в</w:t>
      </w:r>
      <w:r>
        <w:t xml:space="preserve"> </w:t>
      </w:r>
      <w:r w:rsidRPr="00727CEB">
        <w:t>27</w:t>
      </w:r>
      <w:r>
        <w:t xml:space="preserve"> </w:t>
      </w:r>
      <w:r w:rsidRPr="00727CEB">
        <w:t>томах, на которых сохранилась собственноручная надпись на них митрополита Антония II, что они «ex bibliotheca Metropolitana Toboliensi et Sibiriensi 1745 anno».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Митрополит Антоний II скончался в</w:t>
      </w:r>
      <w:r>
        <w:t xml:space="preserve"> </w:t>
      </w:r>
      <w:r w:rsidRPr="00727CEB">
        <w:t>Тобольске 9</w:t>
      </w:r>
      <w:r>
        <w:t xml:space="preserve"> </w:t>
      </w:r>
      <w:r w:rsidRPr="00727CEB">
        <w:t>октября 1748</w:t>
      </w:r>
      <w:r>
        <w:t xml:space="preserve"> </w:t>
      </w:r>
      <w:r w:rsidRPr="00727CEB">
        <w:t>г. и</w:t>
      </w:r>
      <w:r>
        <w:t xml:space="preserve"> </w:t>
      </w:r>
      <w:r w:rsidRPr="00727CEB">
        <w:t>был погребен в</w:t>
      </w:r>
      <w:r>
        <w:t xml:space="preserve"> </w:t>
      </w:r>
      <w:r w:rsidRPr="00727CEB">
        <w:t>Софийско-Успенском кафедральном соборе. Ему удалось провести преобразование архиерейской школы в</w:t>
      </w:r>
      <w:r>
        <w:t xml:space="preserve"> </w:t>
      </w:r>
      <w:r w:rsidRPr="00727CEB">
        <w:t>семинарию, которая просуществовала вплоть до прихода к</w:t>
      </w:r>
      <w:r>
        <w:t xml:space="preserve"> </w:t>
      </w:r>
      <w:r w:rsidRPr="00727CEB">
        <w:t>власти большевиков.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Семинария упрочила свои позиции с</w:t>
      </w:r>
      <w:r>
        <w:t xml:space="preserve"> </w:t>
      </w:r>
      <w:r w:rsidRPr="00727CEB">
        <w:t>прибытием на Тобольскую кафедру 12</w:t>
      </w:r>
      <w:r>
        <w:t xml:space="preserve"> </w:t>
      </w:r>
      <w:r w:rsidRPr="00727CEB">
        <w:t>декабря 1749</w:t>
      </w:r>
      <w:r>
        <w:t xml:space="preserve"> </w:t>
      </w:r>
      <w:r w:rsidRPr="00727CEB">
        <w:t>г. митрополита Сильвестра (Гловатского) (1749–1755), который долгие годы был преподавателем в</w:t>
      </w:r>
      <w:r>
        <w:t xml:space="preserve"> </w:t>
      </w:r>
      <w:r w:rsidRPr="00727CEB">
        <w:t>Казанской духовной семинарии. Имея достаточный опыт в</w:t>
      </w:r>
      <w:r>
        <w:t xml:space="preserve"> </w:t>
      </w:r>
      <w:r w:rsidRPr="00727CEB">
        <w:t>деле подготовки будущего духовенства, он ввел должность префекта. Первым префектом стал выпускник Киевской академии, учитель риторики Михаил Миткевич. 7</w:t>
      </w:r>
      <w:r>
        <w:t xml:space="preserve"> </w:t>
      </w:r>
      <w:r w:rsidRPr="00727CEB">
        <w:t>марта 1752</w:t>
      </w:r>
      <w:r>
        <w:t xml:space="preserve"> </w:t>
      </w:r>
      <w:r w:rsidRPr="00727CEB">
        <w:t>г. он принял рясофор с</w:t>
      </w:r>
      <w:r>
        <w:t xml:space="preserve"> </w:t>
      </w:r>
      <w:r w:rsidRPr="00727CEB">
        <w:t>именем Модеста, а</w:t>
      </w:r>
      <w:r>
        <w:t xml:space="preserve"> </w:t>
      </w:r>
      <w:r w:rsidRPr="00727CEB">
        <w:t>25</w:t>
      </w:r>
      <w:r>
        <w:t xml:space="preserve"> </w:t>
      </w:r>
      <w:r w:rsidRPr="00727CEB">
        <w:t>марта был посвящен в</w:t>
      </w:r>
      <w:r>
        <w:t xml:space="preserve"> </w:t>
      </w:r>
      <w:r w:rsidRPr="00727CEB">
        <w:t>иеромонахи с</w:t>
      </w:r>
      <w:r>
        <w:t xml:space="preserve"> </w:t>
      </w:r>
      <w:r w:rsidRPr="00727CEB">
        <w:t>именем Михаил. Затем он получил сан архимандрита Тобольского Знаменского монастыря с</w:t>
      </w:r>
      <w:r>
        <w:t xml:space="preserve"> </w:t>
      </w:r>
      <w:r w:rsidRPr="00727CEB">
        <w:t>правом служения в</w:t>
      </w:r>
      <w:r>
        <w:t xml:space="preserve"> </w:t>
      </w:r>
      <w:r w:rsidRPr="00727CEB">
        <w:t>митре, мантии с</w:t>
      </w:r>
      <w:r>
        <w:t xml:space="preserve"> </w:t>
      </w:r>
      <w:r w:rsidRPr="00727CEB">
        <w:t>зелеными скрижалями и</w:t>
      </w:r>
      <w:r>
        <w:t xml:space="preserve"> </w:t>
      </w:r>
      <w:r w:rsidRPr="00727CEB">
        <w:t>с посохом. Именно он стал в</w:t>
      </w:r>
      <w:r>
        <w:t xml:space="preserve"> </w:t>
      </w:r>
      <w:r w:rsidRPr="00727CEB">
        <w:t xml:space="preserve">дальнейшем первым ректором Тобольской духовной семинарии.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Но еще долгое время тобольская семинария именовалась не иначе как «славяно-латинская школа». В</w:t>
      </w:r>
      <w:r>
        <w:t xml:space="preserve"> </w:t>
      </w:r>
      <w:r w:rsidRPr="00727CEB">
        <w:t>семинарии того времен изучали букварь, часослов, псалтирь, краткий катихизис, славянский и</w:t>
      </w:r>
      <w:r>
        <w:t xml:space="preserve"> </w:t>
      </w:r>
      <w:r w:rsidRPr="00727CEB">
        <w:t>латинский языки, нотное пение, грамматику, пиитику, риторику и</w:t>
      </w:r>
      <w:r>
        <w:t xml:space="preserve"> </w:t>
      </w:r>
      <w:r w:rsidRPr="00727CEB">
        <w:t>изъяснение Св. Писания. Около 1755</w:t>
      </w:r>
      <w:r>
        <w:t xml:space="preserve"> </w:t>
      </w:r>
      <w:r w:rsidRPr="00727CEB">
        <w:t>г. ввелось преподавание философии. Название классов семинарии звучали так: фара, инфима, грамматика, синтаксима, пиитика и</w:t>
      </w:r>
      <w:r>
        <w:t xml:space="preserve"> </w:t>
      </w:r>
      <w:r w:rsidRPr="00727CEB">
        <w:t xml:space="preserve">риторика.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Долгое время не была решена финансовая сторона вопроса: на содержание духовной семинарии в</w:t>
      </w:r>
      <w:r>
        <w:t xml:space="preserve"> </w:t>
      </w:r>
      <w:r w:rsidRPr="00727CEB">
        <w:t>Тобольске ни у</w:t>
      </w:r>
      <w:r>
        <w:t xml:space="preserve"> </w:t>
      </w:r>
      <w:r w:rsidRPr="00727CEB">
        <w:t>казны, ни у</w:t>
      </w:r>
      <w:r>
        <w:t xml:space="preserve"> </w:t>
      </w:r>
      <w:r w:rsidRPr="00727CEB">
        <w:t>Синода лишних средств не находилось «за большими у</w:t>
      </w:r>
      <w:r>
        <w:t xml:space="preserve"> </w:t>
      </w:r>
      <w:r w:rsidRPr="00727CEB">
        <w:t>казны расходами». И</w:t>
      </w:r>
      <w:r>
        <w:t xml:space="preserve"> </w:t>
      </w:r>
      <w:r w:rsidRPr="00727CEB">
        <w:t>потому первое время преосвященный вынужден был содержать семинарию на штрафные деньги, собираемые с</w:t>
      </w:r>
      <w:r>
        <w:t xml:space="preserve"> </w:t>
      </w:r>
      <w:r w:rsidRPr="00727CEB">
        <w:t>духовенства за те или иные провинности[28]. Тобольская семинария была переведена на казенное содержание по 490</w:t>
      </w:r>
      <w:r>
        <w:t xml:space="preserve"> </w:t>
      </w:r>
      <w:r w:rsidRPr="00727CEB">
        <w:t>руб. в</w:t>
      </w:r>
      <w:r>
        <w:t xml:space="preserve"> </w:t>
      </w:r>
      <w:r w:rsidRPr="00727CEB">
        <w:t>год; (в 1780</w:t>
      </w:r>
      <w:r>
        <w:t xml:space="preserve"> </w:t>
      </w:r>
      <w:r w:rsidRPr="00727CEB">
        <w:t>г. финансирование повышено до 2000</w:t>
      </w:r>
      <w:r>
        <w:t xml:space="preserve"> </w:t>
      </w:r>
      <w:r w:rsidRPr="00727CEB">
        <w:t>руб. и</w:t>
      </w:r>
      <w:r>
        <w:t xml:space="preserve"> </w:t>
      </w:r>
      <w:r w:rsidRPr="00727CEB">
        <w:t>с 18</w:t>
      </w:r>
      <w:r>
        <w:t xml:space="preserve"> </w:t>
      </w:r>
      <w:r w:rsidRPr="00727CEB">
        <w:t>декабря 1797</w:t>
      </w:r>
      <w:r>
        <w:t xml:space="preserve"> </w:t>
      </w:r>
      <w:r w:rsidRPr="00727CEB">
        <w:t>г.</w:t>
      </w:r>
      <w:r>
        <w:t xml:space="preserve"> </w:t>
      </w:r>
      <w:r w:rsidRPr="00727CEB">
        <w:t>— до 4000</w:t>
      </w:r>
      <w:r>
        <w:t xml:space="preserve"> </w:t>
      </w:r>
      <w:r w:rsidRPr="00727CEB">
        <w:t xml:space="preserve">руб.).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Годовой денежный доход архиерейского дома во время управления епархией митрополитом Сильвестром, составлял не более 1259</w:t>
      </w:r>
      <w:r>
        <w:t xml:space="preserve"> </w:t>
      </w:r>
      <w:r w:rsidRPr="00727CEB">
        <w:t>р. Из этих денег ежегодно до 500</w:t>
      </w:r>
      <w:r>
        <w:t xml:space="preserve"> </w:t>
      </w:r>
      <w:r w:rsidRPr="00727CEB">
        <w:t>р. тратится на жалованье «домовым служителям», а</w:t>
      </w:r>
      <w:r>
        <w:t xml:space="preserve"> </w:t>
      </w:r>
      <w:r w:rsidRPr="00727CEB">
        <w:t>700</w:t>
      </w:r>
      <w:r>
        <w:t xml:space="preserve"> </w:t>
      </w:r>
      <w:r w:rsidRPr="00727CEB">
        <w:t>р. на «домовые потребности», строительство и</w:t>
      </w:r>
      <w:r>
        <w:t xml:space="preserve"> </w:t>
      </w:r>
      <w:r w:rsidRPr="00727CEB">
        <w:t xml:space="preserve">ремонт епархиальных зданий, включая приходские храмы.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6</w:t>
      </w:r>
      <w:r>
        <w:t xml:space="preserve"> </w:t>
      </w:r>
      <w:r w:rsidRPr="00727CEB">
        <w:t>декабря 1755</w:t>
      </w:r>
      <w:r>
        <w:t xml:space="preserve"> </w:t>
      </w:r>
      <w:r w:rsidRPr="00727CEB">
        <w:t>г. митрополит Сильвестр покинул пределы епархии, в</w:t>
      </w:r>
      <w:r>
        <w:t xml:space="preserve"> </w:t>
      </w:r>
      <w:r w:rsidRPr="00727CEB">
        <w:t>связи с</w:t>
      </w:r>
      <w:r>
        <w:t xml:space="preserve"> </w:t>
      </w:r>
      <w:r w:rsidRPr="00727CEB">
        <w:t>переводом на новое место служения. На Тобольской кафедре его заменил митрополит Павел (Конюскевич), который прибыл в</w:t>
      </w:r>
      <w:r>
        <w:t xml:space="preserve"> </w:t>
      </w:r>
      <w:r w:rsidRPr="00727CEB">
        <w:t>Тобольск 20</w:t>
      </w:r>
      <w:r>
        <w:t xml:space="preserve"> </w:t>
      </w:r>
      <w:r w:rsidRPr="00727CEB">
        <w:t>ноября 1758</w:t>
      </w:r>
      <w:r>
        <w:t xml:space="preserve"> </w:t>
      </w:r>
      <w:r w:rsidRPr="00727CEB">
        <w:t>г. Именно при нем с</w:t>
      </w:r>
      <w:r>
        <w:t xml:space="preserve"> </w:t>
      </w:r>
      <w:r w:rsidRPr="00727CEB">
        <w:t>1763</w:t>
      </w:r>
      <w:r>
        <w:t xml:space="preserve"> </w:t>
      </w:r>
      <w:r w:rsidRPr="00727CEB">
        <w:t>г. в</w:t>
      </w:r>
      <w:r>
        <w:t xml:space="preserve"> </w:t>
      </w:r>
      <w:r w:rsidRPr="00727CEB">
        <w:t>семинарии был введен полный курс предметов, обязательных для духовных заведений подобного типа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Таблица.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Количество учеников семинарии по классам с</w:t>
      </w:r>
      <w:r>
        <w:t xml:space="preserve"> </w:t>
      </w:r>
      <w:r w:rsidRPr="00727CEB">
        <w:t>1760</w:t>
      </w:r>
      <w:r>
        <w:t xml:space="preserve"> </w:t>
      </w:r>
      <w:r w:rsidRPr="00727CEB">
        <w:t>по 1767</w:t>
      </w:r>
      <w:r>
        <w:t xml:space="preserve"> </w:t>
      </w:r>
      <w:r w:rsidRPr="00727CEB">
        <w:t xml:space="preserve">гг.[29]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FF25C4" w:rsidRPr="00727CEB" w:rsidTr="00D873CB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37"/>
              <w:gridCol w:w="700"/>
              <w:gridCol w:w="700"/>
              <w:gridCol w:w="699"/>
              <w:gridCol w:w="699"/>
              <w:gridCol w:w="699"/>
              <w:gridCol w:w="699"/>
              <w:gridCol w:w="699"/>
              <w:gridCol w:w="706"/>
            </w:tblGrid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Классы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1767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Философия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Риторика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20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Пиитика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16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Сиктаксима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Грамматика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20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Инфима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Аналогия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Фара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22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Славяно-российская грамота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Русская грамота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7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Заправилщики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Всего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114</w:t>
                  </w:r>
                </w:p>
              </w:tc>
            </w:tr>
            <w:tr w:rsidR="00FF25C4" w:rsidRPr="00727CEB" w:rsidTr="00D873CB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На своем содержании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25C4" w:rsidRPr="00727CEB" w:rsidRDefault="00FF25C4" w:rsidP="00D873CB">
                  <w:pPr>
                    <w:jc w:val="both"/>
                  </w:pPr>
                  <w:r w:rsidRPr="00727CEB">
                    <w:t>35</w:t>
                  </w:r>
                </w:p>
              </w:tc>
            </w:tr>
          </w:tbl>
          <w:p w:rsidR="00FF25C4" w:rsidRPr="00727CEB" w:rsidRDefault="00FF25C4" w:rsidP="00D873CB">
            <w:pPr>
              <w:spacing w:before="120"/>
              <w:ind w:firstLine="567"/>
              <w:jc w:val="both"/>
            </w:pPr>
          </w:p>
        </w:tc>
      </w:tr>
    </w:tbl>
    <w:p w:rsidR="00FF25C4" w:rsidRPr="00727CEB" w:rsidRDefault="00FF25C4" w:rsidP="00FF25C4">
      <w:pPr>
        <w:spacing w:before="120"/>
        <w:ind w:firstLine="567"/>
        <w:jc w:val="both"/>
      </w:pPr>
      <w:r w:rsidRPr="00727CEB">
        <w:t>Подводя итоги по просветительской деятельности православной церкви в</w:t>
      </w:r>
      <w:r>
        <w:t xml:space="preserve"> </w:t>
      </w:r>
      <w:r w:rsidRPr="00727CEB">
        <w:t>Западной Сибири в</w:t>
      </w:r>
      <w:r>
        <w:t xml:space="preserve"> </w:t>
      </w:r>
      <w:r w:rsidRPr="00727CEB">
        <w:t>XVIII в., можно сделать такие выводы.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XVIII век стал переломным, во истину просветительским веком для Западной Сибири, когда в</w:t>
      </w:r>
      <w:r>
        <w:t xml:space="preserve"> </w:t>
      </w:r>
      <w:r w:rsidRPr="00727CEB">
        <w:t>начале его были практически одновременно открыты гражданская и</w:t>
      </w:r>
      <w:r>
        <w:t xml:space="preserve"> </w:t>
      </w:r>
      <w:r w:rsidRPr="00727CEB">
        <w:t>духовная школы в</w:t>
      </w:r>
      <w:r>
        <w:t xml:space="preserve"> </w:t>
      </w:r>
      <w:r w:rsidRPr="00727CEB">
        <w:t>Тобольске, которая не прекращала своей деятельности вплоть до реорганизации ее в</w:t>
      </w:r>
      <w:r>
        <w:t xml:space="preserve"> </w:t>
      </w:r>
      <w:r w:rsidRPr="00727CEB">
        <w:t xml:space="preserve">семинарию[30].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Именно духовенству принадлежит роль главного просветителя сибирского населения в</w:t>
      </w:r>
      <w:r>
        <w:t xml:space="preserve"> </w:t>
      </w:r>
      <w:r w:rsidRPr="00727CEB">
        <w:t>XVIII столетии. Благодаря открытию архиерейской школы, а</w:t>
      </w:r>
      <w:r>
        <w:t xml:space="preserve"> </w:t>
      </w:r>
      <w:r w:rsidRPr="00727CEB">
        <w:t>затем преобразованию ее в</w:t>
      </w:r>
      <w:r>
        <w:t xml:space="preserve"> </w:t>
      </w:r>
      <w:r w:rsidRPr="00727CEB">
        <w:t>духовную семинарию по образцу Киевской духовной академии была налажена долгосрочная система обучения по подготовке священнослужителей. Тобольская духовная семинария на несколько десятилетий опередила открытие гражданского Главного народного училища, для которого в</w:t>
      </w:r>
      <w:r>
        <w:t xml:space="preserve"> </w:t>
      </w:r>
      <w:r w:rsidRPr="00727CEB">
        <w:t>качестве учителей направлялись ее выпускники. С</w:t>
      </w:r>
      <w:r>
        <w:t xml:space="preserve"> </w:t>
      </w:r>
      <w:r w:rsidRPr="00727CEB">
        <w:t>первых лет открытия семинарии перед ней была поставлена задача привлечения и</w:t>
      </w:r>
      <w:r>
        <w:t xml:space="preserve"> </w:t>
      </w:r>
      <w:r w:rsidRPr="00727CEB">
        <w:t>подготовки учеников из числа коренного населения Сибири.Уже первые выпускники семинарии заняли довольно высокие посты в</w:t>
      </w:r>
      <w:r>
        <w:t xml:space="preserve"> </w:t>
      </w:r>
      <w:r w:rsidRPr="00727CEB">
        <w:t>сибирской иерархии: Никита Никитич Арамельский (Арамильский)</w:t>
      </w:r>
      <w:r>
        <w:t xml:space="preserve"> </w:t>
      </w:r>
      <w:r w:rsidRPr="00727CEB">
        <w:t>— стал учителем Тобольской семинарии, а</w:t>
      </w:r>
      <w:r>
        <w:t xml:space="preserve"> </w:t>
      </w:r>
      <w:r w:rsidRPr="00727CEB">
        <w:t>затем протоиереем Троицкого и</w:t>
      </w:r>
      <w:r>
        <w:t xml:space="preserve"> </w:t>
      </w:r>
      <w:r w:rsidRPr="00727CEB">
        <w:t>кафедрального Софийского соборов в</w:t>
      </w:r>
      <w:r>
        <w:t xml:space="preserve"> </w:t>
      </w:r>
      <w:r w:rsidRPr="00727CEB">
        <w:t>Тобольске; в</w:t>
      </w:r>
      <w:r>
        <w:t xml:space="preserve"> </w:t>
      </w:r>
      <w:r w:rsidRPr="00727CEB">
        <w:t>1786</w:t>
      </w:r>
      <w:r>
        <w:t xml:space="preserve"> </w:t>
      </w:r>
      <w:r w:rsidRPr="00727CEB">
        <w:t>г. он принял монашество с</w:t>
      </w:r>
      <w:r>
        <w:t xml:space="preserve"> </w:t>
      </w:r>
      <w:r w:rsidRPr="00727CEB">
        <w:t>именем Никодима и</w:t>
      </w:r>
      <w:r>
        <w:t xml:space="preserve"> </w:t>
      </w:r>
      <w:r w:rsidRPr="00727CEB">
        <w:t>был назначен архимандритом в</w:t>
      </w:r>
      <w:r>
        <w:t xml:space="preserve"> </w:t>
      </w:r>
      <w:r w:rsidRPr="00727CEB">
        <w:t>Енисейск. Михаил Федорович Карпинский получил должность кафедрального протоиерея (1786</w:t>
      </w:r>
      <w:r>
        <w:t xml:space="preserve"> </w:t>
      </w:r>
      <w:r w:rsidRPr="00727CEB">
        <w:t>по 1789</w:t>
      </w:r>
      <w:r>
        <w:t xml:space="preserve"> </w:t>
      </w:r>
      <w:r w:rsidRPr="00727CEB">
        <w:t>гг.). Василий Яковлевич Копылов был назначен учителем, а</w:t>
      </w:r>
      <w:r>
        <w:t xml:space="preserve"> </w:t>
      </w:r>
      <w:r w:rsidRPr="00727CEB">
        <w:t>затем префектом семинарии, а</w:t>
      </w:r>
      <w:r>
        <w:t xml:space="preserve"> </w:t>
      </w:r>
      <w:r w:rsidRPr="00727CEB">
        <w:t>так</w:t>
      </w:r>
      <w:r>
        <w:t xml:space="preserve"> </w:t>
      </w:r>
      <w:r w:rsidRPr="00727CEB">
        <w:t>же священником и</w:t>
      </w:r>
      <w:r>
        <w:t xml:space="preserve"> </w:t>
      </w:r>
      <w:r w:rsidRPr="00727CEB">
        <w:t xml:space="preserve">ключарем кафедрального собора.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семинарии изучались татарский и</w:t>
      </w:r>
      <w:r>
        <w:t xml:space="preserve"> </w:t>
      </w:r>
      <w:r w:rsidRPr="00727CEB">
        <w:t>остяцкий (хантыйский) языки; в</w:t>
      </w:r>
      <w:r>
        <w:t xml:space="preserve"> </w:t>
      </w:r>
      <w:r w:rsidRPr="00727CEB">
        <w:t>ее стенах были подготовлены первые в</w:t>
      </w:r>
      <w:r>
        <w:t xml:space="preserve"> </w:t>
      </w:r>
      <w:r w:rsidRPr="00727CEB">
        <w:t>России словари татарского языка, а</w:t>
      </w:r>
      <w:r>
        <w:t xml:space="preserve"> </w:t>
      </w:r>
      <w:r w:rsidRPr="00727CEB">
        <w:t>так</w:t>
      </w:r>
      <w:r>
        <w:t xml:space="preserve"> </w:t>
      </w:r>
      <w:r w:rsidRPr="00727CEB">
        <w:t>же переведены молитвы на остяцкий и</w:t>
      </w:r>
      <w:r>
        <w:t xml:space="preserve"> </w:t>
      </w:r>
      <w:r w:rsidRPr="00727CEB">
        <w:t xml:space="preserve">вогульский языки. Все это повлекло за собой медленный, но неуклонный процесс просвещения сибиряков.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Несмотря на экономические трудности и</w:t>
      </w:r>
      <w:r>
        <w:t xml:space="preserve"> </w:t>
      </w:r>
      <w:r w:rsidRPr="00727CEB">
        <w:t>минимальную поддержку центральной власти сибирскими митрополитами были найдены средства для непрерывной и</w:t>
      </w:r>
      <w:r>
        <w:t xml:space="preserve"> </w:t>
      </w:r>
      <w:r w:rsidRPr="00727CEB">
        <w:t>стабильной деятельности семинарии. Особенно важен тот факт, что в</w:t>
      </w:r>
      <w:r>
        <w:t xml:space="preserve"> </w:t>
      </w:r>
      <w:r w:rsidRPr="00727CEB">
        <w:t>семинарии на полном материальном обеспечении находились сироты и</w:t>
      </w:r>
      <w:r>
        <w:t xml:space="preserve"> </w:t>
      </w:r>
      <w:r w:rsidRPr="00727CEB">
        <w:t>дети из бедных семей духовенства. В</w:t>
      </w:r>
      <w:r>
        <w:t xml:space="preserve"> </w:t>
      </w:r>
      <w:r w:rsidRPr="00727CEB">
        <w:t>1764</w:t>
      </w:r>
      <w:r>
        <w:t xml:space="preserve"> </w:t>
      </w:r>
      <w:r w:rsidRPr="00727CEB">
        <w:t>г. были введены штатные оклады для преподавателей. Со временем Тобольская духовная семинария стала центром духовной культуры в</w:t>
      </w:r>
      <w:r>
        <w:t xml:space="preserve"> </w:t>
      </w:r>
      <w:r w:rsidRPr="00727CEB">
        <w:t>Западной Сибири: в</w:t>
      </w:r>
      <w:r>
        <w:t xml:space="preserve"> </w:t>
      </w:r>
      <w:r w:rsidRPr="00727CEB">
        <w:t>ней находилась богатая для своего времени библиотека с</w:t>
      </w:r>
      <w:r>
        <w:t xml:space="preserve"> </w:t>
      </w:r>
      <w:r w:rsidRPr="00727CEB">
        <w:t>книгами, как на русском, так и</w:t>
      </w:r>
      <w:r>
        <w:t xml:space="preserve"> </w:t>
      </w:r>
      <w:r w:rsidRPr="00727CEB">
        <w:t>на иностранных языках</w:t>
      </w:r>
      <w:r>
        <w:t xml:space="preserve"> </w:t>
      </w:r>
      <w:r w:rsidRPr="00727CEB">
        <w:t>— именно в</w:t>
      </w:r>
      <w:r>
        <w:t xml:space="preserve"> </w:t>
      </w:r>
      <w:r w:rsidRPr="00727CEB">
        <w:t>ней хранилась известная Черепановская летопись; при семинарии был открыт первый в</w:t>
      </w:r>
      <w:r>
        <w:t xml:space="preserve"> </w:t>
      </w:r>
      <w:r w:rsidRPr="00727CEB">
        <w:t>Сибири театр; из нее направлялись студенты для замещения вакантных должностей гражданского ведомства.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В тоже время далеко не сразу сибирское духовенство осознало необходимость обучения своих детей и</w:t>
      </w:r>
      <w:r>
        <w:t xml:space="preserve"> </w:t>
      </w:r>
      <w:r w:rsidRPr="00727CEB">
        <w:t>прятала их от школы. Методы обучения в</w:t>
      </w:r>
      <w:r>
        <w:t xml:space="preserve"> </w:t>
      </w:r>
      <w:r w:rsidRPr="00727CEB">
        <w:t>семинарии и</w:t>
      </w:r>
      <w:r>
        <w:t xml:space="preserve"> </w:t>
      </w:r>
      <w:r w:rsidRPr="00727CEB">
        <w:t>заказных школах не давали возможности развиться студенческим дарованиям, а</w:t>
      </w:r>
      <w:r>
        <w:t xml:space="preserve"> </w:t>
      </w:r>
      <w:r w:rsidRPr="00727CEB">
        <w:t>обязательный латинский язык выхолащивал ум молодых людей, о</w:t>
      </w:r>
      <w:r>
        <w:t xml:space="preserve"> </w:t>
      </w:r>
      <w:r w:rsidRPr="00727CEB">
        <w:t>чем писали многие семинарские выпускники. Постоянно ощущалась нехватка преподавателей. Если на момент ее открытия учителей пригласили из Киева, то в</w:t>
      </w:r>
      <w:r>
        <w:t xml:space="preserve"> </w:t>
      </w:r>
      <w:r w:rsidRPr="00727CEB">
        <w:t>дальнейшем подобный «вахтовый метод» не прижился и</w:t>
      </w:r>
      <w:r>
        <w:t xml:space="preserve"> </w:t>
      </w:r>
      <w:r w:rsidRPr="00727CEB">
        <w:t>на должности учителей назначали преимущественно выпускников семинарии, а</w:t>
      </w:r>
      <w:r>
        <w:t xml:space="preserve"> </w:t>
      </w:r>
      <w:r w:rsidRPr="00727CEB">
        <w:t>то и</w:t>
      </w:r>
      <w:r>
        <w:t xml:space="preserve"> </w:t>
      </w:r>
      <w:r w:rsidRPr="00727CEB">
        <w:t>прямо студентов старших классов. Над отметить, что весь век шло становление семинарии и</w:t>
      </w:r>
      <w:r>
        <w:t xml:space="preserve"> </w:t>
      </w:r>
      <w:r w:rsidRPr="00727CEB">
        <w:t>лишь в</w:t>
      </w:r>
      <w:r>
        <w:t xml:space="preserve"> </w:t>
      </w:r>
      <w:r w:rsidRPr="00727CEB">
        <w:t xml:space="preserve">последние его десятилетия был введен полный курс обязательных по программе предметов.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Таким образом, духовное просвещение в</w:t>
      </w:r>
      <w:r>
        <w:t xml:space="preserve"> </w:t>
      </w:r>
      <w:r w:rsidRPr="00727CEB">
        <w:t>Западной Сибири шло в</w:t>
      </w:r>
      <w:r>
        <w:t xml:space="preserve"> </w:t>
      </w:r>
      <w:r w:rsidRPr="00727CEB">
        <w:t>ногу со своим временем, накапливая опыт для дальнейшего роста и</w:t>
      </w:r>
      <w:r>
        <w:t xml:space="preserve"> </w:t>
      </w:r>
      <w:r w:rsidRPr="00727CEB">
        <w:t>совершенства.</w:t>
      </w:r>
    </w:p>
    <w:p w:rsidR="00FF25C4" w:rsidRPr="00727CEB" w:rsidRDefault="00FF25C4" w:rsidP="00FF25C4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727CEB">
        <w:rPr>
          <w:b/>
          <w:bCs/>
          <w:sz w:val="28"/>
          <w:szCs w:val="28"/>
          <w:lang w:val="en-US"/>
        </w:rPr>
        <w:t>Список литературы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Знаменский. П.</w:t>
      </w:r>
      <w:r>
        <w:t xml:space="preserve"> </w:t>
      </w:r>
      <w:r w:rsidRPr="00727CEB">
        <w:t>В.</w:t>
      </w:r>
      <w:r>
        <w:t xml:space="preserve"> </w:t>
      </w:r>
      <w:r w:rsidRPr="00727CEB">
        <w:t>Духовные школы в</w:t>
      </w:r>
      <w:r>
        <w:t xml:space="preserve"> </w:t>
      </w:r>
      <w:r w:rsidRPr="00727CEB">
        <w:t>России до реформы 1808</w:t>
      </w:r>
      <w:r>
        <w:t xml:space="preserve"> </w:t>
      </w:r>
      <w:r w:rsidRPr="00727CEB">
        <w:t>г. Казань, 1881. С.</w:t>
      </w:r>
      <w:r>
        <w:t xml:space="preserve"> </w:t>
      </w:r>
      <w:r w:rsidRPr="00727CEB">
        <w:t xml:space="preserve">7.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Знаменский П.</w:t>
      </w:r>
      <w:r>
        <w:t xml:space="preserve"> </w:t>
      </w:r>
      <w:r w:rsidRPr="00727CEB">
        <w:t>В.</w:t>
      </w:r>
      <w:r>
        <w:t xml:space="preserve"> </w:t>
      </w:r>
      <w:r w:rsidRPr="00727CEB">
        <w:t>История русской церкви. М., 1996. С.</w:t>
      </w:r>
      <w:r>
        <w:t xml:space="preserve"> </w:t>
      </w:r>
      <w:r w:rsidRPr="00727CEB">
        <w:t xml:space="preserve">389.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Чтения в</w:t>
      </w:r>
      <w:r>
        <w:t xml:space="preserve"> </w:t>
      </w:r>
      <w:r w:rsidRPr="00727CEB">
        <w:t xml:space="preserve">обществе исторических древностей Российских. 1863. Кн. 4. Смесь.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Сулоцкий А.</w:t>
      </w:r>
      <w:r>
        <w:t xml:space="preserve"> </w:t>
      </w:r>
      <w:r w:rsidRPr="00727CEB">
        <w:t>И.</w:t>
      </w:r>
      <w:r>
        <w:t xml:space="preserve"> </w:t>
      </w:r>
      <w:r w:rsidRPr="00727CEB">
        <w:t>Тобольская архиерейская школа</w:t>
      </w:r>
      <w:r>
        <w:t xml:space="preserve"> </w:t>
      </w:r>
      <w:r w:rsidRPr="00727CEB">
        <w:t>— предшественница Тобольской семинарии.</w:t>
      </w:r>
      <w:r>
        <w:t xml:space="preserve"> </w:t>
      </w:r>
      <w:r w:rsidRPr="00727CEB">
        <w:t>— «Иркутские епархиальные ведомости», 1875. №</w:t>
      </w:r>
      <w:r>
        <w:t xml:space="preserve"> </w:t>
      </w:r>
      <w:r w:rsidRPr="00727CEB">
        <w:t xml:space="preserve">3–7,10.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РГАДА. Ф. 214. Кн. 1350. Лл. 500–501.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Сулоцкий А.</w:t>
      </w:r>
      <w:r>
        <w:t xml:space="preserve"> </w:t>
      </w:r>
      <w:r w:rsidRPr="00727CEB">
        <w:t>И.</w:t>
      </w:r>
      <w:r>
        <w:t xml:space="preserve"> </w:t>
      </w:r>
      <w:r w:rsidRPr="00727CEB">
        <w:t>Тюмень 2000. Сочинения в</w:t>
      </w:r>
      <w:r>
        <w:t xml:space="preserve"> </w:t>
      </w:r>
      <w:r w:rsidRPr="00727CEB">
        <w:t>трех томах. Т. 2. С.</w:t>
      </w:r>
      <w:r>
        <w:t xml:space="preserve"> </w:t>
      </w:r>
      <w:r w:rsidRPr="00727CEB">
        <w:t xml:space="preserve">32;.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Юрцовский Н.</w:t>
      </w:r>
      <w:r>
        <w:t xml:space="preserve"> </w:t>
      </w:r>
      <w:r w:rsidRPr="00727CEB">
        <w:t>С.</w:t>
      </w:r>
      <w:r>
        <w:t xml:space="preserve"> </w:t>
      </w:r>
      <w:r w:rsidRPr="00727CEB">
        <w:t>Очерки по истории просвещения в</w:t>
      </w:r>
      <w:r>
        <w:t xml:space="preserve"> </w:t>
      </w:r>
      <w:r w:rsidRPr="00727CEB">
        <w:t>Сибири. Новониколаевск, 1923. С.</w:t>
      </w:r>
      <w:r>
        <w:t xml:space="preserve"> </w:t>
      </w:r>
      <w:r w:rsidRPr="00727CEB">
        <w:t xml:space="preserve">10.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Судницын А. Тобольская архиерейская славяно-русская школа // Тобольские Епархиальные Ведомости 1894. №</w:t>
      </w:r>
      <w:r>
        <w:t xml:space="preserve"> </w:t>
      </w:r>
      <w:r w:rsidRPr="00727CEB">
        <w:t>13. С.</w:t>
      </w:r>
      <w:r>
        <w:t xml:space="preserve"> </w:t>
      </w:r>
      <w:r w:rsidRPr="00727CEB">
        <w:t xml:space="preserve">210.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Сулоцкий А.</w:t>
      </w:r>
      <w:r>
        <w:t xml:space="preserve"> </w:t>
      </w:r>
      <w:r w:rsidRPr="00727CEB">
        <w:t>И.</w:t>
      </w:r>
      <w:r>
        <w:t xml:space="preserve"> </w:t>
      </w:r>
      <w:r w:rsidRPr="00727CEB">
        <w:t>Сочинения в</w:t>
      </w:r>
      <w:r>
        <w:t xml:space="preserve"> </w:t>
      </w:r>
      <w:r w:rsidRPr="00727CEB">
        <w:t>трех томах. Т. 1. Тюмень, 2000. С.</w:t>
      </w:r>
      <w:r>
        <w:t xml:space="preserve"> </w:t>
      </w:r>
      <w:r w:rsidRPr="00727CEB">
        <w:t xml:space="preserve">452.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Судницын А. Указ. соч. С.</w:t>
      </w:r>
      <w:r>
        <w:t xml:space="preserve"> </w:t>
      </w:r>
      <w:r w:rsidRPr="00727CEB">
        <w:t>214; Знаменский. Указ. соч. С.</w:t>
      </w:r>
      <w:r>
        <w:t xml:space="preserve"> </w:t>
      </w:r>
      <w:r w:rsidRPr="00727CEB">
        <w:t xml:space="preserve">151.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Знаменский. Указ. Соч. С.</w:t>
      </w:r>
      <w:r>
        <w:t xml:space="preserve"> </w:t>
      </w:r>
      <w:r w:rsidRPr="00727CEB">
        <w:t xml:space="preserve">314.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Цветаев</w:t>
      </w:r>
      <w:r>
        <w:t xml:space="preserve"> </w:t>
      </w:r>
      <w:r w:rsidRPr="00727CEB">
        <w:t>Г.</w:t>
      </w:r>
      <w:r>
        <w:t xml:space="preserve"> </w:t>
      </w:r>
      <w:r w:rsidRPr="00727CEB">
        <w:t>А., Замахаев С.</w:t>
      </w:r>
      <w:r>
        <w:t xml:space="preserve">  </w:t>
      </w:r>
      <w:r w:rsidRPr="00727CEB">
        <w:t>Н.</w:t>
      </w:r>
      <w:r>
        <w:t xml:space="preserve"> </w:t>
      </w:r>
      <w:r w:rsidRPr="00727CEB">
        <w:t>Историческая записка о</w:t>
      </w:r>
      <w:r>
        <w:t xml:space="preserve"> </w:t>
      </w:r>
      <w:r w:rsidRPr="00727CEB">
        <w:t>состоянии Тобольской гимназии за 100</w:t>
      </w:r>
      <w:r>
        <w:t xml:space="preserve"> </w:t>
      </w:r>
      <w:r w:rsidRPr="00727CEB">
        <w:t xml:space="preserve">Лет ее существования. 1789–1889. Тобольск, 1889.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Копылов А.</w:t>
      </w:r>
      <w:r>
        <w:t xml:space="preserve"> </w:t>
      </w:r>
      <w:r w:rsidRPr="00727CEB">
        <w:t>Н.</w:t>
      </w:r>
      <w:r>
        <w:t xml:space="preserve"> </w:t>
      </w:r>
      <w:r w:rsidRPr="00727CEB">
        <w:t>Очерки по культурной жизни Сибири XVII</w:t>
      </w:r>
      <w:r>
        <w:t xml:space="preserve"> </w:t>
      </w:r>
      <w:r w:rsidRPr="00727CEB">
        <w:t>— начала XIX</w:t>
      </w:r>
      <w:r>
        <w:t xml:space="preserve"> </w:t>
      </w:r>
      <w:r w:rsidRPr="00727CEB">
        <w:t xml:space="preserve">в.Новосибирск, 1974.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Чернышов А.</w:t>
      </w:r>
      <w:r>
        <w:t xml:space="preserve"> </w:t>
      </w:r>
      <w:r w:rsidRPr="00727CEB">
        <w:t>В.</w:t>
      </w:r>
      <w:r>
        <w:t xml:space="preserve"> </w:t>
      </w:r>
      <w:r w:rsidRPr="00727CEB">
        <w:t>Тобольская духовная семинария</w:t>
      </w:r>
      <w:r>
        <w:t xml:space="preserve"> </w:t>
      </w:r>
      <w:r w:rsidRPr="00727CEB">
        <w:t xml:space="preserve">— кузница священно-церковно-служительских кадров Сибири (1743–1993): Аннотированный указатель Литературы. Тюмень, 1993.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Милюков П.</w:t>
      </w:r>
      <w:r>
        <w:t xml:space="preserve"> </w:t>
      </w:r>
      <w:r w:rsidRPr="00727CEB">
        <w:t>Н.</w:t>
      </w:r>
      <w:r>
        <w:t xml:space="preserve"> </w:t>
      </w:r>
      <w:r w:rsidRPr="00727CEB">
        <w:t>Очерки по истории русской культуры. Т. 2. М., 1994. С.</w:t>
      </w:r>
      <w:r>
        <w:t xml:space="preserve"> </w:t>
      </w:r>
      <w:r w:rsidRPr="00727CEB">
        <w:t xml:space="preserve">252.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1. Д. 79. Л. 15.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ТФ ГАТО. Ф. 156. Оп. 1. Д. 79. Л. 19</w:t>
      </w:r>
      <w:r>
        <w:t xml:space="preserve"> </w:t>
      </w:r>
      <w:r w:rsidRPr="00727CEB">
        <w:t xml:space="preserve">(об.).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1. Д. 79. Л. 20.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Абрамов Н.</w:t>
      </w:r>
      <w:r>
        <w:t xml:space="preserve"> </w:t>
      </w:r>
      <w:r w:rsidRPr="00727CEB">
        <w:t>А.</w:t>
      </w:r>
      <w:r>
        <w:t xml:space="preserve"> </w:t>
      </w:r>
      <w:r w:rsidRPr="00727CEB">
        <w:t>Город Тюмень: Из истории Тобольской епархии. Тюмень, 1998. С.</w:t>
      </w:r>
      <w:r>
        <w:t xml:space="preserve"> </w:t>
      </w:r>
      <w:r w:rsidRPr="00727CEB">
        <w:t xml:space="preserve">259.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Копылов А.</w:t>
      </w:r>
      <w:r>
        <w:t xml:space="preserve"> </w:t>
      </w:r>
      <w:r w:rsidRPr="00727CEB">
        <w:t>Н.</w:t>
      </w:r>
      <w:r>
        <w:t xml:space="preserve"> </w:t>
      </w:r>
      <w:r w:rsidRPr="00727CEB">
        <w:t>Указ. соч. С.</w:t>
      </w:r>
      <w:r>
        <w:t xml:space="preserve"> </w:t>
      </w:r>
      <w:r w:rsidRPr="00727CEB">
        <w:t xml:space="preserve">53.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Недосеков А. Антоний II Нарожницкий, митрополит Тобольский и</w:t>
      </w:r>
      <w:r>
        <w:t xml:space="preserve"> </w:t>
      </w:r>
      <w:r w:rsidRPr="00727CEB">
        <w:t>Сибирский//ТЕВ. 1892. №</w:t>
      </w:r>
      <w:r>
        <w:t xml:space="preserve"> </w:t>
      </w:r>
      <w:r w:rsidRPr="00727CEB">
        <w:t>15–16. С.</w:t>
      </w:r>
      <w:r>
        <w:t xml:space="preserve"> </w:t>
      </w:r>
      <w:r w:rsidRPr="00727CEB">
        <w:t xml:space="preserve">331.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Пекарский П.</w:t>
      </w:r>
      <w:r>
        <w:t xml:space="preserve"> </w:t>
      </w:r>
      <w:r w:rsidRPr="00727CEB">
        <w:t>П.</w:t>
      </w:r>
      <w:r>
        <w:t xml:space="preserve"> </w:t>
      </w:r>
      <w:r w:rsidRPr="00727CEB">
        <w:t>Наука и</w:t>
      </w:r>
      <w:r>
        <w:t xml:space="preserve"> </w:t>
      </w:r>
      <w:r w:rsidRPr="00727CEB">
        <w:t>Литература в</w:t>
      </w:r>
      <w:r>
        <w:t xml:space="preserve"> </w:t>
      </w:r>
      <w:r w:rsidRPr="00727CEB">
        <w:t>России при Петре Великом. СПб., 1862. С.</w:t>
      </w:r>
      <w:r>
        <w:t xml:space="preserve"> </w:t>
      </w:r>
      <w:r w:rsidRPr="00727CEB">
        <w:t xml:space="preserve">108, 120.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Сулоцкий А.</w:t>
      </w:r>
      <w:r>
        <w:t xml:space="preserve"> </w:t>
      </w:r>
      <w:r w:rsidRPr="00727CEB">
        <w:t>И.</w:t>
      </w:r>
      <w:r>
        <w:t xml:space="preserve"> </w:t>
      </w:r>
      <w:r w:rsidRPr="00727CEB">
        <w:t>Указ. соч. //Библиотеки. Т. 1. Тюмень, 2000. С.</w:t>
      </w:r>
      <w:r>
        <w:t xml:space="preserve"> </w:t>
      </w:r>
      <w:r w:rsidRPr="00727CEB">
        <w:t xml:space="preserve">362.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3. Д. 2069. Л. 1.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Макарий (Булгаков). История Киевской академии. СПб., 1843. С.</w:t>
      </w:r>
      <w:r>
        <w:t xml:space="preserve"> </w:t>
      </w:r>
      <w:r w:rsidRPr="00727CEB">
        <w:t xml:space="preserve">58.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1. Д. 1087. Л. 29.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1. Д. 1087. Л. 3.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ПСЗ.</w:t>
      </w:r>
      <w:r>
        <w:t xml:space="preserve"> </w:t>
      </w:r>
      <w:r w:rsidRPr="00727CEB">
        <w:t>Т.</w:t>
      </w:r>
      <w:r>
        <w:t xml:space="preserve"> </w:t>
      </w:r>
      <w:r w:rsidRPr="00727CEB">
        <w:t>XIII. С.</w:t>
      </w:r>
      <w:r>
        <w:t xml:space="preserve"> </w:t>
      </w:r>
      <w:r w:rsidRPr="00727CEB">
        <w:t xml:space="preserve">888–890.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 xml:space="preserve">ТФ ГАТО. Ф. 156. Оп. 1. Д. 2890. </w:t>
      </w:r>
    </w:p>
    <w:p w:rsidR="00FF25C4" w:rsidRPr="00727CEB" w:rsidRDefault="00FF25C4" w:rsidP="00FF25C4">
      <w:pPr>
        <w:spacing w:before="120"/>
        <w:ind w:firstLine="567"/>
        <w:jc w:val="both"/>
      </w:pPr>
      <w:r w:rsidRPr="00727CEB">
        <w:t>РГАДА. Ф. 214. Кн. 1350. Лл. 500–501; Ф. 214. Оп. 5. №</w:t>
      </w:r>
      <w:r>
        <w:t xml:space="preserve"> </w:t>
      </w:r>
      <w:r w:rsidRPr="00727CEB">
        <w:t xml:space="preserve">608. Лл. 1–2.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5FC4"/>
    <w:multiLevelType w:val="multilevel"/>
    <w:tmpl w:val="7E4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40480"/>
    <w:multiLevelType w:val="multilevel"/>
    <w:tmpl w:val="AB44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E5C"/>
    <w:multiLevelType w:val="multilevel"/>
    <w:tmpl w:val="F866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0509B"/>
    <w:multiLevelType w:val="multilevel"/>
    <w:tmpl w:val="0248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A701A"/>
    <w:multiLevelType w:val="multilevel"/>
    <w:tmpl w:val="D3FE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60FD8"/>
    <w:multiLevelType w:val="multilevel"/>
    <w:tmpl w:val="0DA0F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A7AAA"/>
    <w:multiLevelType w:val="multilevel"/>
    <w:tmpl w:val="4872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513E8"/>
    <w:multiLevelType w:val="multilevel"/>
    <w:tmpl w:val="E20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F5963"/>
    <w:multiLevelType w:val="multilevel"/>
    <w:tmpl w:val="4A96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B4E1B"/>
    <w:multiLevelType w:val="multilevel"/>
    <w:tmpl w:val="4B84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62B18"/>
    <w:multiLevelType w:val="multilevel"/>
    <w:tmpl w:val="E98A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A8214C"/>
    <w:multiLevelType w:val="multilevel"/>
    <w:tmpl w:val="2F7A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5C4"/>
    <w:rsid w:val="000842D9"/>
    <w:rsid w:val="00162BCB"/>
    <w:rsid w:val="0031135D"/>
    <w:rsid w:val="003F3287"/>
    <w:rsid w:val="004915ED"/>
    <w:rsid w:val="005165C2"/>
    <w:rsid w:val="00727CEB"/>
    <w:rsid w:val="00BB0DE0"/>
    <w:rsid w:val="00C860FA"/>
    <w:rsid w:val="00D873CB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CB5534-E796-4792-BA27-97F05C3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C4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FF25C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F25C4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FF25C4"/>
    <w:pPr>
      <w:ind w:firstLine="386"/>
      <w:jc w:val="both"/>
    </w:pPr>
    <w:rPr>
      <w:color w:val="000000"/>
      <w:sz w:val="22"/>
      <w:szCs w:val="22"/>
    </w:rPr>
  </w:style>
  <w:style w:type="character" w:styleId="a5">
    <w:name w:val="Emphasis"/>
    <w:uiPriority w:val="99"/>
    <w:qFormat/>
    <w:rsid w:val="00FF2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духовной школы Сибири </vt:lpstr>
    </vt:vector>
  </TitlesOfParts>
  <Company>Home</Company>
  <LinksUpToDate>false</LinksUpToDate>
  <CharactersWithSpaces>30504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духовной школы Сибири </dc:title>
  <dc:subject/>
  <dc:creator>User</dc:creator>
  <cp:keywords/>
  <dc:description/>
  <cp:lastModifiedBy>admin</cp:lastModifiedBy>
  <cp:revision>2</cp:revision>
  <dcterms:created xsi:type="dcterms:W3CDTF">2014-02-15T14:43:00Z</dcterms:created>
  <dcterms:modified xsi:type="dcterms:W3CDTF">2014-02-15T14:43:00Z</dcterms:modified>
</cp:coreProperties>
</file>