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C5D" w:rsidRDefault="00151C5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Группа: 4 – 10 – 98 БУБ</w:t>
      </w:r>
    </w:p>
    <w:p w:rsidR="00151C5D" w:rsidRDefault="00151C5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студент:    Заболотный</w:t>
      </w:r>
    </w:p>
    <w:p w:rsidR="00151C5D" w:rsidRDefault="00151C5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Александр   Эдуардович</w:t>
      </w:r>
    </w:p>
    <w:p w:rsidR="00151C5D" w:rsidRDefault="00151C5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адрес:   г. Запорожье,</w:t>
      </w:r>
    </w:p>
    <w:p w:rsidR="00151C5D" w:rsidRDefault="00151C5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ул. Мира,  д. 10, кв. 18</w:t>
      </w:r>
    </w:p>
    <w:p w:rsidR="00151C5D" w:rsidRDefault="00151C5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                          телефон: 33 – 16 – 77</w:t>
      </w:r>
    </w:p>
    <w:p w:rsidR="00151C5D" w:rsidRDefault="00151C5D">
      <w:pPr>
        <w:spacing w:line="360" w:lineRule="auto"/>
        <w:jc w:val="both"/>
        <w:rPr>
          <w:sz w:val="28"/>
        </w:rPr>
      </w:pPr>
    </w:p>
    <w:p w:rsidR="00151C5D" w:rsidRDefault="00151C5D">
      <w:pPr>
        <w:spacing w:line="360" w:lineRule="auto"/>
        <w:jc w:val="both"/>
        <w:rPr>
          <w:sz w:val="28"/>
        </w:rPr>
      </w:pPr>
    </w:p>
    <w:p w:rsidR="00151C5D" w:rsidRDefault="00151C5D">
      <w:pPr>
        <w:spacing w:line="360" w:lineRule="auto"/>
        <w:jc w:val="both"/>
        <w:rPr>
          <w:sz w:val="28"/>
        </w:rPr>
      </w:pPr>
    </w:p>
    <w:p w:rsidR="00151C5D" w:rsidRDefault="00151C5D">
      <w:pPr>
        <w:spacing w:line="360" w:lineRule="auto"/>
        <w:jc w:val="both"/>
        <w:rPr>
          <w:sz w:val="28"/>
        </w:rPr>
      </w:pPr>
    </w:p>
    <w:p w:rsidR="00151C5D" w:rsidRDefault="00151C5D">
      <w:pPr>
        <w:spacing w:line="360" w:lineRule="auto"/>
        <w:jc w:val="both"/>
        <w:rPr>
          <w:sz w:val="28"/>
        </w:rPr>
      </w:pPr>
    </w:p>
    <w:p w:rsidR="00151C5D" w:rsidRDefault="00151C5D">
      <w:pPr>
        <w:spacing w:line="360" w:lineRule="auto"/>
        <w:jc w:val="both"/>
        <w:rPr>
          <w:b/>
          <w:sz w:val="32"/>
        </w:rPr>
      </w:pPr>
      <w:r>
        <w:rPr>
          <w:sz w:val="28"/>
        </w:rPr>
        <w:t xml:space="preserve">                       </w:t>
      </w:r>
      <w:r>
        <w:rPr>
          <w:b/>
          <w:sz w:val="32"/>
        </w:rPr>
        <w:t>КОНТРОЛЬНАЯ  РАБОТА</w:t>
      </w:r>
    </w:p>
    <w:p w:rsidR="00151C5D" w:rsidRDefault="00151C5D">
      <w:pPr>
        <w:spacing w:line="360" w:lineRule="auto"/>
        <w:jc w:val="both"/>
        <w:rPr>
          <w:b/>
          <w:sz w:val="32"/>
        </w:rPr>
      </w:pPr>
    </w:p>
    <w:p w:rsidR="00151C5D" w:rsidRDefault="00151C5D">
      <w:pPr>
        <w:spacing w:line="360" w:lineRule="auto"/>
        <w:jc w:val="both"/>
        <w:rPr>
          <w:b/>
          <w:sz w:val="32"/>
        </w:rPr>
      </w:pPr>
    </w:p>
    <w:p w:rsidR="00151C5D" w:rsidRDefault="00151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по дисциплине:  страхование</w:t>
      </w:r>
    </w:p>
    <w:p w:rsidR="00151C5D" w:rsidRDefault="00151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факультет: дистанционное обучение</w:t>
      </w:r>
    </w:p>
    <w:p w:rsidR="00151C5D" w:rsidRDefault="00151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специальность:     БУБ</w:t>
      </w:r>
    </w:p>
    <w:p w:rsidR="00151C5D" w:rsidRDefault="00151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отделение:       бакалаврат</w:t>
      </w:r>
    </w:p>
    <w:p w:rsidR="00151C5D" w:rsidRDefault="00151C5D">
      <w:pPr>
        <w:spacing w:line="360" w:lineRule="auto"/>
        <w:ind w:firstLine="720"/>
        <w:jc w:val="both"/>
        <w:rPr>
          <w:sz w:val="28"/>
        </w:rPr>
      </w:pPr>
    </w:p>
    <w:p w:rsidR="00151C5D" w:rsidRDefault="00151C5D">
      <w:pPr>
        <w:spacing w:line="360" w:lineRule="auto"/>
        <w:ind w:firstLine="720"/>
        <w:jc w:val="both"/>
        <w:rPr>
          <w:sz w:val="28"/>
        </w:rPr>
      </w:pPr>
    </w:p>
    <w:p w:rsidR="00151C5D" w:rsidRDefault="00151C5D">
      <w:pPr>
        <w:spacing w:line="360" w:lineRule="auto"/>
        <w:ind w:firstLine="720"/>
        <w:jc w:val="both"/>
        <w:rPr>
          <w:sz w:val="28"/>
        </w:rPr>
      </w:pPr>
    </w:p>
    <w:p w:rsidR="00151C5D" w:rsidRDefault="00151C5D">
      <w:pPr>
        <w:spacing w:line="360" w:lineRule="auto"/>
        <w:ind w:firstLine="720"/>
        <w:jc w:val="both"/>
        <w:rPr>
          <w:sz w:val="28"/>
        </w:rPr>
      </w:pPr>
    </w:p>
    <w:p w:rsidR="00151C5D" w:rsidRDefault="00151C5D">
      <w:pPr>
        <w:spacing w:line="360" w:lineRule="auto"/>
        <w:ind w:firstLine="720"/>
        <w:jc w:val="both"/>
        <w:rPr>
          <w:sz w:val="28"/>
        </w:rPr>
      </w:pPr>
    </w:p>
    <w:p w:rsidR="00151C5D" w:rsidRDefault="00151C5D">
      <w:pPr>
        <w:spacing w:line="360" w:lineRule="auto"/>
        <w:ind w:firstLine="720"/>
        <w:jc w:val="both"/>
        <w:rPr>
          <w:sz w:val="28"/>
        </w:rPr>
      </w:pPr>
    </w:p>
    <w:p w:rsidR="00151C5D" w:rsidRDefault="00151C5D">
      <w:pPr>
        <w:spacing w:line="360" w:lineRule="auto"/>
        <w:ind w:firstLine="720"/>
        <w:jc w:val="both"/>
        <w:rPr>
          <w:sz w:val="28"/>
        </w:rPr>
      </w:pPr>
    </w:p>
    <w:p w:rsidR="00151C5D" w:rsidRDefault="00151C5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     Преподаватель консультант:</w:t>
      </w:r>
    </w:p>
    <w:p w:rsidR="00151C5D" w:rsidRDefault="00151C5D">
      <w:pPr>
        <w:spacing w:line="360" w:lineRule="auto"/>
        <w:jc w:val="both"/>
        <w:rPr>
          <w:sz w:val="28"/>
        </w:rPr>
      </w:pPr>
    </w:p>
    <w:p w:rsidR="00151C5D" w:rsidRDefault="00151C5D">
      <w:pPr>
        <w:spacing w:line="360" w:lineRule="auto"/>
        <w:jc w:val="both"/>
        <w:rPr>
          <w:sz w:val="28"/>
        </w:rPr>
      </w:pPr>
    </w:p>
    <w:p w:rsidR="00151C5D" w:rsidRDefault="00151C5D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               МАУП                   2000.</w:t>
      </w:r>
    </w:p>
    <w:p w:rsidR="00151C5D" w:rsidRDefault="00151C5D">
      <w:pPr>
        <w:pStyle w:val="1"/>
        <w:numPr>
          <w:ilvl w:val="0"/>
          <w:numId w:val="5"/>
        </w:numPr>
        <w:jc w:val="both"/>
        <w:rPr>
          <w:b w:val="0"/>
        </w:rPr>
      </w:pPr>
      <w:r>
        <w:rPr>
          <w:b w:val="0"/>
        </w:rPr>
        <w:t>Принцип страхового интереса и его связь с объектом страхования.</w:t>
      </w:r>
    </w:p>
    <w:p w:rsidR="00151C5D" w:rsidRDefault="00151C5D">
      <w:pPr>
        <w:pStyle w:val="1"/>
        <w:numPr>
          <w:ilvl w:val="0"/>
          <w:numId w:val="5"/>
        </w:numPr>
        <w:rPr>
          <w:b w:val="0"/>
        </w:rPr>
      </w:pPr>
      <w:r>
        <w:rPr>
          <w:b w:val="0"/>
        </w:rPr>
        <w:t>Страховые резервы, их виды и назначение.</w:t>
      </w:r>
    </w:p>
    <w:p w:rsidR="00151C5D" w:rsidRDefault="00151C5D">
      <w:pPr>
        <w:pStyle w:val="1"/>
        <w:numPr>
          <w:ilvl w:val="0"/>
          <w:numId w:val="5"/>
        </w:numPr>
        <w:rPr>
          <w:b w:val="0"/>
        </w:rPr>
      </w:pPr>
      <w:r>
        <w:rPr>
          <w:b w:val="0"/>
        </w:rPr>
        <w:t>Способы управления страховыми рисками.</w:t>
      </w:r>
    </w:p>
    <w:p w:rsidR="00151C5D" w:rsidRDefault="00151C5D">
      <w:pPr>
        <w:widowControl w:val="0"/>
        <w:spacing w:line="360" w:lineRule="auto"/>
        <w:jc w:val="both"/>
      </w:pPr>
    </w:p>
    <w:p w:rsidR="00151C5D" w:rsidRDefault="00151C5D">
      <w:pPr>
        <w:widowControl w:val="0"/>
        <w:spacing w:line="360" w:lineRule="auto"/>
        <w:jc w:val="both"/>
      </w:pPr>
    </w:p>
    <w:p w:rsidR="00151C5D" w:rsidRDefault="00151C5D">
      <w:pPr>
        <w:widowControl w:val="0"/>
        <w:spacing w:line="360" w:lineRule="auto"/>
        <w:jc w:val="both"/>
      </w:pPr>
    </w:p>
    <w:p w:rsidR="00151C5D" w:rsidRDefault="00151C5D">
      <w:pPr>
        <w:widowControl w:val="0"/>
        <w:spacing w:line="360" w:lineRule="auto"/>
        <w:jc w:val="both"/>
      </w:pPr>
    </w:p>
    <w:p w:rsidR="00151C5D" w:rsidRDefault="00151C5D">
      <w:pPr>
        <w:pStyle w:val="1"/>
        <w:numPr>
          <w:ilvl w:val="0"/>
          <w:numId w:val="1"/>
        </w:numPr>
        <w:spacing w:after="120"/>
        <w:ind w:left="374" w:hanging="374"/>
        <w:jc w:val="both"/>
      </w:pPr>
      <w:r>
        <w:t>Принцип страхового интереса и его связь с объектом страхования.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b/>
        </w:rPr>
        <w:t>Объект страхования</w:t>
      </w:r>
      <w:r>
        <w:t xml:space="preserve"> является необходимым элементом страхового правоотношения, как и любого гражданского правоотношения, поскольку объект – то, по поводу чего возникает и осуществляется деятельность субъектов договора, и то, что является предметом договорных отношений.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b/>
        </w:rPr>
        <w:t>Страховой интерес</w:t>
      </w:r>
      <w:r>
        <w:t xml:space="preserve"> – это законный имущественный интерес, который присутствует у страхователя в отношении определенного объекта страхования и является непосредственной основой для определения предмета договора страхования.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Проблема взаимоотношения страхового интереса и объекта страхования на протяжении многих лет носит дискуссионный характер.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В ст. 4 Закона Украины «О страховании» нашла отражение теория страхового интереса как объекта страхования. Объектом страховых правоотношений, или объектом страхования в Украине является законный имущественный интерес страхователя (застрахованного), не противоречащий законам данного государства, с которым этот интерес связан и на территории которого производится страхование.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Этот имущественный интерес должен прямо и непосредственно определять предмет договора страхования и может быть связан: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с жизнью, здоровьем, трудоспособностью и пенсионным обеспечением физического лица – страхователя или застрахованного лица;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 xml:space="preserve"> с владением, пользованием и распоряжением страхователем каким-либо имуществом;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с возмещением страхователем нанесённого им вреда личности или имуществу любого лица или вреда, нанесённого юридическому лицу.</w:t>
      </w:r>
    </w:p>
    <w:p w:rsidR="00151C5D" w:rsidRDefault="00151C5D">
      <w:pPr>
        <w:pStyle w:val="a6"/>
      </w:pPr>
      <w:r>
        <w:t>Следовательно, объектом страхования не может быть лицо, результаты или процесс его деятельности либо его имущество. Это очевидно, так как договор страхования  заключается с целью получения определённой денежной суммы, то и интерес страхователя должен сводиться к праву на получение такой суммы при определенных условиях, которые определяются  фактом наступления страхового случая.</w:t>
      </w:r>
    </w:p>
    <w:p w:rsidR="00151C5D" w:rsidRDefault="00151C5D">
      <w:pPr>
        <w:pStyle w:val="a6"/>
      </w:pPr>
      <w:r>
        <w:t>Наличие законного страхового интереса является необходимым условием для создания страхового обязательства.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Согласно принципу страхового интереса страхователь должен иметь законный имущественный (финансовый) интерес к конкретному объекту, который подлежит страхованию, на основании которого он может получить пользу в виде материальной защищённости от потери жизни, здоровья, трудоспособности либо сохранности объёма своих материальных средств, либо освобождения его от возникшего долга или от материальной ответственности за вред иным лицам в виде последствий его деятельности (бездеятельности).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Этот принцип указывает, что договор страхования предусматривает возмещение конкретных убытков, которые нанесены конкретному лицу. Если выяснится, что страхователь не имел имущественного интереса – не был собственником, арендатором, пользователем погибшего имущества – значит, он не может понести убытки и, следовательно, не может выступать страхователем. В таком случае договор страхования признается недействительным, или ничтожным.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Споры по этому базисному принципу в страховании возникают постоянно. Приведём пример из морского страхования, где спор возникает, как правило, между судовладельцем и фрахтователем. В зависимости от формулировки условий чартера у фрахтователя возникает или не возникает имущественный интерес в судне, вытекающий из возлагаемого на него обязательства застраховать судно от тех или иных рисков.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Следующая пара для спора – банкир и судовладелец, взявший кредит. Банкир заинтересован в сохранности судна, так как если оно не будет плавать и перевозить грузы, то судовладелец не выплатит банку кредитный долг. Возникает имущественный интерес банка, и потому по условиям большинства кредитных соглашений банкир требует застраховать судно.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 xml:space="preserve">Таким образом, </w:t>
      </w:r>
      <w:r>
        <w:rPr>
          <w:b/>
        </w:rPr>
        <w:t>объект страхования – это субъективный интерес.</w:t>
      </w:r>
      <w:r>
        <w:t xml:space="preserve"> Страховой интерес можно квалифицировать как интерес конкретного лица (гражданина или юридического лица), связанный с правом собственности, иными вещными правами, личными неимущественными правами и обязательственными правами. Имущественный интерес имеет персонифицированность, принадлежность лицу, имеющему и выражающему такой интерес. Для страхования эта взаимосвязь может быть рассмотрена и с другой точки зрения: только носитель, лицо, обладающее имущественным интересом, может являться стороной в обязательстве по страхованию.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Страховой интерес всегда представляет своего носителя (обладателя) в страховом правоотношении и потому указывается при создании страхового обязательства.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i/>
        </w:rPr>
        <w:t>Страховой интерес должен носить имущественный характер.</w:t>
      </w:r>
      <w:r>
        <w:t xml:space="preserve"> Это прямо определено в ст. 4 Закона Украины «О страховании».</w:t>
      </w:r>
    </w:p>
    <w:p w:rsidR="00151C5D" w:rsidRDefault="00151C5D">
      <w:pPr>
        <w:pStyle w:val="1"/>
      </w:pPr>
      <w:r>
        <w:t>2. Страховые резервы, их виды и назначение.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Важнейшей особенностью финансово-хозяйственной деятельности страховщиков является  формирование страховых резервов для обеспечения финансовой устойчивости и выполнения обязательств перед клиентами. Они отражают величину обязательств страховщика перед страхователями по заключенным договорам страхования, но не исполненных на данный момент времени. Средства страховых резервов используются для выплат страховых сумм и страховых возмещений в тех случаях, когда для обеспечения выплат страхователям не хватает текущих поступлений страховых премий.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Согласно законодательству украинские страховые компании формируют два различных вида страховых резервов: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резервы по рисковым видам страхования;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резервы по страхованию жизни и накопительному страхованию.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 xml:space="preserve">Такое разграничение резервов связано с общемировой практикой разделения страхового бизнеса на </w:t>
      </w:r>
      <w:r>
        <w:rPr>
          <w:b/>
        </w:rPr>
        <w:t>общее страхование</w:t>
      </w:r>
      <w:r>
        <w:t xml:space="preserve"> (которое у нас принято называть «рисковым») и </w:t>
      </w:r>
      <w:r>
        <w:rPr>
          <w:b/>
        </w:rPr>
        <w:t>страхование жизни</w:t>
      </w:r>
      <w:r>
        <w:t xml:space="preserve">. Так, по страхованию жизни в силу его особенностей и специфики формируются так называемые </w:t>
      </w:r>
      <w:r>
        <w:rPr>
          <w:i/>
        </w:rPr>
        <w:t>математические резервы</w:t>
      </w:r>
      <w:r>
        <w:t xml:space="preserve">. По рисковым видам страхования (иным, чем страхование жизни) формируются </w:t>
      </w:r>
      <w:r>
        <w:rPr>
          <w:i/>
        </w:rPr>
        <w:t>технические резервы</w:t>
      </w:r>
      <w:r>
        <w:t>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Страховые резервы создаются в той валюте, в которой страховщики несут ответственность по своим страховым обязательствам.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Резервы по страхованию жизни, медицинскому страхованию и обязательным видам страхования формируются отдельно от резервов для других видов страхования.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 xml:space="preserve">Страховые резервы предназначены исключительно для обеспечения выплат страховых сумм и страхового возмещения по заключенным договорам страхования. </w:t>
      </w:r>
      <w:r>
        <w:rPr>
          <w:b/>
        </w:rPr>
        <w:t>Запрещается</w:t>
      </w:r>
      <w:r>
        <w:t xml:space="preserve"> осуществлять выплаты по рисковым видам страхования за счет резервов по страхованию жизни и медицинскому страхованию, а также использовать страховые резервы для каких-либо иных целей, кроме как страховых выплат.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 xml:space="preserve">В мировой практике страхового бизнеса принято также создавать </w:t>
      </w:r>
      <w:r>
        <w:rPr>
          <w:b/>
        </w:rPr>
        <w:t>резерв предупредительных мероприятий</w:t>
      </w:r>
      <w:r>
        <w:t xml:space="preserve"> (РПМ), который предназначен для финансирования мероприятий по предупреждению несчастных случаев, случаев утраты или повреждения застрахованного имущества, а также на другие цели, предусмотренные страховщиком и не противоречащие действующему законодательству. Резерв предупредительных мероприятий формируется путем отчислений от страховой премии, поступившей по договорам страхования в отчетном периоде.</w:t>
      </w:r>
    </w:p>
    <w:p w:rsidR="00151C5D" w:rsidRDefault="00151C5D">
      <w:pPr>
        <w:pStyle w:val="1"/>
        <w:rPr>
          <w:sz w:val="24"/>
        </w:rPr>
      </w:pPr>
      <w:r>
        <w:rPr>
          <w:sz w:val="24"/>
        </w:rPr>
        <w:t>Технические резервы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 xml:space="preserve">Согласно ст. 30 Закона Украины «О страховании» и Положению о формировании резервов по рисковым видам страхования </w:t>
      </w:r>
      <w:r>
        <w:rPr>
          <w:lang w:val="en-US"/>
        </w:rPr>
        <w:t>[2]</w:t>
      </w:r>
      <w:r>
        <w:t>, все страховщики обязаны формировать и вести учет следующих технических резервов по рисковым видам страхования: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rPr>
          <w:i/>
        </w:rPr>
        <w:t>резервы премий</w:t>
      </w:r>
      <w:r>
        <w:t xml:space="preserve"> (резервы незаработанных премий) по договорам страхования, срок которых не истек на отчетную дату;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rPr>
          <w:i/>
        </w:rPr>
        <w:t>резервы убытков</w:t>
      </w:r>
      <w:r>
        <w:t xml:space="preserve"> (зарезервированные невыплаченные суммы страхового возмещения по заявленным требованиям страхователей).</w:t>
      </w:r>
    </w:p>
    <w:p w:rsidR="00151C5D" w:rsidRDefault="00151C5D">
      <w:pPr>
        <w:pStyle w:val="a6"/>
      </w:pPr>
      <w:r>
        <w:rPr>
          <w:b/>
        </w:rPr>
        <w:t>Резерв премий</w:t>
      </w:r>
      <w:r>
        <w:t xml:space="preserve"> состоит из: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резерва незаработанной премии;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дополнительного резерва неистекших рисков;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резерва катастроф;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резерва колебаний убыточности.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 xml:space="preserve">Под незаработанной премией понимается часть страховой премии, поступившей по договорам страхования, действовавшим в отчетном периоде, и относящейся к периоду действия договоров страхования, выходящих за рамки отчетного периода. Сумма незаработанной премии – это страховой резерв, который предназначен для выплаты страхователям страхового возмещения или страховых сумм в будущем, и который называется </w:t>
      </w:r>
      <w:r>
        <w:rPr>
          <w:u w:val="single"/>
        </w:rPr>
        <w:t>резервом незаработанной</w:t>
      </w:r>
      <w:r>
        <w:t xml:space="preserve"> </w:t>
      </w:r>
      <w:r>
        <w:rPr>
          <w:u w:val="single"/>
        </w:rPr>
        <w:t>премии</w:t>
      </w:r>
      <w:r>
        <w:t xml:space="preserve"> (РНП).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u w:val="single"/>
        </w:rPr>
        <w:t>Резерв неистекших рисков</w:t>
      </w:r>
      <w:r>
        <w:t xml:space="preserve"> создается как дополнение к РНП, чтобы компенсировать недостаток средств технических резервов вследствие возможного (или вынужденного) занижения тарифов.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u w:val="single"/>
        </w:rPr>
        <w:t>Резерв катастроф</w:t>
      </w:r>
      <w:r>
        <w:t xml:space="preserve"> создается обычно в целях обеспечения страховых выплат на случай естественных катастроф либо крупномасштабных промышленных аварий, в результате которых ущерб нанесен значительному числу страховых объектов, превышающему среднестатистический уровень, и возникает необходимость осуществления выплат страхового возмещения в суммах, значительно превышающих средние размеры, учтенные при расчете базового страхового тарифа. Такой резерв формируется страховщиками в случаях, если действующим договором страхования предусмотрена страховая ответственность при возникновении такого рода катастрофических обстоятельств.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u w:val="single"/>
        </w:rPr>
        <w:t>Резерв колебаний убыточности</w:t>
      </w:r>
      <w:r>
        <w:t xml:space="preserve"> создается для компенсации расходов страховщика на осуществление страховых выплат в случаях, если значение убыточности страховой суммы в отчетном периоде превышает ожидаемый уровень убыточности, принятый за основу при расчете тарифной ставки по виду страхования.</w:t>
      </w:r>
    </w:p>
    <w:p w:rsidR="00151C5D" w:rsidRDefault="00151C5D">
      <w:pPr>
        <w:pStyle w:val="2"/>
      </w:pPr>
      <w:r>
        <w:t>Резерв убытков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В резерв убытков зачисляются суммы, предполагаемые к выплате по страховым случаям, которые произошли до окончания финансового года.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Резервы убытков подразделяются  на: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резерв заявленных, но неурегулированных убытков;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резерв произошедших, но незаявленных убытков.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u w:val="single"/>
        </w:rPr>
        <w:t>Резерв заявленных, но неурегулированных убытков</w:t>
      </w:r>
      <w:r>
        <w:t xml:space="preserve"> (РЗУ) образуется страховщиком для обеспечения выполнения обязательств, включая расходы по урегулированию убытков по договорам страхования, неисполненным или исполненным не полностью на отчетную дату, причем данные страховые обязательства возникли в связи со страховыми случаями, которые имели место в отчетном или предшествующих ему периодах, и о факте наступления которых в установленном законом или договором страхования порядке уже было ранее заявлено страховщику.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u w:val="single"/>
        </w:rPr>
        <w:t>Резерв произошедших, но незаявленных убытков</w:t>
      </w:r>
      <w:r>
        <w:t xml:space="preserve"> (РПНУ) формируется в связи с произошедшими страховыми случаями, о факте наступления которых страховщику не было заявлено в установленном законом или договором страхования порядке на отчетную дату. На практике величина РНПУ исчисляется в размере порядка 10% от суммы страховой премии, поступившей в отчетном периоде, если отчетным периодом считается год.</w:t>
      </w:r>
    </w:p>
    <w:p w:rsidR="00151C5D" w:rsidRDefault="00151C5D">
      <w:pPr>
        <w:widowControl w:val="0"/>
        <w:spacing w:line="360" w:lineRule="auto"/>
        <w:ind w:firstLine="720"/>
        <w:jc w:val="both"/>
      </w:pPr>
    </w:p>
    <w:p w:rsidR="00151C5D" w:rsidRDefault="00151C5D">
      <w:pPr>
        <w:pStyle w:val="2"/>
      </w:pPr>
      <w:r>
        <w:t>Резервы по страхованию жизни</w:t>
      </w:r>
    </w:p>
    <w:p w:rsidR="00151C5D" w:rsidRDefault="00151C5D">
      <w:pPr>
        <w:pStyle w:val="a6"/>
      </w:pPr>
      <w:r>
        <w:t>Страховые резервы по видам страхования, относящимся к страхованию жизни, формируются для обеспечения выполнения обязательств страховщика по страховым выплатам (в том числе в долгосрочном виде – пенсий, ренты, аннуитетов) по заключенным договорам страхования при дожитии застрахованного до определенного договором страхования срока или возраста и (или) смерти застрахованного в соответствии с условиями, предусмотренными договором страхования.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Согласно ст. 30 Закона Украины «О страховании» страховщики формируют и ведут учет таких резервов по страхованию жизни:</w:t>
      </w:r>
    </w:p>
    <w:p w:rsidR="00151C5D" w:rsidRDefault="00151C5D">
      <w:pPr>
        <w:pStyle w:val="20"/>
        <w:numPr>
          <w:ilvl w:val="0"/>
          <w:numId w:val="2"/>
        </w:numPr>
      </w:pPr>
      <w:r>
        <w:t>резервы долгосрочных обязательств (математические резервы);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  <w:rPr>
          <w:b/>
        </w:rPr>
      </w:pPr>
      <w:r>
        <w:rPr>
          <w:b/>
        </w:rPr>
        <w:t>резервы надлежащих выплат страховых сумм.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Величина резервов долгосрочных обязательств (математические резервы) исчисляются отдельно по каждому договору согласно Методике формирования резервов по страхованию жизни.</w:t>
      </w:r>
    </w:p>
    <w:p w:rsidR="00151C5D" w:rsidRDefault="00151C5D">
      <w:pPr>
        <w:pStyle w:val="1"/>
      </w:pPr>
      <w:r>
        <w:t>3. Способы управления страховыми рисками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b/>
        </w:rPr>
        <w:t>Страховой риск</w:t>
      </w:r>
      <w:r>
        <w:t xml:space="preserve"> – это риск, который может быть оценен с точки зрения вероятности наступления страхового случая и количественных размеров возможного ущерба. Основными критериями, которые позволяют считать риск страховым, являются такие: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риск, который включается в объём ответственности страховщика, должен быть возможным;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риск должен носить случайный характер;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случайность проявления данного риска можно соотнести с массой однородных объектов; и др.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Целенаправленные действия по ограничению или по минимизации риска в системе экономических отношений носит название управления риском (менеджмента риска). Менеджмент рисков определяют как целенаправленный поиск и организацию работы по снижению степени риска, искусство получения и увеличения дохода (выигрыша, прибыли) в неопределенной хозяйственной ситуации. Конечная цель риск-менеджмента соответствует целевой функции предпринимательства. Она заключается в получении наибольшей прибыли при оптимальном, приемлемом для предпринимателя соотношении прибыли и риска.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Концептуальный подход в использовании управления риском в страховании включает в себя три основные позиции: выявление последствий деятельности экономических субъектов в ситуации риска, умение реагировать на возможные отрицательные последствия этой деятельности, разработку и осуществление мер, при помощи которых могут быть нейтрализованы или компенсированы вероятностные негативные результаты предпринимаемых действий.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 xml:space="preserve">Среди способов управления рисками выделяют две группы – </w:t>
      </w:r>
      <w:r>
        <w:rPr>
          <w:b/>
        </w:rPr>
        <w:t>организационно-технические</w:t>
      </w:r>
      <w:r>
        <w:t xml:space="preserve"> и </w:t>
      </w:r>
      <w:r>
        <w:rPr>
          <w:b/>
        </w:rPr>
        <w:t>финансово-договорные</w:t>
      </w:r>
      <w:r>
        <w:t xml:space="preserve"> способы.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 xml:space="preserve">К </w:t>
      </w:r>
      <w:r>
        <w:rPr>
          <w:u w:val="single"/>
        </w:rPr>
        <w:t>организационно-техническим</w:t>
      </w:r>
      <w:r>
        <w:t xml:space="preserve"> относятся способы избежания рисков и способы сокращения рисков.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i/>
        </w:rPr>
        <w:t>Избежание риска</w:t>
      </w:r>
      <w:r>
        <w:t xml:space="preserve"> – наиболее решительный метод взаимодействия с риском; он заключается в общем ограничении убытка, подверженного специфическому риску. Однако этот метод наиболее ограничен в практическом применении, поскольку приводит к отказу от некоторой деятельности и потому – к потере выгоды, сопровождающей эту деятельность.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i/>
        </w:rPr>
        <w:t>Способы сокращения рисков</w:t>
      </w:r>
      <w:r>
        <w:t xml:space="preserve"> нацелены на сокращение либо вероятности убытков, либо размера последствий убытков. С этой целью используются такие приемы: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организационные способы (разделение, объединение, диверсификация);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технические способы;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обучение и тренировка персонала;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комбинированный способ.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i/>
        </w:rPr>
        <w:t>Разделение рисков</w:t>
      </w:r>
      <w:r>
        <w:t>, как правило, осуществляется за счет разделения активов предпринимательской фирмы. Суть его заключается в сокращении максимально возможных потерь за одно событие, но при этом одновременно возрастает число случаев риска, которые нужно контролировать.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 xml:space="preserve">При </w:t>
      </w:r>
      <w:r>
        <w:rPr>
          <w:i/>
        </w:rPr>
        <w:t>объединении риска</w:t>
      </w:r>
      <w:r>
        <w:t xml:space="preserve"> возможный риск делится  между несколькими субъектами экономики. Объединение делает потери более предсказуемыми, так как возрастает число единиц, подверженных риску и находящихся под контролем одной фирмы.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i/>
        </w:rPr>
        <w:t xml:space="preserve">Диверсификация – </w:t>
      </w:r>
      <w:r>
        <w:t>способ разделения активов (инвестиций) с последующим объединением рисков. Диверсификация предпринимательской деятельности состоит в распределении усилий и капиталовложений между разнообразными видами деятельности, непосредственно не связанными друг с другом.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u w:val="single"/>
        </w:rPr>
        <w:t>Технические способы</w:t>
      </w:r>
      <w:r>
        <w:t xml:space="preserve"> включают процедурные способы и технические средства. Процедурные способы могут включать планирование и подготовку дублирующих производственных мощностей, планирование мероприятий на случай аварии, ликвидацию слабых структурных мест.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 xml:space="preserve">При </w:t>
      </w:r>
      <w:r>
        <w:rPr>
          <w:u w:val="single"/>
        </w:rPr>
        <w:t xml:space="preserve">комбинированном способе </w:t>
      </w:r>
      <w:r>
        <w:t>осуществляется комплексное одновременное использование всех или части из перечисленных выше способов. Составляется план мероприятий, соответствующий времени реализации деятельности или конкретного проекта.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 xml:space="preserve">Вторая группа способов управления рисками определяется как </w:t>
      </w:r>
      <w:r>
        <w:rPr>
          <w:b/>
        </w:rPr>
        <w:t>финансово-договорные способы</w:t>
      </w:r>
      <w:r>
        <w:t>. Они включают: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способы самостоятельного противостояния риску;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способы передачи риска;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страхование рисков.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u w:val="single"/>
        </w:rPr>
        <w:t>Способы самостоятельного противостояния риску</w:t>
      </w:r>
      <w:r>
        <w:t xml:space="preserve"> заключаются в финансировании убытков за счет собственных средств. К таким способам относятся: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создание специального внутреннего фонда (фонда самострахования);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организация отраслевой (кэптивной) страховой компании;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t>финансирование риска из текущего бюджета.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u w:val="single"/>
        </w:rPr>
        <w:t>Передача риска</w:t>
      </w:r>
      <w:r>
        <w:t xml:space="preserve"> осуществляется заключением контрактов таких типов: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rPr>
          <w:i/>
        </w:rPr>
        <w:t>строительных</w:t>
      </w:r>
      <w:r>
        <w:t xml:space="preserve"> (все риски, связанные со строительством, берет на себя строительная фирма);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rPr>
          <w:i/>
        </w:rPr>
        <w:t>арендных</w:t>
      </w:r>
      <w:r>
        <w:t xml:space="preserve"> – часть рисков передается путем специальных оговорок в договоре аренды;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rPr>
          <w:i/>
        </w:rPr>
        <w:t>контрактов на хранение и перевозку грузов</w:t>
      </w:r>
      <w:r>
        <w:t xml:space="preserve"> (транспортной компании передаются риски, связанные со случайной либо происшедшей по вине транспортной компании гибелью или порчей продукции);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rPr>
          <w:i/>
        </w:rPr>
        <w:t>контрактов продажи, обслуживания, снабжения</w:t>
      </w:r>
      <w:r>
        <w:t>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rPr>
          <w:i/>
        </w:rPr>
        <w:t>контрактов – поручительств</w:t>
      </w:r>
      <w:r>
        <w:t>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rPr>
          <w:i/>
        </w:rPr>
        <w:t>договоров факторинга</w:t>
      </w:r>
      <w:r>
        <w:t xml:space="preserve"> (факторинг позволяет предпринимательской фирме, передающей свои долговые обязательства фактор-посреднику, обеспечить гарантию на получение всех платежей, уменьшая таким образом кредитный риск предприятия);</w:t>
      </w:r>
    </w:p>
    <w:p w:rsidR="00151C5D" w:rsidRDefault="00151C5D">
      <w:pPr>
        <w:widowControl w:val="0"/>
        <w:numPr>
          <w:ilvl w:val="0"/>
          <w:numId w:val="2"/>
        </w:numPr>
        <w:spacing w:line="360" w:lineRule="auto"/>
        <w:jc w:val="both"/>
      </w:pPr>
      <w:r>
        <w:rPr>
          <w:i/>
        </w:rPr>
        <w:t>биржевых сделок</w:t>
      </w:r>
      <w:r>
        <w:t>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rPr>
          <w:u w:val="single"/>
        </w:rPr>
        <w:t>Страхование рисков</w:t>
      </w:r>
      <w:r>
        <w:t>. В принципе страхование относится к методу передачи риска посредством заключения контракта и наиболее близко отвечает идеальным условиям, предъявляемым к передаче риска.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С точки зрения страхователя, использование страхования переводит финансовый эффект, который возникает из-за риска, на другого субъекта – страховую компанию (страховщика), тогда как страховщик покрывает эффект рисков страхователя, выплачивая ему определенную часть денег. Взамен этого страховщик требует от страхователя оплаты страховой премии. Из этих премий и премий других страхователей страховщик создает фонд, Из этого фонда страховщик может возмещать убытки, которые страхователь может понести. Поэтому основная функция страховой компании – предотвратить финансовый эффект риска, которому могут быть подвержены страхователи.</w:t>
      </w:r>
    </w:p>
    <w:p w:rsidR="00151C5D" w:rsidRDefault="00151C5D">
      <w:pPr>
        <w:widowControl w:val="0"/>
        <w:spacing w:line="360" w:lineRule="auto"/>
        <w:ind w:firstLine="720"/>
        <w:jc w:val="both"/>
      </w:pPr>
      <w:r>
        <w:t>Преимущества получаемые страхователем от страхования, кроме перечисленных включают в себя также дополнительную возможность использования сервисных услуг по менеджменту рисков, которые обеспечиваются страховой компанией или страховым брокером.</w:t>
      </w:r>
    </w:p>
    <w:p w:rsidR="00151C5D" w:rsidRDefault="00151C5D">
      <w:pPr>
        <w:widowControl w:val="0"/>
        <w:spacing w:line="360" w:lineRule="auto"/>
        <w:ind w:firstLine="720"/>
        <w:jc w:val="both"/>
      </w:pPr>
    </w:p>
    <w:p w:rsidR="00151C5D" w:rsidRDefault="00151C5D">
      <w:pPr>
        <w:widowControl w:val="0"/>
        <w:spacing w:line="360" w:lineRule="auto"/>
        <w:ind w:firstLine="720"/>
        <w:jc w:val="both"/>
      </w:pPr>
    </w:p>
    <w:p w:rsidR="00151C5D" w:rsidRDefault="00151C5D">
      <w:pPr>
        <w:widowControl w:val="0"/>
        <w:spacing w:line="360" w:lineRule="auto"/>
        <w:ind w:firstLine="720"/>
        <w:jc w:val="both"/>
      </w:pPr>
    </w:p>
    <w:p w:rsidR="00151C5D" w:rsidRDefault="00151C5D">
      <w:pPr>
        <w:widowControl w:val="0"/>
        <w:spacing w:line="360" w:lineRule="auto"/>
        <w:ind w:firstLine="720"/>
        <w:jc w:val="both"/>
      </w:pPr>
    </w:p>
    <w:p w:rsidR="00151C5D" w:rsidRDefault="00151C5D">
      <w:pPr>
        <w:widowControl w:val="0"/>
        <w:spacing w:line="360" w:lineRule="auto"/>
        <w:ind w:firstLine="720"/>
        <w:jc w:val="both"/>
      </w:pPr>
    </w:p>
    <w:p w:rsidR="00151C5D" w:rsidRDefault="00151C5D">
      <w:pPr>
        <w:widowControl w:val="0"/>
        <w:spacing w:line="360" w:lineRule="auto"/>
        <w:ind w:firstLine="720"/>
        <w:jc w:val="both"/>
      </w:pPr>
    </w:p>
    <w:p w:rsidR="00151C5D" w:rsidRDefault="00151C5D">
      <w:pPr>
        <w:widowControl w:val="0"/>
        <w:spacing w:line="360" w:lineRule="auto"/>
        <w:ind w:firstLine="720"/>
        <w:jc w:val="both"/>
      </w:pPr>
    </w:p>
    <w:p w:rsidR="00151C5D" w:rsidRDefault="00151C5D">
      <w:pPr>
        <w:widowControl w:val="0"/>
        <w:spacing w:line="360" w:lineRule="auto"/>
        <w:ind w:firstLine="720"/>
        <w:jc w:val="both"/>
      </w:pPr>
    </w:p>
    <w:p w:rsidR="00151C5D" w:rsidRDefault="00151C5D">
      <w:pPr>
        <w:widowControl w:val="0"/>
        <w:spacing w:line="360" w:lineRule="auto"/>
        <w:ind w:firstLine="720"/>
        <w:jc w:val="both"/>
      </w:pPr>
    </w:p>
    <w:p w:rsidR="00151C5D" w:rsidRDefault="00151C5D">
      <w:pPr>
        <w:widowControl w:val="0"/>
        <w:spacing w:line="360" w:lineRule="auto"/>
        <w:ind w:firstLine="720"/>
        <w:jc w:val="both"/>
      </w:pPr>
    </w:p>
    <w:p w:rsidR="00151C5D" w:rsidRDefault="00151C5D">
      <w:pPr>
        <w:widowControl w:val="0"/>
        <w:spacing w:line="360" w:lineRule="auto"/>
        <w:ind w:firstLine="720"/>
        <w:jc w:val="both"/>
      </w:pPr>
    </w:p>
    <w:p w:rsidR="00151C5D" w:rsidRDefault="00151C5D">
      <w:pPr>
        <w:pStyle w:val="1"/>
      </w:pPr>
      <w:r>
        <w:t>Список использованной литературы</w:t>
      </w:r>
    </w:p>
    <w:p w:rsidR="00151C5D" w:rsidRDefault="00151C5D">
      <w:pPr>
        <w:spacing w:line="360" w:lineRule="auto"/>
      </w:pPr>
    </w:p>
    <w:p w:rsidR="00151C5D" w:rsidRDefault="00151C5D">
      <w:pPr>
        <w:numPr>
          <w:ilvl w:val="0"/>
          <w:numId w:val="3"/>
        </w:numPr>
        <w:spacing w:before="120" w:after="120" w:line="360" w:lineRule="auto"/>
        <w:ind w:left="357" w:hanging="357"/>
        <w:jc w:val="both"/>
      </w:pPr>
      <w:r>
        <w:t xml:space="preserve">Закон Украины «О страховании» от 07.03.96 г. </w:t>
      </w:r>
      <w:r>
        <w:rPr>
          <w:lang w:val="en-US"/>
        </w:rPr>
        <w:t>\\</w:t>
      </w:r>
      <w:r>
        <w:t xml:space="preserve"> Ведомости Верховной Рады Украины. - № 12. – Ст. 456.</w:t>
      </w:r>
    </w:p>
    <w:p w:rsidR="00151C5D" w:rsidRDefault="00151C5D">
      <w:pPr>
        <w:numPr>
          <w:ilvl w:val="0"/>
          <w:numId w:val="3"/>
        </w:numPr>
        <w:spacing w:before="120" w:after="120" w:line="360" w:lineRule="auto"/>
        <w:ind w:left="357" w:hanging="357"/>
        <w:jc w:val="both"/>
      </w:pPr>
      <w:r>
        <w:t>Положение о порядке формирования, размещения и учета страховых резервов по видам страхования, иным, чем страхование жизни. Утверждено Приказом Комитета по делам надзора за страховой деятельностью №41 от 26 мая 1997 г.</w:t>
      </w:r>
    </w:p>
    <w:p w:rsidR="00151C5D" w:rsidRDefault="00151C5D">
      <w:pPr>
        <w:numPr>
          <w:ilvl w:val="0"/>
          <w:numId w:val="3"/>
        </w:numPr>
        <w:spacing w:before="120" w:after="120" w:line="360" w:lineRule="auto"/>
        <w:ind w:left="357" w:hanging="357"/>
        <w:jc w:val="both"/>
      </w:pPr>
      <w:r>
        <w:rPr>
          <w:lang w:val="uk-UA"/>
        </w:rPr>
        <w:t>Заруба О.Д. Страхова справа, - К.: Знання, 1998. – 321 с.</w:t>
      </w:r>
    </w:p>
    <w:p w:rsidR="00151C5D" w:rsidRDefault="00151C5D">
      <w:pPr>
        <w:numPr>
          <w:ilvl w:val="0"/>
          <w:numId w:val="3"/>
        </w:numPr>
        <w:spacing w:before="120" w:after="120" w:line="360" w:lineRule="auto"/>
        <w:ind w:left="357" w:hanging="357"/>
        <w:jc w:val="both"/>
      </w:pPr>
      <w:r>
        <w:t xml:space="preserve">Страхование от А до Я. Книга для страхователей </w:t>
      </w:r>
      <w:r>
        <w:rPr>
          <w:lang w:val="en-US"/>
        </w:rPr>
        <w:t>/</w:t>
      </w:r>
      <w:r>
        <w:t xml:space="preserve"> Под ред. Л.И. Корчевской, К.Е. Турбиной. – М.: ИНФРА-М, 1996. – 624 с.</w:t>
      </w:r>
    </w:p>
    <w:p w:rsidR="00151C5D" w:rsidRDefault="00151C5D">
      <w:pPr>
        <w:numPr>
          <w:ilvl w:val="0"/>
          <w:numId w:val="3"/>
        </w:numPr>
        <w:spacing w:before="120" w:after="120" w:line="360" w:lineRule="auto"/>
        <w:ind w:left="357" w:hanging="357"/>
        <w:jc w:val="both"/>
      </w:pPr>
      <w:r>
        <w:t>Шелехов К.В., Бигдаш В.Д. Страхование: Учебное пособие. – К.: МАУП, 1998. – 415 с.</w:t>
      </w:r>
    </w:p>
    <w:p w:rsidR="00151C5D" w:rsidRDefault="00151C5D">
      <w:pPr>
        <w:spacing w:line="360" w:lineRule="auto"/>
        <w:jc w:val="both"/>
      </w:pPr>
    </w:p>
    <w:p w:rsidR="00151C5D" w:rsidRDefault="00151C5D">
      <w:pPr>
        <w:spacing w:line="360" w:lineRule="auto"/>
        <w:jc w:val="both"/>
      </w:pPr>
    </w:p>
    <w:p w:rsidR="00151C5D" w:rsidRDefault="00151C5D">
      <w:pPr>
        <w:spacing w:line="360" w:lineRule="auto"/>
        <w:jc w:val="both"/>
      </w:pPr>
    </w:p>
    <w:p w:rsidR="00151C5D" w:rsidRDefault="00151C5D">
      <w:pPr>
        <w:spacing w:line="360" w:lineRule="auto"/>
        <w:jc w:val="both"/>
      </w:pPr>
    </w:p>
    <w:p w:rsidR="00151C5D" w:rsidRDefault="00151C5D">
      <w:pPr>
        <w:spacing w:line="360" w:lineRule="auto"/>
        <w:jc w:val="both"/>
      </w:pPr>
    </w:p>
    <w:p w:rsidR="00151C5D" w:rsidRDefault="00151C5D">
      <w:pPr>
        <w:spacing w:line="360" w:lineRule="auto"/>
        <w:jc w:val="both"/>
      </w:pPr>
    </w:p>
    <w:p w:rsidR="00151C5D" w:rsidRDefault="00151C5D">
      <w:pPr>
        <w:spacing w:line="360" w:lineRule="auto"/>
        <w:jc w:val="both"/>
      </w:pPr>
    </w:p>
    <w:p w:rsidR="00151C5D" w:rsidRDefault="00151C5D">
      <w:pPr>
        <w:spacing w:line="360" w:lineRule="auto"/>
        <w:jc w:val="both"/>
      </w:pPr>
    </w:p>
    <w:p w:rsidR="00151C5D" w:rsidRDefault="00151C5D">
      <w:pPr>
        <w:spacing w:line="360" w:lineRule="auto"/>
        <w:jc w:val="both"/>
      </w:pPr>
    </w:p>
    <w:p w:rsidR="00151C5D" w:rsidRDefault="00151C5D">
      <w:pPr>
        <w:spacing w:line="360" w:lineRule="auto"/>
        <w:jc w:val="both"/>
      </w:pPr>
    </w:p>
    <w:p w:rsidR="00151C5D" w:rsidRDefault="00151C5D">
      <w:pPr>
        <w:spacing w:line="360" w:lineRule="auto"/>
        <w:jc w:val="both"/>
      </w:pPr>
      <w:bookmarkStart w:id="0" w:name="_GoBack"/>
      <w:bookmarkEnd w:id="0"/>
    </w:p>
    <w:sectPr w:rsidR="00151C5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851" w:bottom="1418" w:left="1985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5D" w:rsidRDefault="00151C5D">
      <w:r>
        <w:separator/>
      </w:r>
    </w:p>
  </w:endnote>
  <w:endnote w:type="continuationSeparator" w:id="0">
    <w:p w:rsidR="00151C5D" w:rsidRDefault="0015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5D" w:rsidRDefault="00151C5D">
    <w:pPr>
      <w:pStyle w:val="a3"/>
      <w:framePr w:wrap="around" w:vAnchor="text" w:hAnchor="margin" w:xAlign="right" w:y="1"/>
      <w:rPr>
        <w:rStyle w:val="a4"/>
      </w:rPr>
    </w:pPr>
  </w:p>
  <w:p w:rsidR="00151C5D" w:rsidRDefault="00151C5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5D" w:rsidRDefault="00151C5D">
    <w:pPr>
      <w:pStyle w:val="a3"/>
      <w:framePr w:wrap="around" w:vAnchor="text" w:hAnchor="margin" w:xAlign="right" w:y="1"/>
      <w:rPr>
        <w:rStyle w:val="a4"/>
      </w:rPr>
    </w:pPr>
  </w:p>
  <w:p w:rsidR="00151C5D" w:rsidRDefault="00151C5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5D" w:rsidRDefault="00151C5D">
      <w:r>
        <w:separator/>
      </w:r>
    </w:p>
  </w:footnote>
  <w:footnote w:type="continuationSeparator" w:id="0">
    <w:p w:rsidR="00151C5D" w:rsidRDefault="00151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5D" w:rsidRDefault="00151C5D">
    <w:pPr>
      <w:pStyle w:val="a5"/>
      <w:framePr w:wrap="around" w:vAnchor="text" w:hAnchor="margin" w:xAlign="right" w:y="1"/>
      <w:rPr>
        <w:rStyle w:val="a4"/>
      </w:rPr>
    </w:pPr>
    <w:r>
      <w:rPr>
        <w:rStyle w:val="a4"/>
        <w:noProof/>
      </w:rPr>
      <w:t>12</w:t>
    </w:r>
  </w:p>
  <w:p w:rsidR="00151C5D" w:rsidRDefault="00151C5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5D" w:rsidRDefault="00E2521E">
    <w:pPr>
      <w:pStyle w:val="a5"/>
      <w:framePr w:wrap="around" w:vAnchor="text" w:hAnchor="page" w:x="11233" w:y="4"/>
      <w:rPr>
        <w:rStyle w:val="a4"/>
      </w:rPr>
    </w:pPr>
    <w:r>
      <w:rPr>
        <w:rStyle w:val="a4"/>
        <w:noProof/>
      </w:rPr>
      <w:t>2</w:t>
    </w:r>
  </w:p>
  <w:p w:rsidR="00151C5D" w:rsidRDefault="00151C5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E1A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6C7040"/>
    <w:multiLevelType w:val="singleLevel"/>
    <w:tmpl w:val="78EEE3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>
    <w:nsid w:val="14164EB5"/>
    <w:multiLevelType w:val="singleLevel"/>
    <w:tmpl w:val="70AA8F9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3">
    <w:nsid w:val="148C00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514785A"/>
    <w:multiLevelType w:val="singleLevel"/>
    <w:tmpl w:val="CCD49D5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21E"/>
    <w:rsid w:val="00151C5D"/>
    <w:rsid w:val="005166AA"/>
    <w:rsid w:val="00E2521E"/>
    <w:rsid w:val="00F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BF73F-7532-4194-8928-165A487E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/>
      <w:spacing w:val="20"/>
      <w:kern w:val="24"/>
      <w:sz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2">
    <w:name w:val="heading 2"/>
    <w:basedOn w:val="a"/>
    <w:next w:val="a"/>
    <w:qFormat/>
    <w:pPr>
      <w:keepNext/>
      <w:widowControl w:val="0"/>
      <w:spacing w:line="360" w:lineRule="auto"/>
      <w:ind w:firstLine="720"/>
      <w:jc w:val="both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semiHidden/>
    <w:pPr>
      <w:widowControl w:val="0"/>
      <w:spacing w:line="360" w:lineRule="auto"/>
      <w:ind w:firstLine="720"/>
      <w:jc w:val="both"/>
    </w:pPr>
  </w:style>
  <w:style w:type="paragraph" w:styleId="20">
    <w:name w:val="Body Text Indent 2"/>
    <w:basedOn w:val="a"/>
    <w:semiHidden/>
    <w:pPr>
      <w:widowControl w:val="0"/>
      <w:spacing w:line="360" w:lineRule="auto"/>
      <w:ind w:firstLine="720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МАУП г. Запорожье</Company>
  <LinksUpToDate>false</LinksUpToDate>
  <CharactersWithSpaces>18394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>Страхование</dc:subject>
  <dc:creator>Заболотный  А.Э.</dc:creator>
  <cp:keywords/>
  <cp:lastModifiedBy>admin</cp:lastModifiedBy>
  <cp:revision>2</cp:revision>
  <dcterms:created xsi:type="dcterms:W3CDTF">2014-02-08T12:32:00Z</dcterms:created>
  <dcterms:modified xsi:type="dcterms:W3CDTF">2014-02-08T12:32:00Z</dcterms:modified>
</cp:coreProperties>
</file>