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172" w:rsidRDefault="00B01172" w:rsidP="00B12C61">
      <w:pPr>
        <w:pStyle w:val="1"/>
        <w:ind w:left="0" w:firstLine="600"/>
        <w:jc w:val="both"/>
        <w:rPr>
          <w:b w:val="0"/>
          <w:sz w:val="28"/>
          <w:szCs w:val="28"/>
        </w:rPr>
      </w:pPr>
    </w:p>
    <w:p w:rsidR="00B12C61" w:rsidRPr="00B12C61" w:rsidRDefault="00B12C61" w:rsidP="00B12C61">
      <w:pPr>
        <w:pStyle w:val="1"/>
        <w:ind w:left="0" w:firstLine="600"/>
        <w:jc w:val="both"/>
        <w:rPr>
          <w:b w:val="0"/>
          <w:sz w:val="28"/>
          <w:szCs w:val="28"/>
        </w:rPr>
      </w:pPr>
      <w:r w:rsidRPr="00DA2420">
        <w:rPr>
          <w:b w:val="0"/>
          <w:sz w:val="28"/>
          <w:szCs w:val="28"/>
        </w:rPr>
        <w:t>В любой хозяйственной деятельности всегда существует опасность денеж</w:t>
      </w:r>
      <w:r w:rsidRPr="00DA2420">
        <w:rPr>
          <w:b w:val="0"/>
          <w:sz w:val="28"/>
          <w:szCs w:val="28"/>
        </w:rPr>
        <w:softHyphen/>
        <w:t>ных потерь, вытекающая из специфики тех или иных хозяйственных операций. Опасность таких потерь представляют собой финансовые риски.</w:t>
      </w:r>
    </w:p>
    <w:p w:rsidR="00B12C61" w:rsidRDefault="00B12C61" w:rsidP="00B12C61">
      <w:pPr>
        <w:pStyle w:val="1"/>
        <w:ind w:left="0" w:firstLine="600"/>
        <w:jc w:val="both"/>
        <w:rPr>
          <w:b w:val="0"/>
          <w:sz w:val="28"/>
          <w:szCs w:val="28"/>
        </w:rPr>
      </w:pPr>
      <w:r w:rsidRPr="008F080C">
        <w:rPr>
          <w:sz w:val="28"/>
          <w:szCs w:val="28"/>
        </w:rPr>
        <w:t>Финансовый риск</w:t>
      </w:r>
      <w:r>
        <w:rPr>
          <w:b w:val="0"/>
          <w:sz w:val="28"/>
          <w:szCs w:val="28"/>
        </w:rPr>
        <w:t xml:space="preserve"> – основная форма реализации угрозы банкротства, поскольку связанные с ним убытки, наиболее ощутимы.</w:t>
      </w:r>
    </w:p>
    <w:p w:rsidR="00B12C61" w:rsidRPr="00A5537A" w:rsidRDefault="00B12C61" w:rsidP="00B12C61">
      <w:pPr>
        <w:shd w:val="clear" w:color="auto" w:fill="FFFFFF"/>
        <w:suppressAutoHyphens/>
        <w:ind w:firstLine="709"/>
        <w:jc w:val="both"/>
        <w:rPr>
          <w:color w:val="000000"/>
          <w:sz w:val="28"/>
        </w:rPr>
      </w:pPr>
      <w:r w:rsidRPr="00A5537A">
        <w:rPr>
          <w:color w:val="000000"/>
          <w:sz w:val="28"/>
        </w:rPr>
        <w:t>К финансовым рискам относятся:</w:t>
      </w:r>
    </w:p>
    <w:p w:rsidR="00B12C61" w:rsidRPr="00B12C61" w:rsidRDefault="00B12C61" w:rsidP="00B12C61">
      <w:pPr>
        <w:shd w:val="clear" w:color="auto" w:fill="FFFFFF"/>
        <w:suppressAutoHyphens/>
        <w:ind w:firstLine="709"/>
        <w:jc w:val="both"/>
        <w:rPr>
          <w:color w:val="000000"/>
          <w:sz w:val="28"/>
        </w:rPr>
      </w:pPr>
      <w:r>
        <w:rPr>
          <w:color w:val="000000"/>
          <w:sz w:val="28"/>
        </w:rPr>
        <w:t xml:space="preserve">• </w:t>
      </w:r>
      <w:r w:rsidRPr="008F080C">
        <w:rPr>
          <w:i/>
          <w:color w:val="000000"/>
          <w:sz w:val="28"/>
        </w:rPr>
        <w:t>валютный риск</w:t>
      </w:r>
      <w:r w:rsidRPr="00B12C61">
        <w:rPr>
          <w:color w:val="000000"/>
          <w:sz w:val="28"/>
        </w:rPr>
        <w:t xml:space="preserve"> – </w:t>
      </w:r>
      <w:r>
        <w:rPr>
          <w:color w:val="000000"/>
          <w:sz w:val="28"/>
        </w:rPr>
        <w:t>это вероятность финансовых потерь в результате изменения курса валют, которое может произойти в период между заключением контракта и фактическим производством расчетов по нему;</w:t>
      </w:r>
    </w:p>
    <w:p w:rsidR="00B12C61" w:rsidRPr="00A5537A" w:rsidRDefault="00B12C61" w:rsidP="00B12C61">
      <w:pPr>
        <w:shd w:val="clear" w:color="auto" w:fill="FFFFFF"/>
        <w:suppressAutoHyphens/>
        <w:ind w:firstLine="709"/>
        <w:jc w:val="both"/>
        <w:rPr>
          <w:color w:val="000000"/>
          <w:sz w:val="28"/>
        </w:rPr>
      </w:pPr>
      <w:r>
        <w:rPr>
          <w:color w:val="000000"/>
          <w:sz w:val="28"/>
        </w:rPr>
        <w:t xml:space="preserve">• </w:t>
      </w:r>
      <w:r w:rsidRPr="008F080C">
        <w:rPr>
          <w:i/>
          <w:color w:val="000000"/>
          <w:sz w:val="28"/>
        </w:rPr>
        <w:t>кредитный риск</w:t>
      </w:r>
      <w:r>
        <w:rPr>
          <w:color w:val="000000"/>
          <w:sz w:val="28"/>
        </w:rPr>
        <w:t xml:space="preserve"> – опасность неуплаты заемщиком основного долга и процентов, причитающихся кредитору: банку и другим финансовым учреждениям; контрагентам: поставщикам и посредникам; а также акционерам;</w:t>
      </w:r>
    </w:p>
    <w:p w:rsidR="00B12C61" w:rsidRDefault="00B12C61" w:rsidP="00B12C61">
      <w:pPr>
        <w:shd w:val="clear" w:color="auto" w:fill="FFFFFF"/>
        <w:suppressAutoHyphens/>
        <w:ind w:firstLine="709"/>
        <w:jc w:val="both"/>
        <w:rPr>
          <w:color w:val="000000"/>
          <w:sz w:val="28"/>
        </w:rPr>
      </w:pPr>
      <w:r>
        <w:rPr>
          <w:color w:val="000000"/>
          <w:sz w:val="28"/>
        </w:rPr>
        <w:t xml:space="preserve">• </w:t>
      </w:r>
      <w:r w:rsidRPr="008F080C">
        <w:rPr>
          <w:i/>
          <w:color w:val="000000"/>
          <w:sz w:val="28"/>
        </w:rPr>
        <w:t>инвестиционный риск</w:t>
      </w:r>
      <w:r>
        <w:rPr>
          <w:color w:val="000000"/>
          <w:sz w:val="28"/>
        </w:rPr>
        <w:t xml:space="preserve"> – связан со спецификой вложения предпринимательской фирмой денежных средств в различные проекты.</w:t>
      </w:r>
    </w:p>
    <w:p w:rsidR="00B12C61" w:rsidRDefault="008F080C" w:rsidP="00B12C61">
      <w:pPr>
        <w:shd w:val="clear" w:color="auto" w:fill="FFFFFF"/>
        <w:suppressAutoHyphens/>
        <w:ind w:firstLine="709"/>
        <w:jc w:val="both"/>
        <w:rPr>
          <w:sz w:val="28"/>
          <w:szCs w:val="28"/>
        </w:rPr>
      </w:pPr>
      <w:r w:rsidRPr="007F191B">
        <w:rPr>
          <w:b/>
          <w:sz w:val="28"/>
          <w:szCs w:val="28"/>
        </w:rPr>
        <w:t>Страхование финансовых рисков</w:t>
      </w:r>
      <w:r>
        <w:rPr>
          <w:sz w:val="28"/>
          <w:szCs w:val="28"/>
        </w:rPr>
        <w:t xml:space="preserve"> – вид имущественного страхования, которое по своей сути является страхованием риска потери прибыли или неполучения дохода вследствие различных причин.</w:t>
      </w:r>
    </w:p>
    <w:p w:rsidR="008F080C" w:rsidRDefault="008F080C" w:rsidP="00B12C61">
      <w:pPr>
        <w:shd w:val="clear" w:color="auto" w:fill="FFFFFF"/>
        <w:suppressAutoHyphens/>
        <w:ind w:firstLine="709"/>
        <w:jc w:val="both"/>
        <w:rPr>
          <w:sz w:val="28"/>
          <w:szCs w:val="28"/>
        </w:rPr>
      </w:pPr>
      <w:r>
        <w:rPr>
          <w:sz w:val="28"/>
          <w:szCs w:val="28"/>
        </w:rPr>
        <w:t>Страхование финансовых рисков является одним из важнейших видов страхования, т.к. оно позволяет предприятиям защититься от них и уверенно планировать развитие своего бизнеса.</w:t>
      </w:r>
    </w:p>
    <w:p w:rsidR="008F080C" w:rsidRDefault="008F080C" w:rsidP="008F080C">
      <w:pPr>
        <w:ind w:firstLine="708"/>
        <w:jc w:val="both"/>
        <w:rPr>
          <w:sz w:val="28"/>
          <w:szCs w:val="28"/>
        </w:rPr>
      </w:pPr>
      <w:r>
        <w:rPr>
          <w:sz w:val="28"/>
          <w:szCs w:val="28"/>
        </w:rPr>
        <w:t>Обычно к страховым случаям относят: остановку производства или сокращение объема производства в результате оговоренных в договоре страхования событий; банкротство; непредвиденные расходы; неисполнение или ненадлежащее исполнение договорных обязательств контрагентом застрахованного лица, являющегося кредитором по сделке; понесенные застрахованным лицом судебные расходы, а также другие события. Примером могут служить валютные риски, которые особенно наглядно проявились после 17 августа 1998 г.</w:t>
      </w:r>
    </w:p>
    <w:p w:rsidR="008F080C" w:rsidRDefault="004355A6" w:rsidP="00B12C61">
      <w:pPr>
        <w:shd w:val="clear" w:color="auto" w:fill="FFFFFF"/>
        <w:suppressAutoHyphens/>
        <w:ind w:firstLine="709"/>
        <w:jc w:val="both"/>
        <w:rPr>
          <w:color w:val="000000"/>
          <w:sz w:val="28"/>
        </w:rPr>
      </w:pPr>
      <w:r>
        <w:rPr>
          <w:color w:val="000000"/>
          <w:sz w:val="28"/>
        </w:rPr>
        <w:t>В России развитие страхования финансовых рисков проходило поэтапно.</w:t>
      </w:r>
    </w:p>
    <w:p w:rsidR="004355A6" w:rsidRDefault="004355A6" w:rsidP="00B12C61">
      <w:pPr>
        <w:shd w:val="clear" w:color="auto" w:fill="FFFFFF"/>
        <w:suppressAutoHyphens/>
        <w:ind w:firstLine="709"/>
        <w:jc w:val="both"/>
        <w:rPr>
          <w:color w:val="000000"/>
          <w:sz w:val="28"/>
        </w:rPr>
      </w:pPr>
      <w:r>
        <w:rPr>
          <w:color w:val="000000"/>
          <w:sz w:val="28"/>
        </w:rPr>
        <w:t>В начале 90-х гг. процесс создания новых страховых компаний имел лавинообразный и неконтролируемый характер. При этом новые страховщики готовы были страховать все и на любых условиях. Ярким примером такой «всеядности» страховых компаний было чрезвычайно популярное в то время страхование банковских кредитов. Этот вид страхования давал возможность страховщикам собирать достаточно крупные взносы. Когда же наступало время компенсировать убытки, компании, как правило, находили юридические основания для отказа в выплате.</w:t>
      </w:r>
    </w:p>
    <w:p w:rsidR="006C6E9D" w:rsidRDefault="004355A6" w:rsidP="00B12C61">
      <w:pPr>
        <w:shd w:val="clear" w:color="auto" w:fill="FFFFFF"/>
        <w:suppressAutoHyphens/>
        <w:ind w:firstLine="709"/>
        <w:jc w:val="both"/>
        <w:rPr>
          <w:color w:val="000000"/>
          <w:sz w:val="28"/>
        </w:rPr>
      </w:pPr>
      <w:r>
        <w:rPr>
          <w:color w:val="000000"/>
          <w:sz w:val="28"/>
        </w:rPr>
        <w:t>Второй этап развития российского страхования в 1993-1995 гг. можно назвать периодом относительно цивилизованного экстенсивного роста. Его начало связано с образованием Росстрахнадзора как органа государственного регулирования страховой деятельности и с принятием первого в истории России закона «О страховании». Были точно определены параметры страховой деятельности и требования к надежности страховщиков. Началась систематическая работа по упорядочиванию страхового рынка, в том числе и финансовых рисков.</w:t>
      </w:r>
    </w:p>
    <w:p w:rsidR="006C6E9D" w:rsidRDefault="006C6E9D" w:rsidP="00B12C61">
      <w:pPr>
        <w:shd w:val="clear" w:color="auto" w:fill="FFFFFF"/>
        <w:suppressAutoHyphens/>
        <w:ind w:firstLine="709"/>
        <w:jc w:val="both"/>
        <w:rPr>
          <w:color w:val="000000"/>
          <w:sz w:val="28"/>
        </w:rPr>
      </w:pPr>
      <w:r>
        <w:rPr>
          <w:color w:val="000000"/>
          <w:sz w:val="28"/>
        </w:rPr>
        <w:t>В течение 2000 г. На страховом рынке произошло сокращение премий в абсолютном размере по страхованию финансовых рисков. Лидерами по страхованию финансовых рисков являются РОСНО, РЕСО-Гарантия, Ингосстрах. На долю трех компаний приходится почти половина совокупных премий по данному виду страхования.</w:t>
      </w:r>
    </w:p>
    <w:p w:rsidR="006C6E9D" w:rsidRDefault="006C6E9D" w:rsidP="00B12C61">
      <w:pPr>
        <w:shd w:val="clear" w:color="auto" w:fill="FFFFFF"/>
        <w:suppressAutoHyphens/>
        <w:ind w:firstLine="709"/>
        <w:jc w:val="both"/>
        <w:rPr>
          <w:color w:val="000000"/>
          <w:sz w:val="28"/>
        </w:rPr>
      </w:pPr>
      <w:r>
        <w:rPr>
          <w:color w:val="000000"/>
          <w:sz w:val="28"/>
        </w:rPr>
        <w:t>С каждым годом в России расширялся перечень объектов страхования, в том числе и объектов страхования финансовых рисков.</w:t>
      </w:r>
    </w:p>
    <w:p w:rsidR="001418AD" w:rsidRDefault="004355A6" w:rsidP="001418AD">
      <w:pPr>
        <w:ind w:firstLine="708"/>
        <w:jc w:val="both"/>
        <w:rPr>
          <w:sz w:val="28"/>
          <w:szCs w:val="28"/>
        </w:rPr>
      </w:pPr>
      <w:r>
        <w:rPr>
          <w:color w:val="000000"/>
          <w:sz w:val="28"/>
        </w:rPr>
        <w:t xml:space="preserve"> </w:t>
      </w:r>
      <w:r w:rsidR="001418AD">
        <w:rPr>
          <w:sz w:val="28"/>
          <w:szCs w:val="28"/>
        </w:rPr>
        <w:t>Росстрахнадзор установил для страховых компаний, занимающихся страхованием финансовых рисков, повышенные требования к размеру уставного капитала (не менее 2,5 млрд руб.).</w:t>
      </w:r>
    </w:p>
    <w:p w:rsidR="001418AD" w:rsidRDefault="001418AD" w:rsidP="001418AD">
      <w:pPr>
        <w:ind w:firstLine="708"/>
        <w:jc w:val="both"/>
        <w:rPr>
          <w:sz w:val="28"/>
          <w:szCs w:val="28"/>
        </w:rPr>
      </w:pPr>
      <w:r>
        <w:rPr>
          <w:sz w:val="28"/>
          <w:szCs w:val="28"/>
        </w:rPr>
        <w:t xml:space="preserve">В настоящее время в российской практике страхования широко известно </w:t>
      </w:r>
      <w:r>
        <w:rPr>
          <w:b/>
          <w:sz w:val="28"/>
          <w:szCs w:val="28"/>
        </w:rPr>
        <w:t xml:space="preserve">страхование от потери прибыли вследствие вынужденного перерыва в производстве </w:t>
      </w:r>
      <w:r>
        <w:rPr>
          <w:sz w:val="28"/>
          <w:szCs w:val="28"/>
        </w:rPr>
        <w:t>(простоя), которое предусматривает возмещение убытков при уничтожении (повреждении) определенного имущества страхователя (техники, производственного оборудования, зданий, сооружений и т.п.) вследствие обусловленных событий (пожара, затопления и т.д.), если обычная хозяйственная деятельность страхователя прекратится (или ее объемы сократятся). Страховщик возмещает страхователю потерю прибыли (неполученную прибыль), которую тот мог бы получить при нормальном функционировании предприятия за срок, равный периоду вынужденного перерыва в производстве.</w:t>
      </w:r>
    </w:p>
    <w:p w:rsidR="001418AD" w:rsidRDefault="001418AD" w:rsidP="001418AD">
      <w:pPr>
        <w:shd w:val="clear" w:color="auto" w:fill="FFFFFF"/>
        <w:suppressAutoHyphens/>
        <w:ind w:firstLine="709"/>
        <w:jc w:val="both"/>
        <w:rPr>
          <w:color w:val="000000"/>
          <w:sz w:val="28"/>
          <w:szCs w:val="28"/>
        </w:rPr>
      </w:pPr>
      <w:r>
        <w:rPr>
          <w:color w:val="000000"/>
          <w:sz w:val="28"/>
          <w:szCs w:val="28"/>
        </w:rPr>
        <w:t>Аналогично могут заключаться договоры страхования на случай непоставки сырья, материалов, полуфабрикатов и т.п. в связи с пожаром, стихийным бедствием или каким-либо иным оговоренным событием у поставщика.</w:t>
      </w:r>
    </w:p>
    <w:p w:rsidR="001418AD" w:rsidRDefault="001418AD" w:rsidP="001418AD">
      <w:pPr>
        <w:shd w:val="clear" w:color="auto" w:fill="FFFFFF"/>
        <w:suppressAutoHyphens/>
        <w:ind w:firstLine="709"/>
        <w:jc w:val="both"/>
        <w:rPr>
          <w:color w:val="000000"/>
          <w:sz w:val="28"/>
          <w:szCs w:val="28"/>
        </w:rPr>
      </w:pPr>
      <w:r>
        <w:rPr>
          <w:color w:val="000000"/>
          <w:sz w:val="28"/>
          <w:szCs w:val="28"/>
        </w:rPr>
        <w:t>Договорами страхования от перерыва в производстве может быть предусмотрено, что страховщиком возмещаются не только неполученная прибыль, но и дополнительные расходы страхователя, необходимые для скорейшего восстановления нормального функционирования предприятия, в том числе заработная плата работников, привлеченных для восстановления поврежденных (уничтоженных) систем, оборудования, расходы по восстановлению оборудования и т.п.</w:t>
      </w:r>
    </w:p>
    <w:p w:rsidR="001418AD" w:rsidRDefault="001418AD" w:rsidP="001418AD">
      <w:pPr>
        <w:shd w:val="clear" w:color="auto" w:fill="FFFFFF"/>
        <w:suppressAutoHyphens/>
        <w:ind w:firstLine="709"/>
        <w:jc w:val="both"/>
        <w:rPr>
          <w:color w:val="000000"/>
          <w:sz w:val="28"/>
          <w:szCs w:val="28"/>
        </w:rPr>
      </w:pPr>
      <w:r>
        <w:rPr>
          <w:b/>
          <w:color w:val="000000"/>
          <w:sz w:val="28"/>
          <w:szCs w:val="28"/>
        </w:rPr>
        <w:t>Страхование от риска непредвиденных судебных расходов,</w:t>
      </w:r>
      <w:r>
        <w:rPr>
          <w:color w:val="000000"/>
          <w:sz w:val="28"/>
          <w:szCs w:val="28"/>
        </w:rPr>
        <w:t xml:space="preserve"> т.е. расходов, связанных с ведением страхователем (юридическим лицом, предпринимателем или просто гражданином) дел в судах общей юрисдикции или арбитражных судах. Страховым случаем являются вынужденные расходы по уплате госпошлины, издержки, связанные с рассмотрением дела в суде, расходы по оплате помощи адвокатов и др.</w:t>
      </w:r>
    </w:p>
    <w:p w:rsidR="001418AD" w:rsidRDefault="001418AD" w:rsidP="001418AD">
      <w:pPr>
        <w:shd w:val="clear" w:color="auto" w:fill="FFFFFF"/>
        <w:suppressAutoHyphens/>
        <w:ind w:firstLine="709"/>
        <w:jc w:val="both"/>
        <w:rPr>
          <w:color w:val="000000"/>
          <w:sz w:val="28"/>
          <w:szCs w:val="28"/>
        </w:rPr>
      </w:pPr>
      <w:r>
        <w:rPr>
          <w:b/>
          <w:color w:val="000000"/>
          <w:sz w:val="28"/>
          <w:szCs w:val="28"/>
        </w:rPr>
        <w:t xml:space="preserve">Страхование финансовых рисков, связанных с неисполнением обязательств клиентами </w:t>
      </w:r>
      <w:r>
        <w:rPr>
          <w:color w:val="000000"/>
          <w:sz w:val="28"/>
          <w:szCs w:val="28"/>
        </w:rPr>
        <w:t>(контрагентами) страхователя, например риск по договору поставки или купли-продажи товара. К данному виду страхования относится и страхование финансового риска банка, который связан с невозвратом кредитных средств, в том числе и по договорам межбанковского кредита, с неоплатой купленных банком векселей и т.п., а также риска, связанного с ошибками сотрудников банка или нечестностью его персонала, которые могут повлечь непредвиденные выплаты и расходы.</w:t>
      </w:r>
    </w:p>
    <w:p w:rsidR="001418AD" w:rsidRDefault="001418AD" w:rsidP="001418AD">
      <w:pPr>
        <w:shd w:val="clear" w:color="auto" w:fill="FFFFFF"/>
        <w:suppressAutoHyphens/>
        <w:ind w:firstLine="709"/>
        <w:jc w:val="both"/>
        <w:rPr>
          <w:color w:val="000000"/>
          <w:sz w:val="28"/>
          <w:szCs w:val="28"/>
        </w:rPr>
      </w:pPr>
      <w:r>
        <w:rPr>
          <w:b/>
          <w:color w:val="000000"/>
          <w:sz w:val="28"/>
          <w:szCs w:val="28"/>
        </w:rPr>
        <w:t xml:space="preserve">Страхование финансового риска по кредитному договору (кредитным договорам) </w:t>
      </w:r>
      <w:r>
        <w:rPr>
          <w:color w:val="000000"/>
          <w:sz w:val="28"/>
          <w:szCs w:val="28"/>
        </w:rPr>
        <w:t>может осуществляться по отдельному кредитному договору или группе договоров. Предел ответственности страховщика определяется страховой суммой, устанавливаемой соглашением сторон, и не может превышать суммы выдаваемого кредита с процентами за пользование кредитом. Банк может застраховать свой финансовый риск по всей сумме выданного кредита с процентами (или без процентов) за пользование им либо на меньшую сумму.</w:t>
      </w:r>
    </w:p>
    <w:p w:rsidR="001418AD" w:rsidRDefault="001418AD" w:rsidP="001418AD">
      <w:pPr>
        <w:shd w:val="clear" w:color="auto" w:fill="FFFFFF"/>
        <w:suppressAutoHyphens/>
        <w:ind w:firstLine="709"/>
        <w:jc w:val="both"/>
        <w:rPr>
          <w:color w:val="000000"/>
          <w:sz w:val="28"/>
          <w:szCs w:val="28"/>
        </w:rPr>
      </w:pPr>
      <w:r>
        <w:rPr>
          <w:color w:val="000000"/>
          <w:sz w:val="28"/>
          <w:szCs w:val="28"/>
        </w:rPr>
        <w:t>Страховые компании охотнее заключают договоры страхования с банками не на всю сумму выданного кредита с процентами, а на 80-90% этой суммы. Предусмотренная таким образом доля участия банка в возмещении убытка повышает его ответственность и заинтересованность в возврате кредита.</w:t>
      </w:r>
    </w:p>
    <w:p w:rsidR="001418AD" w:rsidRDefault="001418AD" w:rsidP="001418AD">
      <w:pPr>
        <w:shd w:val="clear" w:color="auto" w:fill="FFFFFF"/>
        <w:suppressAutoHyphens/>
        <w:ind w:firstLine="709"/>
        <w:jc w:val="both"/>
        <w:rPr>
          <w:color w:val="000000"/>
          <w:sz w:val="28"/>
          <w:szCs w:val="28"/>
        </w:rPr>
      </w:pPr>
      <w:r>
        <w:rPr>
          <w:color w:val="000000"/>
          <w:sz w:val="28"/>
          <w:szCs w:val="28"/>
        </w:rPr>
        <w:t>Страховым случаем признается невозврат заемщиком кредитных средств и процентов за пользование ими по истечении определенного срока по причине несостоятельности (банкротства) заемщика, умышленного неисполнения или ненадлежащего исполнения им своих обязанностей по кредитному договору, невозможность исполнения обязательств заемщиком вследствие форс-мажорных обстоятельств и др.</w:t>
      </w:r>
    </w:p>
    <w:p w:rsidR="001418AD" w:rsidRDefault="001418AD" w:rsidP="001418AD">
      <w:pPr>
        <w:shd w:val="clear" w:color="auto" w:fill="FFFFFF"/>
        <w:suppressAutoHyphens/>
        <w:ind w:firstLine="709"/>
        <w:jc w:val="both"/>
        <w:rPr>
          <w:color w:val="000000"/>
          <w:sz w:val="28"/>
          <w:szCs w:val="28"/>
        </w:rPr>
      </w:pPr>
      <w:r>
        <w:rPr>
          <w:b/>
          <w:color w:val="000000"/>
          <w:sz w:val="28"/>
          <w:szCs w:val="28"/>
        </w:rPr>
        <w:t>Страхование предпринимательского риска</w:t>
      </w:r>
      <w:r>
        <w:rPr>
          <w:color w:val="000000"/>
          <w:sz w:val="28"/>
          <w:szCs w:val="28"/>
        </w:rPr>
        <w:t xml:space="preserve"> включает как риск утраты имущества, так и риск неполучения ожидаемых доходов. Страхователем по договору страхования предпринимательского риска может быть только лицо, риск убытков от предпринимательской деятельности которого страхуется. Нельзя застраховать чужой предпринимательский риск.</w:t>
      </w:r>
    </w:p>
    <w:p w:rsidR="001418AD" w:rsidRDefault="001418AD" w:rsidP="001418AD">
      <w:pPr>
        <w:shd w:val="clear" w:color="auto" w:fill="FFFFFF"/>
        <w:suppressAutoHyphens/>
        <w:ind w:firstLine="709"/>
        <w:jc w:val="both"/>
        <w:rPr>
          <w:color w:val="000000"/>
          <w:sz w:val="28"/>
          <w:szCs w:val="28"/>
        </w:rPr>
      </w:pPr>
      <w:r>
        <w:rPr>
          <w:b/>
          <w:color w:val="000000"/>
          <w:sz w:val="28"/>
          <w:szCs w:val="28"/>
        </w:rPr>
        <w:t xml:space="preserve">Страхование банковских рисков. </w:t>
      </w:r>
      <w:r>
        <w:rPr>
          <w:color w:val="000000"/>
          <w:sz w:val="28"/>
          <w:szCs w:val="28"/>
        </w:rPr>
        <w:t>Страховщики, ориентирующиеся на сотрудничество с банками, первоначально могут предложить своим партнерам комплексную страховую защиту. Страховое покрытие формируется из нескольких страховых продуктов, дополняющих друг друга, например:</w:t>
      </w:r>
      <w:r>
        <w:rPr>
          <w:b/>
          <w:color w:val="000000"/>
          <w:sz w:val="28"/>
          <w:szCs w:val="28"/>
        </w:rPr>
        <w:t xml:space="preserve"> </w:t>
      </w:r>
    </w:p>
    <w:p w:rsidR="001418AD" w:rsidRDefault="001418AD" w:rsidP="001418AD">
      <w:pPr>
        <w:pStyle w:val="a3"/>
        <w:numPr>
          <w:ilvl w:val="0"/>
          <w:numId w:val="1"/>
        </w:numPr>
        <w:shd w:val="clear" w:color="auto" w:fill="FFFFFF"/>
        <w:suppressAutoHyphens/>
        <w:jc w:val="both"/>
        <w:rPr>
          <w:color w:val="000000"/>
          <w:sz w:val="28"/>
          <w:szCs w:val="28"/>
        </w:rPr>
      </w:pPr>
      <w:r>
        <w:rPr>
          <w:color w:val="000000"/>
          <w:sz w:val="28"/>
          <w:szCs w:val="28"/>
        </w:rPr>
        <w:t>Комплексное страхование банков;</w:t>
      </w:r>
    </w:p>
    <w:p w:rsidR="001418AD" w:rsidRDefault="001418AD" w:rsidP="001418AD">
      <w:pPr>
        <w:pStyle w:val="a3"/>
        <w:numPr>
          <w:ilvl w:val="0"/>
          <w:numId w:val="1"/>
        </w:numPr>
        <w:shd w:val="clear" w:color="auto" w:fill="FFFFFF"/>
        <w:suppressAutoHyphens/>
        <w:jc w:val="both"/>
        <w:rPr>
          <w:color w:val="000000"/>
          <w:sz w:val="28"/>
          <w:szCs w:val="28"/>
        </w:rPr>
      </w:pPr>
      <w:r>
        <w:rPr>
          <w:color w:val="000000"/>
          <w:sz w:val="28"/>
          <w:szCs w:val="28"/>
        </w:rPr>
        <w:t>Страхование банков от электронных и компьютерных преступлений;</w:t>
      </w:r>
    </w:p>
    <w:p w:rsidR="001418AD" w:rsidRDefault="001418AD" w:rsidP="001418AD">
      <w:pPr>
        <w:pStyle w:val="a3"/>
        <w:numPr>
          <w:ilvl w:val="0"/>
          <w:numId w:val="1"/>
        </w:numPr>
        <w:shd w:val="clear" w:color="auto" w:fill="FFFFFF"/>
        <w:suppressAutoHyphens/>
        <w:jc w:val="both"/>
        <w:rPr>
          <w:color w:val="000000"/>
          <w:sz w:val="28"/>
          <w:szCs w:val="28"/>
        </w:rPr>
      </w:pPr>
      <w:r>
        <w:rPr>
          <w:color w:val="000000"/>
          <w:sz w:val="28"/>
          <w:szCs w:val="28"/>
        </w:rPr>
        <w:t>Страхование эмитентов пластиковых карт;</w:t>
      </w:r>
    </w:p>
    <w:p w:rsidR="001418AD" w:rsidRDefault="001418AD" w:rsidP="001418AD">
      <w:pPr>
        <w:pStyle w:val="a3"/>
        <w:numPr>
          <w:ilvl w:val="0"/>
          <w:numId w:val="1"/>
        </w:numPr>
        <w:shd w:val="clear" w:color="auto" w:fill="FFFFFF"/>
        <w:suppressAutoHyphens/>
        <w:jc w:val="both"/>
        <w:rPr>
          <w:color w:val="000000"/>
          <w:sz w:val="28"/>
          <w:szCs w:val="28"/>
        </w:rPr>
      </w:pPr>
      <w:r>
        <w:rPr>
          <w:color w:val="000000"/>
          <w:sz w:val="28"/>
          <w:szCs w:val="28"/>
        </w:rPr>
        <w:t>Страхование банковских хранилищ;</w:t>
      </w:r>
    </w:p>
    <w:p w:rsidR="001418AD" w:rsidRDefault="001418AD" w:rsidP="001418AD">
      <w:pPr>
        <w:pStyle w:val="a3"/>
        <w:numPr>
          <w:ilvl w:val="0"/>
          <w:numId w:val="1"/>
        </w:numPr>
        <w:shd w:val="clear" w:color="auto" w:fill="FFFFFF"/>
        <w:suppressAutoHyphens/>
        <w:jc w:val="both"/>
        <w:rPr>
          <w:color w:val="000000"/>
          <w:sz w:val="28"/>
          <w:szCs w:val="28"/>
        </w:rPr>
      </w:pPr>
      <w:r>
        <w:rPr>
          <w:color w:val="000000"/>
          <w:sz w:val="28"/>
          <w:szCs w:val="28"/>
        </w:rPr>
        <w:t>Страхование ценностей при их транспортировке;</w:t>
      </w:r>
    </w:p>
    <w:p w:rsidR="001418AD" w:rsidRDefault="001418AD" w:rsidP="001418AD">
      <w:pPr>
        <w:pStyle w:val="a3"/>
        <w:numPr>
          <w:ilvl w:val="0"/>
          <w:numId w:val="1"/>
        </w:numPr>
        <w:shd w:val="clear" w:color="auto" w:fill="FFFFFF"/>
        <w:suppressAutoHyphens/>
        <w:jc w:val="both"/>
        <w:rPr>
          <w:color w:val="000000"/>
          <w:sz w:val="28"/>
          <w:szCs w:val="28"/>
        </w:rPr>
      </w:pPr>
      <w:r>
        <w:rPr>
          <w:color w:val="000000"/>
          <w:sz w:val="28"/>
          <w:szCs w:val="28"/>
        </w:rPr>
        <w:t>Страхование ответственности директоров и должностных лиц.</w:t>
      </w:r>
    </w:p>
    <w:p w:rsidR="001418AD" w:rsidRDefault="001418AD" w:rsidP="001418AD">
      <w:pPr>
        <w:pStyle w:val="a3"/>
        <w:shd w:val="clear" w:color="auto" w:fill="FFFFFF"/>
        <w:suppressAutoHyphens/>
        <w:ind w:left="0" w:firstLine="708"/>
        <w:jc w:val="both"/>
        <w:rPr>
          <w:color w:val="000000"/>
          <w:sz w:val="28"/>
          <w:szCs w:val="28"/>
        </w:rPr>
      </w:pPr>
      <w:r>
        <w:rPr>
          <w:color w:val="000000"/>
          <w:sz w:val="28"/>
          <w:szCs w:val="28"/>
        </w:rPr>
        <w:t>В настоящий момент лидерами в страховании финансовых рисков являются следующие компании:</w:t>
      </w:r>
    </w:p>
    <w:p w:rsidR="001418AD" w:rsidRDefault="001418AD" w:rsidP="001418AD">
      <w:pPr>
        <w:shd w:val="clear" w:color="auto" w:fill="FFFFFF"/>
        <w:suppressAutoHyphens/>
        <w:spacing w:line="360" w:lineRule="auto"/>
        <w:ind w:firstLine="709"/>
        <w:jc w:val="center"/>
        <w:rPr>
          <w:b/>
          <w:color w:val="000000"/>
          <w:sz w:val="28"/>
        </w:rPr>
      </w:pPr>
    </w:p>
    <w:p w:rsidR="001418AD" w:rsidRDefault="001418AD" w:rsidP="001418AD">
      <w:pPr>
        <w:shd w:val="clear" w:color="auto" w:fill="FFFFFF"/>
        <w:suppressAutoHyphens/>
        <w:spacing w:line="360" w:lineRule="auto"/>
        <w:ind w:firstLine="709"/>
        <w:jc w:val="center"/>
        <w:rPr>
          <w:b/>
          <w:color w:val="000000"/>
          <w:sz w:val="28"/>
        </w:rPr>
      </w:pPr>
    </w:p>
    <w:p w:rsidR="001418AD" w:rsidRDefault="001418AD" w:rsidP="001418AD">
      <w:pPr>
        <w:shd w:val="clear" w:color="auto" w:fill="FFFFFF"/>
        <w:suppressAutoHyphens/>
        <w:spacing w:line="360" w:lineRule="auto"/>
        <w:ind w:firstLine="709"/>
        <w:jc w:val="center"/>
        <w:rPr>
          <w:b/>
          <w:color w:val="000000"/>
          <w:sz w:val="28"/>
        </w:rPr>
      </w:pPr>
    </w:p>
    <w:p w:rsidR="001418AD" w:rsidRDefault="001418AD" w:rsidP="001418AD">
      <w:pPr>
        <w:shd w:val="clear" w:color="auto" w:fill="FFFFFF"/>
        <w:suppressAutoHyphens/>
        <w:spacing w:line="360" w:lineRule="auto"/>
        <w:ind w:firstLine="709"/>
        <w:jc w:val="center"/>
        <w:rPr>
          <w:b/>
          <w:color w:val="000000"/>
          <w:sz w:val="28"/>
        </w:rPr>
      </w:pPr>
      <w:r>
        <w:rPr>
          <w:b/>
          <w:color w:val="000000"/>
          <w:sz w:val="28"/>
        </w:rPr>
        <w:t>Компании-лидеры в страховании финансовых рисков в 200</w:t>
      </w:r>
      <w:r w:rsidR="008105DA">
        <w:rPr>
          <w:b/>
          <w:color w:val="000000"/>
          <w:sz w:val="28"/>
        </w:rPr>
        <w:t>9</w:t>
      </w:r>
      <w:r>
        <w:rPr>
          <w:b/>
          <w:color w:val="000000"/>
          <w:sz w:val="28"/>
        </w:rPr>
        <w:t xml:space="preserve">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2224"/>
        <w:gridCol w:w="3291"/>
        <w:gridCol w:w="3337"/>
      </w:tblGrid>
      <w:tr w:rsidR="001418AD" w:rsidTr="0043164F">
        <w:trPr>
          <w:cantSplit/>
          <w:trHeight w:val="1134"/>
        </w:trPr>
        <w:tc>
          <w:tcPr>
            <w:tcW w:w="719" w:type="dxa"/>
            <w:textDirection w:val="btLr"/>
            <w:vAlign w:val="center"/>
          </w:tcPr>
          <w:p w:rsidR="001418AD" w:rsidRPr="0043164F" w:rsidRDefault="001418AD" w:rsidP="0043164F">
            <w:pPr>
              <w:suppressAutoHyphens/>
              <w:spacing w:line="360" w:lineRule="auto"/>
              <w:ind w:left="113" w:right="113"/>
              <w:jc w:val="center"/>
              <w:rPr>
                <w:b/>
                <w:color w:val="000000"/>
              </w:rPr>
            </w:pPr>
            <w:r w:rsidRPr="0043164F">
              <w:rPr>
                <w:b/>
                <w:color w:val="000000"/>
              </w:rPr>
              <w:t>место</w:t>
            </w:r>
          </w:p>
        </w:tc>
        <w:tc>
          <w:tcPr>
            <w:tcW w:w="2224" w:type="dxa"/>
            <w:vAlign w:val="center"/>
          </w:tcPr>
          <w:p w:rsidR="001418AD" w:rsidRPr="0043164F" w:rsidRDefault="001418AD" w:rsidP="0043164F">
            <w:pPr>
              <w:suppressAutoHyphens/>
              <w:spacing w:line="360" w:lineRule="auto"/>
              <w:jc w:val="center"/>
              <w:rPr>
                <w:b/>
                <w:color w:val="000000"/>
              </w:rPr>
            </w:pPr>
            <w:r w:rsidRPr="0043164F">
              <w:rPr>
                <w:b/>
                <w:color w:val="000000"/>
              </w:rPr>
              <w:t>Компания</w:t>
            </w:r>
          </w:p>
        </w:tc>
        <w:tc>
          <w:tcPr>
            <w:tcW w:w="3291" w:type="dxa"/>
            <w:tcBorders>
              <w:right w:val="single" w:sz="4" w:space="0" w:color="auto"/>
            </w:tcBorders>
            <w:vAlign w:val="center"/>
          </w:tcPr>
          <w:p w:rsidR="001418AD" w:rsidRPr="0043164F" w:rsidRDefault="001418AD" w:rsidP="0043164F">
            <w:pPr>
              <w:suppressAutoHyphens/>
              <w:spacing w:line="360" w:lineRule="auto"/>
              <w:jc w:val="center"/>
              <w:rPr>
                <w:b/>
                <w:color w:val="000000"/>
              </w:rPr>
            </w:pPr>
            <w:r w:rsidRPr="0043164F">
              <w:rPr>
                <w:b/>
                <w:color w:val="000000"/>
              </w:rPr>
              <w:t>Взносы (1 п/г 200</w:t>
            </w:r>
            <w:r w:rsidR="008105DA" w:rsidRPr="0043164F">
              <w:rPr>
                <w:b/>
                <w:color w:val="000000"/>
              </w:rPr>
              <w:t>8</w:t>
            </w:r>
            <w:r w:rsidRPr="0043164F">
              <w:rPr>
                <w:b/>
                <w:color w:val="000000"/>
              </w:rPr>
              <w:t xml:space="preserve"> г.), тыс. руб.</w:t>
            </w:r>
          </w:p>
        </w:tc>
        <w:tc>
          <w:tcPr>
            <w:tcW w:w="3337" w:type="dxa"/>
            <w:tcBorders>
              <w:left w:val="single" w:sz="4" w:space="0" w:color="auto"/>
            </w:tcBorders>
            <w:vAlign w:val="center"/>
          </w:tcPr>
          <w:p w:rsidR="001418AD" w:rsidRPr="0043164F" w:rsidRDefault="001418AD" w:rsidP="0043164F">
            <w:pPr>
              <w:suppressAutoHyphens/>
              <w:spacing w:line="360" w:lineRule="auto"/>
              <w:jc w:val="center"/>
              <w:rPr>
                <w:b/>
                <w:color w:val="000000"/>
              </w:rPr>
            </w:pPr>
            <w:r w:rsidRPr="0043164F">
              <w:rPr>
                <w:b/>
                <w:color w:val="000000"/>
              </w:rPr>
              <w:t>Выплаты (1 п/г 200</w:t>
            </w:r>
            <w:r w:rsidR="008105DA" w:rsidRPr="0043164F">
              <w:rPr>
                <w:b/>
                <w:color w:val="000000"/>
              </w:rPr>
              <w:t>8</w:t>
            </w:r>
            <w:r w:rsidRPr="0043164F">
              <w:rPr>
                <w:b/>
                <w:color w:val="000000"/>
              </w:rPr>
              <w:t xml:space="preserve"> г.), тыс. руб.</w:t>
            </w:r>
          </w:p>
        </w:tc>
      </w:tr>
      <w:tr w:rsidR="001418AD" w:rsidTr="0043164F">
        <w:tc>
          <w:tcPr>
            <w:tcW w:w="719" w:type="dxa"/>
            <w:vAlign w:val="center"/>
          </w:tcPr>
          <w:p w:rsidR="001418AD" w:rsidRPr="0043164F" w:rsidRDefault="001418AD" w:rsidP="0043164F">
            <w:pPr>
              <w:suppressAutoHyphens/>
              <w:spacing w:line="360" w:lineRule="auto"/>
              <w:jc w:val="center"/>
              <w:rPr>
                <w:color w:val="000000"/>
                <w:sz w:val="28"/>
                <w:szCs w:val="22"/>
              </w:rPr>
            </w:pPr>
            <w:r w:rsidRPr="0043164F">
              <w:rPr>
                <w:color w:val="000000"/>
                <w:sz w:val="28"/>
                <w:szCs w:val="22"/>
              </w:rPr>
              <w:t>1</w:t>
            </w:r>
          </w:p>
        </w:tc>
        <w:tc>
          <w:tcPr>
            <w:tcW w:w="2224" w:type="dxa"/>
            <w:vAlign w:val="center"/>
          </w:tcPr>
          <w:p w:rsidR="001418AD" w:rsidRPr="0043164F" w:rsidRDefault="001418AD" w:rsidP="0043164F">
            <w:pPr>
              <w:suppressAutoHyphens/>
              <w:spacing w:line="360" w:lineRule="auto"/>
              <w:rPr>
                <w:color w:val="000000"/>
              </w:rPr>
            </w:pPr>
            <w:r w:rsidRPr="0043164F">
              <w:rPr>
                <w:color w:val="000000"/>
              </w:rPr>
              <w:t>Группа «Ингосстрах»</w:t>
            </w:r>
          </w:p>
        </w:tc>
        <w:tc>
          <w:tcPr>
            <w:tcW w:w="3291" w:type="dxa"/>
            <w:tcBorders>
              <w:right w:val="single" w:sz="4" w:space="0" w:color="auto"/>
            </w:tcBorders>
            <w:vAlign w:val="center"/>
          </w:tcPr>
          <w:p w:rsidR="001418AD" w:rsidRPr="0043164F" w:rsidRDefault="001418AD" w:rsidP="0043164F">
            <w:pPr>
              <w:suppressAutoHyphens/>
              <w:spacing w:line="360" w:lineRule="auto"/>
              <w:jc w:val="center"/>
              <w:rPr>
                <w:color w:val="000000"/>
              </w:rPr>
            </w:pPr>
            <w:r w:rsidRPr="0043164F">
              <w:rPr>
                <w:color w:val="000000"/>
              </w:rPr>
              <w:t>193 306</w:t>
            </w:r>
          </w:p>
        </w:tc>
        <w:tc>
          <w:tcPr>
            <w:tcW w:w="3337" w:type="dxa"/>
            <w:tcBorders>
              <w:left w:val="single" w:sz="4" w:space="0" w:color="auto"/>
            </w:tcBorders>
          </w:tcPr>
          <w:p w:rsidR="001418AD" w:rsidRPr="0043164F" w:rsidRDefault="001418AD" w:rsidP="0043164F">
            <w:pPr>
              <w:suppressAutoHyphens/>
              <w:spacing w:line="360" w:lineRule="auto"/>
              <w:jc w:val="center"/>
              <w:rPr>
                <w:color w:val="000000"/>
              </w:rPr>
            </w:pPr>
            <w:r w:rsidRPr="0043164F">
              <w:rPr>
                <w:color w:val="000000"/>
              </w:rPr>
              <w:t>21 037</w:t>
            </w:r>
          </w:p>
        </w:tc>
      </w:tr>
      <w:tr w:rsidR="001418AD" w:rsidTr="0043164F">
        <w:tc>
          <w:tcPr>
            <w:tcW w:w="719" w:type="dxa"/>
            <w:vAlign w:val="center"/>
          </w:tcPr>
          <w:p w:rsidR="001418AD" w:rsidRPr="0043164F" w:rsidRDefault="001418AD" w:rsidP="0043164F">
            <w:pPr>
              <w:suppressAutoHyphens/>
              <w:spacing w:line="360" w:lineRule="auto"/>
              <w:jc w:val="center"/>
              <w:rPr>
                <w:color w:val="000000"/>
                <w:sz w:val="28"/>
                <w:szCs w:val="22"/>
              </w:rPr>
            </w:pPr>
            <w:r w:rsidRPr="0043164F">
              <w:rPr>
                <w:color w:val="000000"/>
                <w:sz w:val="28"/>
                <w:szCs w:val="22"/>
              </w:rPr>
              <w:t>2</w:t>
            </w:r>
          </w:p>
        </w:tc>
        <w:tc>
          <w:tcPr>
            <w:tcW w:w="2224" w:type="dxa"/>
            <w:vAlign w:val="center"/>
          </w:tcPr>
          <w:p w:rsidR="001418AD" w:rsidRPr="0043164F" w:rsidRDefault="001418AD" w:rsidP="0043164F">
            <w:pPr>
              <w:suppressAutoHyphens/>
              <w:spacing w:line="360" w:lineRule="auto"/>
              <w:rPr>
                <w:color w:val="000000"/>
              </w:rPr>
            </w:pPr>
            <w:r w:rsidRPr="0043164F">
              <w:rPr>
                <w:color w:val="000000"/>
              </w:rPr>
              <w:t>Группа «МАКС»</w:t>
            </w:r>
          </w:p>
        </w:tc>
        <w:tc>
          <w:tcPr>
            <w:tcW w:w="3291" w:type="dxa"/>
            <w:tcBorders>
              <w:right w:val="single" w:sz="4" w:space="0" w:color="auto"/>
            </w:tcBorders>
            <w:vAlign w:val="center"/>
          </w:tcPr>
          <w:p w:rsidR="001418AD" w:rsidRPr="0043164F" w:rsidRDefault="001418AD" w:rsidP="0043164F">
            <w:pPr>
              <w:suppressAutoHyphens/>
              <w:spacing w:line="360" w:lineRule="auto"/>
              <w:jc w:val="center"/>
              <w:rPr>
                <w:color w:val="000000"/>
              </w:rPr>
            </w:pPr>
            <w:r w:rsidRPr="0043164F">
              <w:rPr>
                <w:color w:val="000000"/>
              </w:rPr>
              <w:t>181 861</w:t>
            </w:r>
          </w:p>
        </w:tc>
        <w:tc>
          <w:tcPr>
            <w:tcW w:w="3337" w:type="dxa"/>
            <w:tcBorders>
              <w:left w:val="single" w:sz="4" w:space="0" w:color="auto"/>
            </w:tcBorders>
          </w:tcPr>
          <w:p w:rsidR="001418AD" w:rsidRPr="0043164F" w:rsidRDefault="001418AD" w:rsidP="0043164F">
            <w:pPr>
              <w:suppressAutoHyphens/>
              <w:spacing w:line="360" w:lineRule="auto"/>
              <w:jc w:val="center"/>
              <w:rPr>
                <w:color w:val="000000"/>
              </w:rPr>
            </w:pPr>
            <w:r w:rsidRPr="0043164F">
              <w:rPr>
                <w:color w:val="000000"/>
              </w:rPr>
              <w:t>12 329</w:t>
            </w:r>
          </w:p>
        </w:tc>
      </w:tr>
      <w:tr w:rsidR="001418AD" w:rsidTr="0043164F">
        <w:tc>
          <w:tcPr>
            <w:tcW w:w="719" w:type="dxa"/>
            <w:vAlign w:val="center"/>
          </w:tcPr>
          <w:p w:rsidR="001418AD" w:rsidRPr="0043164F" w:rsidRDefault="001418AD" w:rsidP="0043164F">
            <w:pPr>
              <w:suppressAutoHyphens/>
              <w:spacing w:line="360" w:lineRule="auto"/>
              <w:jc w:val="center"/>
              <w:rPr>
                <w:color w:val="000000"/>
                <w:sz w:val="28"/>
                <w:szCs w:val="22"/>
              </w:rPr>
            </w:pPr>
            <w:r w:rsidRPr="0043164F">
              <w:rPr>
                <w:color w:val="000000"/>
                <w:sz w:val="28"/>
                <w:szCs w:val="22"/>
              </w:rPr>
              <w:t>3</w:t>
            </w:r>
          </w:p>
        </w:tc>
        <w:tc>
          <w:tcPr>
            <w:tcW w:w="2224" w:type="dxa"/>
            <w:vAlign w:val="center"/>
          </w:tcPr>
          <w:p w:rsidR="001418AD" w:rsidRPr="0043164F" w:rsidRDefault="001418AD" w:rsidP="0043164F">
            <w:pPr>
              <w:suppressAutoHyphens/>
              <w:spacing w:line="360" w:lineRule="auto"/>
              <w:rPr>
                <w:color w:val="000000"/>
              </w:rPr>
            </w:pPr>
            <w:r w:rsidRPr="0043164F">
              <w:rPr>
                <w:color w:val="000000"/>
              </w:rPr>
              <w:t>Группа «СОГАЗ»</w:t>
            </w:r>
          </w:p>
        </w:tc>
        <w:tc>
          <w:tcPr>
            <w:tcW w:w="3291" w:type="dxa"/>
            <w:tcBorders>
              <w:right w:val="single" w:sz="4" w:space="0" w:color="auto"/>
            </w:tcBorders>
            <w:vAlign w:val="center"/>
          </w:tcPr>
          <w:p w:rsidR="001418AD" w:rsidRPr="0043164F" w:rsidRDefault="001418AD" w:rsidP="0043164F">
            <w:pPr>
              <w:suppressAutoHyphens/>
              <w:spacing w:line="360" w:lineRule="auto"/>
              <w:jc w:val="center"/>
              <w:rPr>
                <w:color w:val="000000"/>
              </w:rPr>
            </w:pPr>
            <w:r w:rsidRPr="0043164F">
              <w:rPr>
                <w:color w:val="000000"/>
              </w:rPr>
              <w:t>115 132</w:t>
            </w:r>
          </w:p>
        </w:tc>
        <w:tc>
          <w:tcPr>
            <w:tcW w:w="3337" w:type="dxa"/>
            <w:tcBorders>
              <w:left w:val="single" w:sz="4" w:space="0" w:color="auto"/>
            </w:tcBorders>
          </w:tcPr>
          <w:p w:rsidR="001418AD" w:rsidRPr="0043164F" w:rsidRDefault="001418AD" w:rsidP="0043164F">
            <w:pPr>
              <w:suppressAutoHyphens/>
              <w:spacing w:line="360" w:lineRule="auto"/>
              <w:jc w:val="center"/>
              <w:rPr>
                <w:color w:val="000000"/>
              </w:rPr>
            </w:pPr>
            <w:r w:rsidRPr="0043164F">
              <w:rPr>
                <w:color w:val="000000"/>
              </w:rPr>
              <w:t>7 672</w:t>
            </w:r>
          </w:p>
        </w:tc>
      </w:tr>
      <w:tr w:rsidR="001418AD" w:rsidTr="0043164F">
        <w:tc>
          <w:tcPr>
            <w:tcW w:w="719" w:type="dxa"/>
            <w:vAlign w:val="center"/>
          </w:tcPr>
          <w:p w:rsidR="001418AD" w:rsidRPr="0043164F" w:rsidRDefault="001418AD" w:rsidP="0043164F">
            <w:pPr>
              <w:suppressAutoHyphens/>
              <w:spacing w:line="360" w:lineRule="auto"/>
              <w:jc w:val="center"/>
              <w:rPr>
                <w:color w:val="000000"/>
                <w:sz w:val="28"/>
                <w:szCs w:val="22"/>
              </w:rPr>
            </w:pPr>
            <w:r w:rsidRPr="0043164F">
              <w:rPr>
                <w:color w:val="000000"/>
                <w:sz w:val="28"/>
                <w:szCs w:val="22"/>
              </w:rPr>
              <w:t>4</w:t>
            </w:r>
          </w:p>
        </w:tc>
        <w:tc>
          <w:tcPr>
            <w:tcW w:w="2224" w:type="dxa"/>
            <w:vAlign w:val="center"/>
          </w:tcPr>
          <w:p w:rsidR="001418AD" w:rsidRPr="0043164F" w:rsidRDefault="001418AD" w:rsidP="0043164F">
            <w:pPr>
              <w:suppressAutoHyphens/>
              <w:spacing w:line="360" w:lineRule="auto"/>
              <w:rPr>
                <w:color w:val="000000"/>
              </w:rPr>
            </w:pPr>
            <w:r w:rsidRPr="0043164F">
              <w:rPr>
                <w:color w:val="000000"/>
              </w:rPr>
              <w:t>РОСНО</w:t>
            </w:r>
          </w:p>
        </w:tc>
        <w:tc>
          <w:tcPr>
            <w:tcW w:w="3291" w:type="dxa"/>
            <w:tcBorders>
              <w:right w:val="single" w:sz="4" w:space="0" w:color="auto"/>
            </w:tcBorders>
            <w:vAlign w:val="center"/>
          </w:tcPr>
          <w:p w:rsidR="001418AD" w:rsidRPr="0043164F" w:rsidRDefault="001418AD" w:rsidP="0043164F">
            <w:pPr>
              <w:suppressAutoHyphens/>
              <w:spacing w:line="360" w:lineRule="auto"/>
              <w:jc w:val="center"/>
              <w:rPr>
                <w:color w:val="000000"/>
              </w:rPr>
            </w:pPr>
            <w:r w:rsidRPr="0043164F">
              <w:rPr>
                <w:color w:val="000000"/>
              </w:rPr>
              <w:t>111 084</w:t>
            </w:r>
          </w:p>
        </w:tc>
        <w:tc>
          <w:tcPr>
            <w:tcW w:w="3337" w:type="dxa"/>
            <w:tcBorders>
              <w:left w:val="single" w:sz="4" w:space="0" w:color="auto"/>
            </w:tcBorders>
          </w:tcPr>
          <w:p w:rsidR="001418AD" w:rsidRPr="0043164F" w:rsidRDefault="001418AD" w:rsidP="0043164F">
            <w:pPr>
              <w:suppressAutoHyphens/>
              <w:spacing w:line="360" w:lineRule="auto"/>
              <w:jc w:val="center"/>
              <w:rPr>
                <w:color w:val="000000"/>
              </w:rPr>
            </w:pPr>
            <w:r w:rsidRPr="0043164F">
              <w:rPr>
                <w:color w:val="000000"/>
              </w:rPr>
              <w:t>39 428</w:t>
            </w:r>
          </w:p>
        </w:tc>
      </w:tr>
      <w:tr w:rsidR="001418AD" w:rsidTr="0043164F">
        <w:tc>
          <w:tcPr>
            <w:tcW w:w="719" w:type="dxa"/>
            <w:vAlign w:val="center"/>
          </w:tcPr>
          <w:p w:rsidR="001418AD" w:rsidRPr="0043164F" w:rsidRDefault="001418AD" w:rsidP="0043164F">
            <w:pPr>
              <w:suppressAutoHyphens/>
              <w:spacing w:line="360" w:lineRule="auto"/>
              <w:jc w:val="center"/>
              <w:rPr>
                <w:color w:val="000000"/>
                <w:sz w:val="28"/>
                <w:szCs w:val="22"/>
              </w:rPr>
            </w:pPr>
            <w:r w:rsidRPr="0043164F">
              <w:rPr>
                <w:color w:val="000000"/>
                <w:sz w:val="28"/>
                <w:szCs w:val="22"/>
              </w:rPr>
              <w:t>5</w:t>
            </w:r>
          </w:p>
        </w:tc>
        <w:tc>
          <w:tcPr>
            <w:tcW w:w="2224" w:type="dxa"/>
            <w:vAlign w:val="center"/>
          </w:tcPr>
          <w:p w:rsidR="001418AD" w:rsidRPr="0043164F" w:rsidRDefault="001418AD" w:rsidP="0043164F">
            <w:pPr>
              <w:suppressAutoHyphens/>
              <w:spacing w:line="360" w:lineRule="auto"/>
              <w:rPr>
                <w:color w:val="000000"/>
              </w:rPr>
            </w:pPr>
            <w:r w:rsidRPr="0043164F">
              <w:rPr>
                <w:color w:val="000000"/>
              </w:rPr>
              <w:t>Группа «Альфа-Страхование»</w:t>
            </w:r>
          </w:p>
        </w:tc>
        <w:tc>
          <w:tcPr>
            <w:tcW w:w="3291" w:type="dxa"/>
            <w:tcBorders>
              <w:right w:val="single" w:sz="4" w:space="0" w:color="auto"/>
            </w:tcBorders>
            <w:vAlign w:val="center"/>
          </w:tcPr>
          <w:p w:rsidR="001418AD" w:rsidRPr="0043164F" w:rsidRDefault="001418AD" w:rsidP="0043164F">
            <w:pPr>
              <w:suppressAutoHyphens/>
              <w:spacing w:line="360" w:lineRule="auto"/>
              <w:jc w:val="center"/>
              <w:rPr>
                <w:color w:val="000000"/>
              </w:rPr>
            </w:pPr>
            <w:r w:rsidRPr="0043164F">
              <w:rPr>
                <w:color w:val="000000"/>
              </w:rPr>
              <w:t>107 479</w:t>
            </w:r>
          </w:p>
        </w:tc>
        <w:tc>
          <w:tcPr>
            <w:tcW w:w="3337" w:type="dxa"/>
            <w:tcBorders>
              <w:left w:val="single" w:sz="4" w:space="0" w:color="auto"/>
            </w:tcBorders>
          </w:tcPr>
          <w:p w:rsidR="001418AD" w:rsidRPr="0043164F" w:rsidRDefault="001418AD" w:rsidP="0043164F">
            <w:pPr>
              <w:suppressAutoHyphens/>
              <w:spacing w:line="360" w:lineRule="auto"/>
              <w:jc w:val="center"/>
              <w:rPr>
                <w:color w:val="000000"/>
              </w:rPr>
            </w:pPr>
            <w:r w:rsidRPr="0043164F">
              <w:rPr>
                <w:color w:val="000000"/>
              </w:rPr>
              <w:t>18 217</w:t>
            </w:r>
          </w:p>
        </w:tc>
      </w:tr>
    </w:tbl>
    <w:p w:rsidR="001418AD" w:rsidRPr="004D590F" w:rsidRDefault="001418AD" w:rsidP="001418AD">
      <w:pPr>
        <w:pStyle w:val="a3"/>
        <w:shd w:val="clear" w:color="auto" w:fill="FFFFFF"/>
        <w:suppressAutoHyphens/>
        <w:ind w:left="0" w:firstLine="708"/>
        <w:jc w:val="both"/>
        <w:rPr>
          <w:color w:val="000000"/>
          <w:sz w:val="28"/>
          <w:szCs w:val="28"/>
        </w:rPr>
      </w:pPr>
    </w:p>
    <w:p w:rsidR="001418AD" w:rsidRDefault="008105DA" w:rsidP="008105DA">
      <w:pPr>
        <w:shd w:val="clear" w:color="auto" w:fill="FFFFFF"/>
        <w:suppressAutoHyphens/>
        <w:ind w:firstLine="709"/>
        <w:jc w:val="both"/>
        <w:rPr>
          <w:color w:val="000000"/>
          <w:sz w:val="28"/>
          <w:szCs w:val="28"/>
        </w:rPr>
      </w:pPr>
      <w:r w:rsidRPr="008105DA">
        <w:rPr>
          <w:color w:val="000000"/>
          <w:sz w:val="28"/>
          <w:szCs w:val="28"/>
        </w:rPr>
        <w:t>Сегодня, страхование финансовых рисков в России, по сравнению с зарубежным опытом страхования, находится на стадии экспериментального поиска</w:t>
      </w:r>
      <w:r>
        <w:rPr>
          <w:color w:val="000000"/>
          <w:sz w:val="28"/>
          <w:szCs w:val="28"/>
        </w:rPr>
        <w:t>. Рост ВВП, интеграция России в мировую экономику, увеличение объемов иностранных инвестиций в Россию требуют адекватных мер по обеспечению защиты от финансовых рисков бизнеса. На Западе страхование этих рисков является обязательным институтом гарантий, поэтому отечественный бизнес вынужден адекватно реагировать и внедрять международные нормы страхования рисков предпринимательства.</w:t>
      </w:r>
    </w:p>
    <w:p w:rsidR="008105DA" w:rsidRDefault="002518D1" w:rsidP="008105DA">
      <w:pPr>
        <w:shd w:val="clear" w:color="auto" w:fill="FFFFFF"/>
        <w:suppressAutoHyphens/>
        <w:ind w:firstLine="709"/>
        <w:jc w:val="both"/>
        <w:rPr>
          <w:color w:val="000000"/>
          <w:sz w:val="28"/>
          <w:szCs w:val="28"/>
        </w:rPr>
      </w:pPr>
      <w:r>
        <w:rPr>
          <w:color w:val="000000"/>
          <w:sz w:val="28"/>
          <w:szCs w:val="28"/>
        </w:rPr>
        <w:t xml:space="preserve">Причины отставания в развитии услуги по страхованию финансовых рисков в России, в первую очередь, кроются в несовершенстве законодательства. </w:t>
      </w:r>
      <w:r w:rsidR="001D1901">
        <w:rPr>
          <w:color w:val="000000"/>
          <w:sz w:val="28"/>
          <w:szCs w:val="28"/>
        </w:rPr>
        <w:t>Многие положения законодательных актов, относящихся к страховой деятельности, не согласованы друг с другом. Например, Гражданский кодекс вообще не содержит такого понятия как финансовый риск, есть только риск предпринимательский. Напротив, классификация видов страхования, установленная законом «Об организации страхового дела в РФ», выделяет страхование финансовых рисков, при этом дает право дополнительно конкретизировать каждый из приведенных видов через разработку отдельных Правил страхования.</w:t>
      </w:r>
    </w:p>
    <w:p w:rsidR="001D1901" w:rsidRPr="008105DA" w:rsidRDefault="001D1901" w:rsidP="008105DA">
      <w:pPr>
        <w:shd w:val="clear" w:color="auto" w:fill="FFFFFF"/>
        <w:suppressAutoHyphens/>
        <w:ind w:firstLine="709"/>
        <w:jc w:val="both"/>
        <w:rPr>
          <w:color w:val="000000"/>
          <w:sz w:val="28"/>
          <w:szCs w:val="28"/>
        </w:rPr>
      </w:pPr>
      <w:r>
        <w:rPr>
          <w:color w:val="000000"/>
          <w:sz w:val="28"/>
          <w:szCs w:val="28"/>
        </w:rPr>
        <w:t xml:space="preserve">Таким образом, основной проблемой российской системы страхования является ее незначительная роль в экономике и социальной сфере, что не позволяет в полной мере реализовать потенциал страхования как фактора социально-экономической стабильности общества и источника долгосрочных инвестиций в реальный сектор экономики. Поэтому страхование финансовых рисков практически не развито по сравнению с другими отраслями страхования. </w:t>
      </w:r>
    </w:p>
    <w:p w:rsidR="001418AD" w:rsidRPr="008105DA" w:rsidRDefault="001418AD" w:rsidP="001418AD">
      <w:pPr>
        <w:shd w:val="clear" w:color="auto" w:fill="FFFFFF"/>
        <w:suppressAutoHyphens/>
        <w:spacing w:line="360" w:lineRule="auto"/>
        <w:ind w:firstLine="709"/>
        <w:jc w:val="center"/>
        <w:rPr>
          <w:b/>
          <w:color w:val="000000"/>
          <w:sz w:val="28"/>
          <w:szCs w:val="28"/>
        </w:rPr>
      </w:pPr>
    </w:p>
    <w:p w:rsidR="001418AD" w:rsidRDefault="001418AD" w:rsidP="001418AD">
      <w:pPr>
        <w:shd w:val="clear" w:color="auto" w:fill="FFFFFF"/>
        <w:suppressAutoHyphens/>
        <w:spacing w:line="360" w:lineRule="auto"/>
        <w:ind w:firstLine="709"/>
        <w:jc w:val="center"/>
        <w:rPr>
          <w:b/>
          <w:color w:val="000000"/>
          <w:sz w:val="28"/>
        </w:rPr>
      </w:pPr>
    </w:p>
    <w:p w:rsidR="004355A6" w:rsidRDefault="004355A6" w:rsidP="00B12C61">
      <w:pPr>
        <w:shd w:val="clear" w:color="auto" w:fill="FFFFFF"/>
        <w:suppressAutoHyphens/>
        <w:ind w:firstLine="709"/>
        <w:jc w:val="both"/>
        <w:rPr>
          <w:color w:val="000000"/>
          <w:sz w:val="28"/>
        </w:rPr>
      </w:pPr>
    </w:p>
    <w:p w:rsidR="00C06A49" w:rsidRDefault="00C06A49">
      <w:bookmarkStart w:id="0" w:name="_GoBack"/>
      <w:bookmarkEnd w:id="0"/>
    </w:p>
    <w:sectPr w:rsidR="00C06A49" w:rsidSect="00C06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30250"/>
    <w:multiLevelType w:val="hybridMultilevel"/>
    <w:tmpl w:val="37E81300"/>
    <w:lvl w:ilvl="0" w:tplc="CEC87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C61"/>
    <w:rsid w:val="000E3D66"/>
    <w:rsid w:val="001418AD"/>
    <w:rsid w:val="001D1901"/>
    <w:rsid w:val="002518D1"/>
    <w:rsid w:val="0043164F"/>
    <w:rsid w:val="004355A6"/>
    <w:rsid w:val="006C6E9D"/>
    <w:rsid w:val="007200D5"/>
    <w:rsid w:val="008105DA"/>
    <w:rsid w:val="008F080C"/>
    <w:rsid w:val="009C01F1"/>
    <w:rsid w:val="00B01172"/>
    <w:rsid w:val="00B12C61"/>
    <w:rsid w:val="00B50F68"/>
    <w:rsid w:val="00C06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D4750-5ADA-4392-83B3-7BFCFA75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C6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B12C61"/>
    <w:pPr>
      <w:ind w:left="40"/>
      <w:jc w:val="center"/>
    </w:pPr>
    <w:rPr>
      <w:rFonts w:ascii="Times New Roman" w:eastAsia="Times New Roman" w:hAnsi="Times New Roman"/>
      <w:b/>
      <w:snapToGrid w:val="0"/>
      <w:sz w:val="32"/>
    </w:rPr>
  </w:style>
  <w:style w:type="character" w:customStyle="1" w:styleId="Normal">
    <w:name w:val="Normal Знак"/>
    <w:basedOn w:val="a0"/>
    <w:link w:val="1"/>
    <w:rsid w:val="00B12C61"/>
    <w:rPr>
      <w:rFonts w:ascii="Times New Roman" w:eastAsia="Times New Roman" w:hAnsi="Times New Roman" w:cs="Times New Roman"/>
      <w:b/>
      <w:snapToGrid w:val="0"/>
      <w:sz w:val="32"/>
      <w:lang w:val="ru-RU" w:eastAsia="ru-RU" w:bidi="ar-SA"/>
    </w:rPr>
  </w:style>
  <w:style w:type="paragraph" w:styleId="a3">
    <w:name w:val="List Paragraph"/>
    <w:basedOn w:val="a"/>
    <w:uiPriority w:val="34"/>
    <w:qFormat/>
    <w:rsid w:val="001418AD"/>
    <w:pPr>
      <w:ind w:left="720"/>
      <w:contextualSpacing/>
    </w:pPr>
  </w:style>
  <w:style w:type="table" w:styleId="a4">
    <w:name w:val="Table Grid"/>
    <w:basedOn w:val="a1"/>
    <w:uiPriority w:val="59"/>
    <w:rsid w:val="001418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2014-04-16T05:48:00Z</dcterms:created>
  <dcterms:modified xsi:type="dcterms:W3CDTF">2014-04-16T05:48:00Z</dcterms:modified>
</cp:coreProperties>
</file>