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2A" w:rsidRPr="00DC57A7" w:rsidRDefault="00A2102A" w:rsidP="00A2102A">
      <w:pPr>
        <w:spacing w:before="120"/>
        <w:jc w:val="center"/>
        <w:rPr>
          <w:b/>
          <w:bCs/>
          <w:sz w:val="32"/>
          <w:szCs w:val="32"/>
        </w:rPr>
      </w:pPr>
      <w:r w:rsidRPr="00DC57A7">
        <w:rPr>
          <w:b/>
          <w:bCs/>
          <w:sz w:val="32"/>
          <w:szCs w:val="32"/>
        </w:rPr>
        <w:t>Страхование интеллектуальной собственности</w:t>
      </w:r>
    </w:p>
    <w:p w:rsidR="00A2102A" w:rsidRPr="00DC57A7" w:rsidRDefault="00A2102A" w:rsidP="00A2102A">
      <w:pPr>
        <w:spacing w:before="120"/>
        <w:ind w:firstLine="567"/>
        <w:jc w:val="both"/>
        <w:rPr>
          <w:sz w:val="28"/>
          <w:szCs w:val="28"/>
        </w:rPr>
      </w:pPr>
      <w:r w:rsidRPr="00DC57A7">
        <w:rPr>
          <w:sz w:val="28"/>
          <w:szCs w:val="28"/>
        </w:rPr>
        <w:t>Микаэл Дашян, президент общественного фонда «Право и Интернет»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объектов интеллектуальной собственности -</w:t>
      </w:r>
      <w:r>
        <w:t xml:space="preserve"> </w:t>
      </w:r>
      <w:r w:rsidRPr="00686FAD">
        <w:t>сравнительно новая услуга на российском рынке. Однако, анализируя</w:t>
      </w:r>
      <w:r>
        <w:t xml:space="preserve"> </w:t>
      </w:r>
      <w:r w:rsidRPr="00686FAD">
        <w:t>темпы развития наукоемких технологий и в целом российского рынка,</w:t>
      </w:r>
      <w:r>
        <w:t xml:space="preserve"> </w:t>
      </w:r>
      <w:r w:rsidRPr="00686FAD">
        <w:t>можно предположить, что в среднесрочной перспективе данный</w:t>
      </w:r>
      <w:r>
        <w:t xml:space="preserve"> </w:t>
      </w:r>
      <w:r w:rsidRPr="00686FAD">
        <w:t>продукт окажется весьма востребованным.</w:t>
      </w:r>
    </w:p>
    <w:p w:rsidR="00A2102A" w:rsidRPr="00DC57A7" w:rsidRDefault="00A2102A" w:rsidP="00A2102A">
      <w:pPr>
        <w:spacing w:before="120"/>
        <w:jc w:val="center"/>
        <w:rPr>
          <w:b/>
          <w:bCs/>
          <w:sz w:val="28"/>
          <w:szCs w:val="28"/>
        </w:rPr>
      </w:pPr>
      <w:r w:rsidRPr="00DC57A7">
        <w:rPr>
          <w:b/>
          <w:bCs/>
          <w:sz w:val="28"/>
          <w:szCs w:val="28"/>
        </w:rPr>
        <w:t>Страхование и законодательство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Действующее законодательство прямо не устанавливает необходимости обязательного страхования объектов интеллектуальной собственности (ОИС). Однако ряд нормативных актов вполне обоснованно может быть подвергнут коррекции, поскольку заключенный в них «дух закона» не противоречит введению обязательного страхования объектов интеллектуальной собственности.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Так, в соответствии со статьей 25 закона «О космической деятельности», организации и граждане, которые эксплуатируют космическую технику или по заказу которых осуществляется создание и использование космической техники, обязаны страховать жизнь и здоровье космонавтов, работников объектов космической инфраструктуры, а также ответственность за вред, причиненный жизни, здоровью или имуществу других лиц. К сожалению, данное положение не может быть распространено на соответствующие объекты интеллектуальной собственности. Можно предположить, что именно законодательное закрепление обязательного страхования ОИС как в космической деятельности, так и в иных областях промышленности поможет защитить права изобретателей и соответственно увеличить интеллектуальный потенциал страны.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Известно, что использование результатов интеллектуальной деятельности в бизнесе (например, в инновационной деятельности) подразумевает большие риски. Большая часть из них связана с индивидуализацией результатов интеллектуальной деятельности и инвентаризацией нематериальных активов. К ним, согласно положению «Учет нематериальных</w:t>
      </w:r>
      <w:r>
        <w:t xml:space="preserve"> </w:t>
      </w:r>
      <w:r w:rsidRPr="00686FAD">
        <w:t>активов»,</w:t>
      </w:r>
      <w:r>
        <w:t xml:space="preserve"> </w:t>
      </w:r>
      <w:r w:rsidRPr="00686FAD">
        <w:t>предъявляется ряд требований, подтвердить выполнение которых достаточно сложно.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Например, распространены споры между работодателями и авторами программного обеспечения, гранторами и агентами, выходящими на новые рынки сбыта в дистрибьюторских отношениях.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В этой связи риск признания товарного знака общеизвестным, отмены регистрации патента или оспаривания авторских прав, как и самого юридического статуса произведения, может угрожать каждому, даже вполне добросовестному</w:t>
      </w:r>
      <w:r>
        <w:t xml:space="preserve"> </w:t>
      </w:r>
      <w:r w:rsidRPr="00686FAD">
        <w:t>правообладателю. Такие риски вероятны, а их наступление - случайно. Следовательно, они могут быть причислены к страховым рискам (в соответствии со статьей 9 закона «Об организации страхового дела в Российской Федерации»).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Исходя из теоретических разработок, а также мировой и начинающейся складываться российской практики страхования от рисков, присущих хозяйственному обороту объектов интеллектуальной собственности, специалисты выделяют следующие виды страхования: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риска соответствия результатов интеллектуальной деятельности патентно-правовым показателям;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риска утраты прав на объекты интеллектуальной собственности;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имущественное страхование, включающее в себя страхование документов</w:t>
      </w:r>
      <w:r>
        <w:t xml:space="preserve"> </w:t>
      </w:r>
      <w:r w:rsidRPr="00686FAD">
        <w:t>(патентов,</w:t>
      </w:r>
      <w:r>
        <w:t xml:space="preserve"> </w:t>
      </w:r>
      <w:r w:rsidRPr="00686FAD">
        <w:t>свидетельств, сертификатов соответствия);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профессиональной ответственности патентных поверенных и гражданской ответственности экспертов по оценке соответствия результатов интеллектуальной деятельности;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ответственности за случайное и непреднамеренное использование индивидуализированных объектов интеллектуальной собственности;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финансовых рисков и непреднамеренного искажения бухгалтерской отчетности о нематериальных активах правообладателя;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рисков, возникающих при проведении процедуры патентования;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рисков, связанных с финансовыми потерями в случае отказа в выдаче патента или свидетельства;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рисков, связанных с разглашением конфиденциальных сведений;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от судебных расходов (издержек);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страхование от непредвиденных расходов или потери дохода в случае установления контрафактного использования индивидуализированных ОИС и в связи с появлением на рынке товаров-аналогов, сутью которых является объект авторского и смежных прав.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Мнения заинтересованных лиц о целесообразности страховой защиты хозяйственного оборота объектов интеллектуальной собственности диаметрально противоположны. Некоторые «специалисты» полагают, что на отечественном рынке пока не сформировались ни спрос, ни предложение защиты объектов интеллектуальной собственности, а также способы борьбы с «пиратством» в сфере хозяйственного оборота объектов авторских прав. Но компетентные должностные лица полагают, что действительно эффективной защитой на рынке объектов интеллектуальной собственности может быть исключительно — страховая.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Таможенные отношения и страхование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 1 января 2004 года вступила в силу новая редакция Таможенного кодекса РФ, в которой определен порядок принятия таможенными органами мер, связанных с приостановлением выпуска контрафактной продукции при перемещении товаров через таможенную границу.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Особое внимание законодатель уделил противодействию провоза нелегальных объектов интеллектуальной собственности через государственную границу России. В частности, статья 395 Таможенного кодекса предусматривает создание таможенного реестра объектов интеллектуальной собственности. Объекты интеллектуальной собственности включаются в данный реестр при условии, что правообладатель обеспечивает исполнение</w:t>
      </w:r>
      <w:r>
        <w:t xml:space="preserve"> </w:t>
      </w:r>
      <w:r w:rsidRPr="00686FAD">
        <w:t>обязательства о возмещении имущественного вреда, который может быть причинен декларанту, собственнику, получателю товаров или иным лицам в связи с приостановлением выпуска товаров (в случае необоснованных претензий).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Однако по собственному желанию правообладатель может представить договор страхования риска ответственности за причинение вреда в пользу указанных лиц. Фактически это положение позволило перейти на новый уровень обсуждения вопросов страхования объектов интеллектуальной собственности - прямо или косвенно, в законодательных актах появились указания на необходимость страхования рисков, связанных с ОИС.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Следует подчеркнуть, что реализация данной правовой нормы оправдала самые оптимистичные ожидания и стала полноценной частью законодательства РФ об охране интеллектуальной собственности.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Одной из важнейших проблем, сдерживающих более активное внедрение страхования ОИС в коммерческом обороте, является некоторая неопределенность законодательства в части определения «подтверждений» - документов или иных свидетельств - наличия объекта интеллектуальной собственности.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В отличие от сферы промышленной собственности, где при выдаче патента на изобретение проводится поиск и экспертиза аналогов, в сфере авторского права, согласно действующему законодательству, не требуется регистрации произведения, иное его специальное оформление или соблюдение каких-либо формальностей. Это зачастую влечет за собой длительные судебные споры, исход которых непредсказуем.</w:t>
      </w:r>
    </w:p>
    <w:p w:rsidR="00A2102A" w:rsidRPr="00DC57A7" w:rsidRDefault="00A2102A" w:rsidP="00A2102A">
      <w:pPr>
        <w:spacing w:before="120"/>
        <w:jc w:val="center"/>
        <w:rPr>
          <w:b/>
          <w:bCs/>
          <w:sz w:val="28"/>
          <w:szCs w:val="28"/>
        </w:rPr>
      </w:pPr>
      <w:r w:rsidRPr="00DC57A7">
        <w:rPr>
          <w:b/>
          <w:bCs/>
          <w:sz w:val="28"/>
          <w:szCs w:val="28"/>
        </w:rPr>
        <w:t>Механизмы и решения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Таможенное законодательство может быть использовано в сфере страхования объектов интеллектуальной собственности значительно шире. Так, в Положении о защите прав интеллектуальной собственности таможенными органами приводится расширенный перечень документов, подтверждающий наличие права на ОИС.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1. Для объектов авторского права: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свидетельство о депонировании экземпляров или свидетельство об официальной регистрации программ для ЭВМ и баз данных;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нотариальное удостоверение фактов;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образец изготовленных или выпущенных в свет экземпляров произведения на территории государства.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2. Для объектов смежных прав: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документ о депонировании экземпляров;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нотариальное удостоверение фактов.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3.</w:t>
      </w:r>
      <w:r>
        <w:t xml:space="preserve"> </w:t>
      </w:r>
      <w:r w:rsidRPr="00686FAD">
        <w:t>Для товарных знаков и знаков обслуживания: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свидетельство на товарный знак (знак обслуживания);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выписка из Государственного реестра товарных знаков и знаков обслуживания Российской Федерации;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договор об уступке товарного знака.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4.</w:t>
      </w:r>
      <w:r>
        <w:t xml:space="preserve"> </w:t>
      </w:r>
      <w:r w:rsidRPr="00686FAD">
        <w:t>Для наименований мест происхождения товаров: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свидетельство на право пользования</w:t>
      </w:r>
      <w:r>
        <w:t xml:space="preserve"> </w:t>
      </w:r>
      <w:r w:rsidRPr="00686FAD">
        <w:t>наименованием места происхождения товара.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Следует отметить, что это фактически первый нормативно-правовой акт, содержащий в себе завершенный перечень правоподтверждающих документов на объекты интеллектуальной собственности. Однако и он не во всем соответствует сути действующих правовых норм и не решает реальную проблему рынка интеллектуальной собственности.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Таким образом, нужны иные процедуры и иные подтверждения соответствия в отношении хозяйственного оборота объектов интеллектуальной собственности.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Наличие предметного списка таких документов ставит под сомнение целесообразность использования термина «охранный документ». Используемое в юридической литературе понятие «охранный документ» означает обобщение всех свидетельств, выдаваемых федеральным органом исполнительной власти, об интеллектуальной собственности на такие объекты, как изобретения, полезные модели, промышленные образцы, товарные знаки и знаки обслуживания (именно такой завершенный перечень предложен в Постановлении Правительства РФ от 12.02.1993 года).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Как уже указывалось выше, наличие таких «охранных документов» зачастую не может гарантировать реального авторства на соответствующие объекты интеллектуальной собственности, как, впрочем, и наличия самого произведения. Подтверждение тому - многочисленные судебные разбирательства, связанные с оспариванием авторства и/или «недружелюбным» изъятием результатов интеллектуальной деятельности.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Приведенный выше перечень важен и в сферах авторского и смежного прав (особенно при защите авторских прав на программные</w:t>
      </w:r>
      <w:r>
        <w:t xml:space="preserve"> </w:t>
      </w:r>
      <w:r w:rsidRPr="00686FAD">
        <w:t>продукты и базы данных), потому что в данной сфере отсутствуют даже «охранные документы».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Не меньшую ценность перечень данных документов имеет и для страховых компаний (особенно при судебных разбирательствах), которые получили теперь официальные унифицированные сведения о перечне «правоподтверждающих» документов. Однако оптимальных для страховщиков методик оценки рисков, связанных с объектами интеллектуальной собственности, пока, к сожалению, по-прежнему нет.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Одним из немногих рекомендательных актов в этой связи могут стать разработки Финансовой академии при Правительстве РФ, специалистами которой были сформулированы</w:t>
      </w:r>
      <w:r>
        <w:t xml:space="preserve"> </w:t>
      </w:r>
      <w:r w:rsidRPr="00686FAD">
        <w:t>методологические принципы и методические приемы</w:t>
      </w:r>
      <w:r>
        <w:t xml:space="preserve"> </w:t>
      </w:r>
      <w:r w:rsidRPr="00686FAD">
        <w:t>страхования объектов интеллектуальной собственности, принадлежащих</w:t>
      </w:r>
      <w:r>
        <w:t xml:space="preserve"> </w:t>
      </w:r>
      <w:r w:rsidRPr="00686FAD">
        <w:t>городу Москве, в условиях их рыночного использования и в процессе их коммерциализации.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Также может оказаться полезным взаимодействие страховщиков с компетентными</w:t>
      </w:r>
      <w:r>
        <w:t xml:space="preserve"> </w:t>
      </w:r>
      <w:r w:rsidRPr="00686FAD">
        <w:t>организациями Системы добровольной</w:t>
      </w:r>
      <w:r>
        <w:t xml:space="preserve"> </w:t>
      </w:r>
      <w:r w:rsidRPr="00686FAD">
        <w:t>сертификации ОИС, использование которой</w:t>
      </w:r>
      <w:r>
        <w:t xml:space="preserve"> </w:t>
      </w:r>
      <w:r w:rsidRPr="00686FAD">
        <w:t>позволяет осуществлять оценку и подтверждение соответствия</w:t>
      </w:r>
      <w:r>
        <w:t xml:space="preserve"> </w:t>
      </w:r>
      <w:r w:rsidRPr="00686FAD">
        <w:t>национальным стандартам, стандартам организаций, условиям договоров, а главное - подтвердить факт существования самого произведения.</w:t>
      </w:r>
    </w:p>
    <w:p w:rsidR="00A2102A" w:rsidRPr="00686FAD" w:rsidRDefault="00A2102A" w:rsidP="00A2102A">
      <w:pPr>
        <w:spacing w:before="120"/>
        <w:ind w:firstLine="567"/>
        <w:jc w:val="both"/>
      </w:pPr>
      <w:r w:rsidRPr="00686FAD">
        <w:t>Это означает, что заинтересованные лица (в нашем случае активно защищающие свои права -правообладатели и лица, профессионально специализирующееся на охране объектов интеллектуальной собственности) могут создавать «альтернативные» правовые, не противоречащие действующему законодательству реальности и, следовательно, укреплять свои позиции, а также осуществлять поддержку других субъектов.</w:t>
      </w:r>
    </w:p>
    <w:p w:rsidR="00A2102A" w:rsidRPr="0014730A" w:rsidRDefault="00A2102A" w:rsidP="00A2102A">
      <w:pPr>
        <w:spacing w:before="120"/>
        <w:jc w:val="center"/>
        <w:rPr>
          <w:b/>
          <w:bCs/>
          <w:sz w:val="28"/>
          <w:szCs w:val="28"/>
        </w:rPr>
      </w:pPr>
      <w:r w:rsidRPr="0014730A">
        <w:rPr>
          <w:b/>
          <w:bCs/>
          <w:sz w:val="28"/>
          <w:szCs w:val="28"/>
        </w:rPr>
        <w:t>Список литературы</w:t>
      </w:r>
    </w:p>
    <w:p w:rsidR="00A2102A" w:rsidRDefault="00A2102A" w:rsidP="00A2102A">
      <w:pPr>
        <w:spacing w:before="120"/>
        <w:ind w:firstLine="567"/>
        <w:jc w:val="both"/>
      </w:pPr>
      <w:r>
        <w:t>Журнал «Атлас страхования» № 8, 2005 г.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02A"/>
    <w:rsid w:val="0012295F"/>
    <w:rsid w:val="0014730A"/>
    <w:rsid w:val="00616072"/>
    <w:rsid w:val="00686FAD"/>
    <w:rsid w:val="008B35EE"/>
    <w:rsid w:val="00972207"/>
    <w:rsid w:val="00A2102A"/>
    <w:rsid w:val="00B42C45"/>
    <w:rsid w:val="00B47B6A"/>
    <w:rsid w:val="00CA1686"/>
    <w:rsid w:val="00DC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01EA1D-FFD2-4E2C-82EC-9BCBCE51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Страхование интеллектуальной собственности</vt:lpstr>
    </vt:vector>
  </TitlesOfParts>
  <Company>Home</Company>
  <LinksUpToDate>false</LinksUpToDate>
  <CharactersWithSpaces>10989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Страхование интеллектуальной собственности</dc:title>
  <dc:subject/>
  <dc:creator>User</dc:creator>
  <cp:keywords/>
  <dc:description/>
  <cp:lastModifiedBy>admin</cp:lastModifiedBy>
  <cp:revision>2</cp:revision>
  <dcterms:created xsi:type="dcterms:W3CDTF">2014-02-15T07:53:00Z</dcterms:created>
  <dcterms:modified xsi:type="dcterms:W3CDTF">2014-02-15T07:53:00Z</dcterms:modified>
</cp:coreProperties>
</file>