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B6" w:rsidRPr="004F10C4" w:rsidRDefault="00304CB6" w:rsidP="004F10C4">
      <w:pPr>
        <w:spacing w:line="360" w:lineRule="auto"/>
        <w:ind w:firstLine="709"/>
        <w:jc w:val="center"/>
        <w:rPr>
          <w:b/>
        </w:rPr>
      </w:pPr>
      <w:r w:rsidRPr="004F10C4">
        <w:rPr>
          <w:b/>
        </w:rPr>
        <w:t>Введение</w:t>
      </w:r>
    </w:p>
    <w:p w:rsidR="00304CB6" w:rsidRPr="004F10C4" w:rsidRDefault="00304CB6" w:rsidP="004F10C4">
      <w:pPr>
        <w:spacing w:line="360" w:lineRule="auto"/>
        <w:ind w:firstLine="709"/>
        <w:jc w:val="both"/>
        <w:rPr>
          <w:b/>
        </w:rPr>
      </w:pPr>
    </w:p>
    <w:p w:rsidR="00304CB6" w:rsidRPr="004F10C4" w:rsidRDefault="00304CB6" w:rsidP="004F10C4">
      <w:pPr>
        <w:spacing w:line="360" w:lineRule="auto"/>
        <w:ind w:firstLine="709"/>
        <w:jc w:val="both"/>
        <w:rPr>
          <w:color w:val="000000"/>
        </w:rPr>
      </w:pPr>
      <w:r w:rsidRPr="004F10C4">
        <w:t xml:space="preserve">Страхование </w:t>
      </w:r>
      <w:r w:rsidRPr="004F10C4">
        <w:rPr>
          <w:color w:val="000000"/>
        </w:rPr>
        <w:t>– отношения по защите имущественных интересов физических и юридических лиц при наступлении определенных событий (страховых случаев) за счет денежных фондов, формируемых из уплачиваемых ими страховых взносов (страховых премий).</w:t>
      </w:r>
    </w:p>
    <w:p w:rsidR="00304CB6" w:rsidRPr="004F10C4" w:rsidRDefault="00304CB6" w:rsidP="004F10C4">
      <w:pPr>
        <w:spacing w:line="360" w:lineRule="auto"/>
        <w:ind w:firstLine="709"/>
        <w:jc w:val="both"/>
        <w:rPr>
          <w:color w:val="000000"/>
        </w:rPr>
      </w:pPr>
      <w:r w:rsidRPr="004F10C4">
        <w:t xml:space="preserve">Перестрахование </w:t>
      </w:r>
      <w:r w:rsidRPr="004F10C4">
        <w:rPr>
          <w:color w:val="000000"/>
        </w:rPr>
        <w:t>– организационно-правовая форма страховой деятельности, в соответствии с которой страховщик, принимая на страхование риски, частично или полностью передает эти риски на согласованных условиях другим страховщикам.</w:t>
      </w:r>
    </w:p>
    <w:p w:rsidR="00304CB6" w:rsidRPr="004F10C4" w:rsidRDefault="00304CB6" w:rsidP="004F10C4">
      <w:pPr>
        <w:spacing w:line="360" w:lineRule="auto"/>
        <w:ind w:firstLine="709"/>
        <w:jc w:val="both"/>
        <w:rPr>
          <w:color w:val="000000"/>
        </w:rPr>
      </w:pPr>
      <w:r w:rsidRPr="004F10C4">
        <w:rPr>
          <w:color w:val="000000"/>
        </w:rPr>
        <w:t>Страхование и перестрахование стран Латинской Америки длительное время имело давление со стороны правительства в виде ограничений и запрета на создание новых страховых компаний.</w:t>
      </w:r>
    </w:p>
    <w:p w:rsidR="00304CB6" w:rsidRPr="004F10C4" w:rsidRDefault="00304CB6" w:rsidP="004F10C4">
      <w:pPr>
        <w:spacing w:line="360" w:lineRule="auto"/>
        <w:ind w:firstLine="709"/>
        <w:jc w:val="both"/>
      </w:pPr>
      <w:r w:rsidRPr="004F10C4">
        <w:rPr>
          <w:color w:val="000000"/>
        </w:rPr>
        <w:t>В настоящее время страховой рынок в этом регионе имеет тенденцию к росту, в связи с участием</w:t>
      </w:r>
      <w:r w:rsidR="004F10C4">
        <w:rPr>
          <w:color w:val="000000"/>
        </w:rPr>
        <w:t xml:space="preserve"> </w:t>
      </w:r>
      <w:r w:rsidRPr="004F10C4">
        <w:rPr>
          <w:color w:val="000000"/>
        </w:rPr>
        <w:t xml:space="preserve">иностранных страховщиков и перестраховщиков, таких как: </w:t>
      </w:r>
      <w:r w:rsidRPr="004F10C4">
        <w:rPr>
          <w:lang w:val="en-US"/>
        </w:rPr>
        <w:t>Allianz</w:t>
      </w:r>
      <w:r w:rsidRPr="004F10C4">
        <w:t xml:space="preserve">, </w:t>
      </w:r>
      <w:r w:rsidRPr="004F10C4">
        <w:rPr>
          <w:lang w:val="en-US"/>
        </w:rPr>
        <w:t>American</w:t>
      </w:r>
      <w:r w:rsidRPr="004F10C4">
        <w:t xml:space="preserve"> </w:t>
      </w:r>
      <w:r w:rsidRPr="004F10C4">
        <w:rPr>
          <w:lang w:val="en-US"/>
        </w:rPr>
        <w:t>Reinsurance</w:t>
      </w:r>
      <w:r w:rsidRPr="004F10C4">
        <w:t xml:space="preserve"> </w:t>
      </w:r>
      <w:r w:rsidRPr="004F10C4">
        <w:rPr>
          <w:lang w:val="en-US"/>
        </w:rPr>
        <w:t>Company</w:t>
      </w:r>
      <w:r w:rsidRPr="004F10C4">
        <w:t xml:space="preserve">, </w:t>
      </w:r>
      <w:r w:rsidRPr="004F10C4">
        <w:rPr>
          <w:lang w:val="en-US"/>
        </w:rPr>
        <w:t>RGA</w:t>
      </w:r>
      <w:r w:rsidRPr="004F10C4">
        <w:t xml:space="preserve"> </w:t>
      </w:r>
      <w:r w:rsidRPr="004F10C4">
        <w:rPr>
          <w:lang w:val="en-US"/>
        </w:rPr>
        <w:t>Reinsurance</w:t>
      </w:r>
      <w:r w:rsidRPr="004F10C4">
        <w:t xml:space="preserve"> </w:t>
      </w:r>
      <w:r w:rsidRPr="004F10C4">
        <w:rPr>
          <w:lang w:val="en-US"/>
        </w:rPr>
        <w:t>Company</w:t>
      </w:r>
      <w:r w:rsidRPr="004F10C4">
        <w:t>.</w:t>
      </w:r>
    </w:p>
    <w:p w:rsidR="00304CB6" w:rsidRPr="004F10C4" w:rsidRDefault="00304CB6" w:rsidP="004F10C4">
      <w:pPr>
        <w:spacing w:line="360" w:lineRule="auto"/>
        <w:ind w:firstLine="709"/>
        <w:jc w:val="both"/>
      </w:pPr>
      <w:r w:rsidRPr="004F10C4">
        <w:t xml:space="preserve">Страховые услуги традиционно продаются разветвленной сетью агентств, в т.ч. за счет увеличения числа привлеченных специалистов. Национальные банковские группы активно развивают банкострахование, страховые услуги распространяются даже через знаменитые магазины, такие как </w:t>
      </w:r>
      <w:r w:rsidRPr="004F10C4">
        <w:rPr>
          <w:lang w:val="en-US"/>
        </w:rPr>
        <w:t>El</w:t>
      </w:r>
      <w:r w:rsidRPr="004F10C4">
        <w:t xml:space="preserve"> </w:t>
      </w:r>
      <w:r w:rsidRPr="004F10C4">
        <w:rPr>
          <w:lang w:val="en-US"/>
        </w:rPr>
        <w:t>Corte</w:t>
      </w:r>
      <w:r w:rsidRPr="004F10C4">
        <w:t xml:space="preserve"> </w:t>
      </w:r>
      <w:r w:rsidRPr="004F10C4">
        <w:rPr>
          <w:lang w:val="en-US"/>
        </w:rPr>
        <w:t>Ingles</w:t>
      </w:r>
      <w:r w:rsidRPr="004F10C4">
        <w:t>.</w:t>
      </w:r>
    </w:p>
    <w:p w:rsidR="00304CB6" w:rsidRPr="004F10C4" w:rsidRDefault="00304CB6" w:rsidP="004F10C4">
      <w:pPr>
        <w:spacing w:line="360" w:lineRule="auto"/>
        <w:ind w:firstLine="709"/>
        <w:jc w:val="both"/>
        <w:rPr>
          <w:color w:val="000000"/>
        </w:rPr>
      </w:pPr>
      <w:r w:rsidRPr="004F10C4">
        <w:rPr>
          <w:color w:val="000000"/>
        </w:rPr>
        <w:t>Рассмотрим подробнее страховые и перестраховочные риски стран Латинской Америки.</w:t>
      </w:r>
    </w:p>
    <w:p w:rsidR="00A35929" w:rsidRPr="004F10C4" w:rsidRDefault="00941D09" w:rsidP="004F10C4">
      <w:pPr>
        <w:spacing w:line="360" w:lineRule="auto"/>
        <w:ind w:firstLine="709"/>
        <w:jc w:val="both"/>
        <w:rPr>
          <w:color w:val="000000"/>
        </w:rPr>
      </w:pPr>
      <w:r w:rsidRPr="004F10C4">
        <w:rPr>
          <w:color w:val="000000"/>
        </w:rPr>
        <w:t>Длительное время основные рынки Латинской Америки испытывали на себе сильное давление со стороны контролирующих органов, а именно: ограничение или запрещение создания новых страховых компаний; навязывание единых условий и общих тарифов всем компаниям рынка; навязывание программ перестрахования, утвержденных органами надзора и часто зарезервированных для государственного перестраховщика; навязывание процента и т.д. Такое вмешательство в деятельность страховщиков привело к краху некоторых из них, или во многом помешало их развитию. Сейчас ситуация быстро меняется, т.к. бывшие монополии в области перестрахования постепенно отмирают, и страховщики вновь свободны в выборе тарифов, подписании контрактов. Кроме того, стабилизация экономики в совокупности с экономическим ростом, снижающийся уровень инфляции, приватизация предприятий государственного сектора, частичная приватизация негосударственных пенсионных фондов в отдельных странах, все это способствует росту спроса на негосударственное страхование.</w:t>
      </w:r>
    </w:p>
    <w:p w:rsidR="004F10C4" w:rsidRPr="004F10C4" w:rsidRDefault="004F10C4" w:rsidP="004F10C4">
      <w:pPr>
        <w:spacing w:line="360" w:lineRule="auto"/>
        <w:ind w:firstLine="709"/>
        <w:jc w:val="both"/>
        <w:rPr>
          <w:color w:val="000000"/>
        </w:rPr>
      </w:pPr>
    </w:p>
    <w:p w:rsidR="00941D09" w:rsidRPr="004F10C4" w:rsidRDefault="00941D09" w:rsidP="004F10C4">
      <w:pPr>
        <w:spacing w:line="360" w:lineRule="auto"/>
        <w:ind w:firstLine="709"/>
        <w:jc w:val="center"/>
        <w:rPr>
          <w:color w:val="000000"/>
        </w:rPr>
      </w:pPr>
      <w:r w:rsidRPr="004F10C4">
        <w:rPr>
          <w:color w:val="000000"/>
        </w:rPr>
        <w:t>Таблица 1 – Основные рынки страхования Латинской Америки, 2008-2009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709"/>
        <w:gridCol w:w="709"/>
        <w:gridCol w:w="851"/>
        <w:gridCol w:w="1134"/>
        <w:gridCol w:w="1417"/>
        <w:gridCol w:w="709"/>
        <w:gridCol w:w="1417"/>
      </w:tblGrid>
      <w:tr w:rsidR="004F10C4" w:rsidRPr="004F10C4" w:rsidTr="004F10C4">
        <w:trPr>
          <w:trHeight w:val="25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6238" w:type="dxa"/>
            <w:gridSpan w:val="7"/>
            <w:tcBorders>
              <w:top w:val="single" w:sz="4" w:space="0" w:color="auto"/>
            </w:tcBorders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Страховые премии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Доля</w:t>
            </w:r>
          </w:p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страхования в ВВП</w:t>
            </w:r>
          </w:p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4F10C4">
                <w:rPr>
                  <w:b/>
                  <w:bCs/>
                  <w:color w:val="000000"/>
                  <w:sz w:val="20"/>
                  <w:szCs w:val="20"/>
                </w:rPr>
                <w:t xml:space="preserve">2009 </w:t>
              </w:r>
              <w:r w:rsidRPr="004F10C4">
                <w:rPr>
                  <w:b/>
                  <w:color w:val="000000"/>
                  <w:sz w:val="20"/>
                  <w:szCs w:val="20"/>
                </w:rPr>
                <w:t>г</w:t>
              </w:r>
            </w:smartTag>
            <w:r w:rsidRPr="004F10C4">
              <w:rPr>
                <w:b/>
                <w:color w:val="000000"/>
                <w:sz w:val="20"/>
                <w:szCs w:val="20"/>
              </w:rPr>
              <w:t>.</w:t>
            </w:r>
          </w:p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i/>
                <w:iCs/>
                <w:color w:val="000000"/>
                <w:sz w:val="20"/>
                <w:szCs w:val="20"/>
              </w:rPr>
              <w:t>(%)</w:t>
            </w:r>
          </w:p>
        </w:tc>
      </w:tr>
      <w:tr w:rsidR="004F10C4" w:rsidRPr="004F10C4" w:rsidTr="004F10C4">
        <w:trPr>
          <w:trHeight w:val="1141"/>
          <w:jc w:val="center"/>
        </w:trPr>
        <w:tc>
          <w:tcPr>
            <w:tcW w:w="1276" w:type="dxa"/>
            <w:vMerge/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Всего (млн. долл.)</w:t>
            </w:r>
          </w:p>
        </w:tc>
        <w:tc>
          <w:tcPr>
            <w:tcW w:w="1560" w:type="dxa"/>
            <w:gridSpan w:val="2"/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Доля страхования жизни, (%)</w:t>
            </w:r>
          </w:p>
        </w:tc>
        <w:tc>
          <w:tcPr>
            <w:tcW w:w="3260" w:type="dxa"/>
            <w:gridSpan w:val="3"/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 xml:space="preserve">На душу населения,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F10C4">
                <w:rPr>
                  <w:b/>
                  <w:bCs/>
                  <w:color w:val="000000"/>
                  <w:sz w:val="20"/>
                  <w:szCs w:val="20"/>
                </w:rPr>
                <w:t xml:space="preserve">2009 </w:t>
              </w:r>
              <w:r w:rsidRPr="004F10C4">
                <w:rPr>
                  <w:b/>
                  <w:color w:val="000000"/>
                  <w:sz w:val="20"/>
                  <w:szCs w:val="20"/>
                </w:rPr>
                <w:t>г</w:t>
              </w:r>
            </w:smartTag>
            <w:r w:rsidRPr="004F10C4">
              <w:rPr>
                <w:b/>
                <w:color w:val="000000"/>
                <w:sz w:val="20"/>
                <w:szCs w:val="20"/>
              </w:rPr>
              <w:t>. (долл.)</w:t>
            </w:r>
          </w:p>
        </w:tc>
        <w:tc>
          <w:tcPr>
            <w:tcW w:w="1417" w:type="dxa"/>
            <w:vMerge/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F10C4" w:rsidRPr="004F10C4" w:rsidTr="004F10C4">
        <w:trPr>
          <w:trHeight w:val="885"/>
          <w:jc w:val="center"/>
        </w:trPr>
        <w:tc>
          <w:tcPr>
            <w:tcW w:w="1276" w:type="dxa"/>
            <w:vMerge/>
          </w:tcPr>
          <w:p w:rsidR="004F10C4" w:rsidRPr="003C22FC" w:rsidRDefault="004F10C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F10C4">
                <w:rPr>
                  <w:b/>
                  <w:bCs/>
                  <w:color w:val="000000"/>
                  <w:sz w:val="20"/>
                  <w:szCs w:val="20"/>
                </w:rPr>
                <w:t xml:space="preserve">2008 </w:t>
              </w:r>
              <w:r w:rsidRPr="004F10C4">
                <w:rPr>
                  <w:b/>
                  <w:color w:val="000000"/>
                  <w:sz w:val="20"/>
                  <w:szCs w:val="20"/>
                </w:rPr>
                <w:t>г</w:t>
              </w:r>
            </w:smartTag>
            <w:r w:rsidRPr="004F10C4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4F10C4">
                <w:rPr>
                  <w:b/>
                  <w:bCs/>
                  <w:color w:val="000000"/>
                  <w:sz w:val="20"/>
                  <w:szCs w:val="20"/>
                </w:rPr>
                <w:t xml:space="preserve">2009 </w:t>
              </w:r>
              <w:r w:rsidRPr="004F10C4">
                <w:rPr>
                  <w:b/>
                  <w:color w:val="000000"/>
                  <w:sz w:val="20"/>
                  <w:szCs w:val="20"/>
                </w:rPr>
                <w:t>г</w:t>
              </w:r>
            </w:smartTag>
            <w:r w:rsidRPr="004F10C4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F10C4">
                <w:rPr>
                  <w:b/>
                  <w:bCs/>
                  <w:color w:val="000000"/>
                  <w:sz w:val="20"/>
                  <w:szCs w:val="20"/>
                </w:rPr>
                <w:t xml:space="preserve">2008 </w:t>
              </w:r>
              <w:r w:rsidRPr="004F10C4">
                <w:rPr>
                  <w:b/>
                  <w:color w:val="000000"/>
                  <w:sz w:val="20"/>
                  <w:szCs w:val="20"/>
                </w:rPr>
                <w:t>г</w:t>
              </w:r>
            </w:smartTag>
            <w:r w:rsidRPr="004F10C4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4F10C4">
                <w:rPr>
                  <w:b/>
                  <w:bCs/>
                  <w:color w:val="000000"/>
                  <w:sz w:val="20"/>
                  <w:szCs w:val="20"/>
                </w:rPr>
                <w:t xml:space="preserve">2009 </w:t>
              </w:r>
              <w:r w:rsidRPr="004F10C4">
                <w:rPr>
                  <w:b/>
                  <w:color w:val="000000"/>
                  <w:sz w:val="20"/>
                  <w:szCs w:val="20"/>
                </w:rPr>
                <w:t>г</w:t>
              </w:r>
            </w:smartTag>
            <w:r w:rsidRPr="004F10C4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Страхование жизни</w:t>
            </w:r>
          </w:p>
        </w:tc>
        <w:tc>
          <w:tcPr>
            <w:tcW w:w="1417" w:type="dxa"/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Иное, чем</w:t>
            </w:r>
          </w:p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страхование</w:t>
            </w:r>
          </w:p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жизни</w:t>
            </w:r>
          </w:p>
        </w:tc>
        <w:tc>
          <w:tcPr>
            <w:tcW w:w="709" w:type="dxa"/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4F10C4" w:rsidRPr="004F10C4" w:rsidRDefault="004F10C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4F10C4" w:rsidRPr="004F10C4" w:rsidTr="004F10C4">
        <w:trPr>
          <w:trHeight w:val="232"/>
          <w:jc w:val="center"/>
        </w:trPr>
        <w:tc>
          <w:tcPr>
            <w:tcW w:w="1276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Бразилия</w:t>
            </w:r>
          </w:p>
        </w:tc>
        <w:tc>
          <w:tcPr>
            <w:tcW w:w="709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709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10,78</w:t>
            </w:r>
          </w:p>
        </w:tc>
        <w:tc>
          <w:tcPr>
            <w:tcW w:w="709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17,05</w:t>
            </w:r>
          </w:p>
        </w:tc>
        <w:tc>
          <w:tcPr>
            <w:tcW w:w="851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14,34</w:t>
            </w:r>
          </w:p>
        </w:tc>
        <w:tc>
          <w:tcPr>
            <w:tcW w:w="1134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417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709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17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2,14</w:t>
            </w:r>
          </w:p>
        </w:tc>
      </w:tr>
      <w:tr w:rsidR="004F10C4" w:rsidRPr="004F10C4" w:rsidTr="004F10C4">
        <w:trPr>
          <w:trHeight w:val="232"/>
          <w:jc w:val="center"/>
        </w:trPr>
        <w:tc>
          <w:tcPr>
            <w:tcW w:w="1276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Аргентина</w:t>
            </w:r>
          </w:p>
        </w:tc>
        <w:tc>
          <w:tcPr>
            <w:tcW w:w="709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6,78</w:t>
            </w:r>
          </w:p>
        </w:tc>
        <w:tc>
          <w:tcPr>
            <w:tcW w:w="709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709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38,05</w:t>
            </w:r>
          </w:p>
        </w:tc>
        <w:tc>
          <w:tcPr>
            <w:tcW w:w="851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37,91</w:t>
            </w:r>
          </w:p>
        </w:tc>
        <w:tc>
          <w:tcPr>
            <w:tcW w:w="1134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417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709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187,0</w:t>
            </w:r>
          </w:p>
        </w:tc>
        <w:tc>
          <w:tcPr>
            <w:tcW w:w="1417" w:type="dxa"/>
          </w:tcPr>
          <w:p w:rsidR="00941D09" w:rsidRPr="004F10C4" w:rsidRDefault="00941D09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2,6</w:t>
            </w:r>
          </w:p>
        </w:tc>
      </w:tr>
      <w:tr w:rsidR="004F10C4" w:rsidRPr="004F10C4" w:rsidTr="004F10C4">
        <w:trPr>
          <w:trHeight w:val="239"/>
          <w:jc w:val="center"/>
        </w:trPr>
        <w:tc>
          <w:tcPr>
            <w:tcW w:w="1276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F10C4">
              <w:rPr>
                <w:sz w:val="20"/>
                <w:szCs w:val="20"/>
              </w:rPr>
              <w:t>Чили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71,76</w:t>
            </w:r>
          </w:p>
        </w:tc>
        <w:tc>
          <w:tcPr>
            <w:tcW w:w="851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69,89</w:t>
            </w:r>
          </w:p>
        </w:tc>
        <w:tc>
          <w:tcPr>
            <w:tcW w:w="1134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122,1</w:t>
            </w:r>
          </w:p>
        </w:tc>
        <w:tc>
          <w:tcPr>
            <w:tcW w:w="1417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417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4,23</w:t>
            </w:r>
          </w:p>
        </w:tc>
      </w:tr>
      <w:tr w:rsidR="004F10C4" w:rsidRPr="004F10C4" w:rsidTr="004F10C4">
        <w:trPr>
          <w:trHeight w:val="232"/>
          <w:jc w:val="center"/>
        </w:trPr>
        <w:tc>
          <w:tcPr>
            <w:tcW w:w="1276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Колумбия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851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27,16</w:t>
            </w:r>
          </w:p>
        </w:tc>
        <w:tc>
          <w:tcPr>
            <w:tcW w:w="1134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417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417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2,38</w:t>
            </w:r>
          </w:p>
        </w:tc>
      </w:tr>
      <w:tr w:rsidR="004F10C4" w:rsidRPr="004F10C4" w:rsidTr="004F10C4">
        <w:trPr>
          <w:trHeight w:val="232"/>
          <w:jc w:val="center"/>
        </w:trPr>
        <w:tc>
          <w:tcPr>
            <w:tcW w:w="1276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Венесуэла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851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1134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7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1417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2,19</w:t>
            </w:r>
          </w:p>
        </w:tc>
      </w:tr>
      <w:tr w:rsidR="004F10C4" w:rsidRPr="004F10C4" w:rsidTr="004F10C4">
        <w:trPr>
          <w:trHeight w:val="225"/>
          <w:jc w:val="center"/>
        </w:trPr>
        <w:tc>
          <w:tcPr>
            <w:tcW w:w="1276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Перу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851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37,14</w:t>
            </w:r>
          </w:p>
        </w:tc>
        <w:tc>
          <w:tcPr>
            <w:tcW w:w="1134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417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417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1,06</w:t>
            </w:r>
          </w:p>
        </w:tc>
      </w:tr>
      <w:tr w:rsidR="004F10C4" w:rsidRPr="004F10C4" w:rsidTr="004F10C4">
        <w:trPr>
          <w:trHeight w:val="232"/>
          <w:jc w:val="center"/>
        </w:trPr>
        <w:tc>
          <w:tcPr>
            <w:tcW w:w="1276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Уругвай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851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417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417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1,89</w:t>
            </w:r>
          </w:p>
        </w:tc>
      </w:tr>
      <w:tr w:rsidR="004F10C4" w:rsidRPr="004F10C4" w:rsidTr="004F10C4">
        <w:trPr>
          <w:trHeight w:val="225"/>
          <w:jc w:val="center"/>
        </w:trPr>
        <w:tc>
          <w:tcPr>
            <w:tcW w:w="1276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Панама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. АЗ?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31,89</w:t>
            </w:r>
          </w:p>
        </w:tc>
        <w:tc>
          <w:tcPr>
            <w:tcW w:w="851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30,81</w:t>
            </w:r>
          </w:p>
        </w:tc>
        <w:tc>
          <w:tcPr>
            <w:tcW w:w="1134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417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709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1417" w:type="dxa"/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3,57</w:t>
            </w:r>
          </w:p>
        </w:tc>
      </w:tr>
      <w:tr w:rsidR="004F10C4" w:rsidRPr="004F10C4" w:rsidTr="004F10C4">
        <w:trPr>
          <w:trHeight w:val="218"/>
          <w:jc w:val="center"/>
        </w:trPr>
        <w:tc>
          <w:tcPr>
            <w:tcW w:w="1276" w:type="dxa"/>
            <w:tcBorders>
              <w:bottom w:val="single" w:sz="4" w:space="0" w:color="auto"/>
            </w:tcBorders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Эквадор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5047A" w:rsidRPr="004F10C4" w:rsidRDefault="00E5047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1,74</w:t>
            </w:r>
          </w:p>
        </w:tc>
      </w:tr>
    </w:tbl>
    <w:p w:rsidR="00941D09" w:rsidRPr="004F10C4" w:rsidRDefault="00941D09" w:rsidP="004F10C4">
      <w:pPr>
        <w:spacing w:line="360" w:lineRule="auto"/>
        <w:ind w:firstLine="709"/>
        <w:jc w:val="both"/>
        <w:rPr>
          <w:color w:val="000000"/>
        </w:rPr>
      </w:pPr>
    </w:p>
    <w:p w:rsidR="00102870" w:rsidRPr="004F10C4" w:rsidRDefault="00102870" w:rsidP="004F10C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4F10C4">
        <w:rPr>
          <w:color w:val="000000"/>
        </w:rPr>
        <w:t>Бразилия всегда находилась на более высокой ступени индустриализации, чем Аргентина, и поэтому ее политика носила более протекционистский характер. Правительство Аргентины меньше волновали вопросы инвестирования в инфраструктуру, базовые отрасли производства и региональной интеграции.</w:t>
      </w:r>
    </w:p>
    <w:p w:rsidR="00102870" w:rsidRPr="004F10C4" w:rsidRDefault="00102870" w:rsidP="004F10C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4F10C4">
        <w:rPr>
          <w:color w:val="000000"/>
        </w:rPr>
        <w:t xml:space="preserve">На Бразилию приходится свыше 2/5 экономического потенциала Латинской Америки. В июле </w:t>
      </w:r>
      <w:smartTag w:uri="urn:schemas-microsoft-com:office:smarttags" w:element="metricconverter">
        <w:smartTagPr>
          <w:attr w:name="ProductID" w:val="1990 г"/>
        </w:smartTagPr>
        <w:r w:rsidRPr="004F10C4">
          <w:rPr>
            <w:color w:val="000000"/>
          </w:rPr>
          <w:t>1990 г</w:t>
        </w:r>
      </w:smartTag>
      <w:r w:rsidRPr="004F10C4">
        <w:rPr>
          <w:color w:val="000000"/>
        </w:rPr>
        <w:t xml:space="preserve">. президенты Бразилии и Аргентины подписали Акт Буэнос-Айреса, в соответствии с которым к 31 декабря </w:t>
      </w:r>
      <w:smartTag w:uri="urn:schemas-microsoft-com:office:smarttags" w:element="metricconverter">
        <w:smartTagPr>
          <w:attr w:name="ProductID" w:val="1994 г"/>
        </w:smartTagPr>
        <w:r w:rsidRPr="004F10C4">
          <w:rPr>
            <w:color w:val="000000"/>
          </w:rPr>
          <w:t>1994 г</w:t>
        </w:r>
      </w:smartTag>
      <w:r w:rsidRPr="004F10C4">
        <w:rPr>
          <w:color w:val="000000"/>
        </w:rPr>
        <w:t>. завершилось создание общего рынка между этими странами. Также был подписан договор о совместных предприятиях с участием капиталов двух сторон, предоставляющий национальный режим тем компаниям, большая часть акций которых принадлежала аргентинским или бразильским владельцам.</w:t>
      </w:r>
    </w:p>
    <w:p w:rsidR="00102870" w:rsidRPr="004F10C4" w:rsidRDefault="00102870" w:rsidP="004F10C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4F10C4">
        <w:rPr>
          <w:color w:val="000000"/>
        </w:rPr>
        <w:t xml:space="preserve">В Чили за период с января по июнь </w:t>
      </w:r>
      <w:smartTag w:uri="urn:schemas-microsoft-com:office:smarttags" w:element="metricconverter">
        <w:smartTagPr>
          <w:attr w:name="ProductID" w:val="2009 г"/>
        </w:smartTagPr>
        <w:r w:rsidRPr="004F10C4">
          <w:rPr>
            <w:color w:val="000000"/>
          </w:rPr>
          <w:t>2009 г</w:t>
        </w:r>
      </w:smartTag>
      <w:r w:rsidRPr="004F10C4">
        <w:rPr>
          <w:color w:val="000000"/>
        </w:rPr>
        <w:t>. отмечается рост страховых компаний, примерно равный 9,3%.</w:t>
      </w:r>
    </w:p>
    <w:p w:rsidR="00102870" w:rsidRPr="004F10C4" w:rsidRDefault="00102870" w:rsidP="004F10C4">
      <w:pPr>
        <w:spacing w:line="360" w:lineRule="auto"/>
        <w:ind w:firstLine="709"/>
        <w:jc w:val="both"/>
      </w:pPr>
      <w:r w:rsidRPr="004F10C4">
        <w:t>Поступления страховой премии чилийских страховых компаний, включая страхование, иное чем страхование жизни и страхование жизни достигли 1783,3 млрд</w:t>
      </w:r>
      <w:r w:rsidR="0000100A" w:rsidRPr="004F10C4">
        <w:t>.</w:t>
      </w:r>
      <w:r w:rsidRPr="004F10C4">
        <w:t xml:space="preserve"> песет (2,72 млрд</w:t>
      </w:r>
      <w:r w:rsidR="0000100A" w:rsidRPr="004F10C4">
        <w:t>.</w:t>
      </w:r>
      <w:r w:rsidRPr="004F10C4">
        <w:t xml:space="preserve"> долл.), а выплаты клиентам по страховым случаям составили 1,8 млн</w:t>
      </w:r>
      <w:r w:rsidR="0000100A" w:rsidRPr="004F10C4">
        <w:t>.</w:t>
      </w:r>
      <w:r w:rsidRPr="004F10C4">
        <w:t xml:space="preserve"> песет. В </w:t>
      </w:r>
      <w:smartTag w:uri="urn:schemas-microsoft-com:office:smarttags" w:element="metricconverter">
        <w:smartTagPr>
          <w:attr w:name="ProductID" w:val="2008 г"/>
        </w:smartTagPr>
        <w:r w:rsidRPr="004F10C4">
          <w:t>2008 г</w:t>
        </w:r>
      </w:smartTag>
      <w:r w:rsidRPr="004F10C4">
        <w:t xml:space="preserve">. на рынке страховых услуг поступления страховых премий по страхованию видов иных, чем страхование жизни к общей сумме страховых премий на чилийском страховом рынке составил, примерно, 25%. В то же время, поступления страховых премий по страхованию жизни составили 75% от общего объема страховых премий. Общий объем страховых премий в </w:t>
      </w:r>
      <w:smartTag w:uri="urn:schemas-microsoft-com:office:smarttags" w:element="metricconverter">
        <w:smartTagPr>
          <w:attr w:name="ProductID" w:val="2008 г"/>
        </w:smartTagPr>
        <w:r w:rsidRPr="004F10C4">
          <w:t>2008 г</w:t>
        </w:r>
      </w:smartTag>
      <w:r w:rsidRPr="004F10C4">
        <w:t>. достиг уровня 2,7 млрд. долл.</w:t>
      </w:r>
    </w:p>
    <w:p w:rsidR="00283418" w:rsidRPr="004F10C4" w:rsidRDefault="00283418" w:rsidP="004F10C4">
      <w:pPr>
        <w:spacing w:line="360" w:lineRule="auto"/>
        <w:ind w:firstLine="709"/>
        <w:jc w:val="both"/>
        <w:rPr>
          <w:color w:val="000000"/>
        </w:rPr>
      </w:pPr>
      <w:r w:rsidRPr="004F10C4">
        <w:t xml:space="preserve">Национальные страховые компании, осуществляющие страхование жизни представлены </w:t>
      </w:r>
      <w:r w:rsidRPr="004F10C4">
        <w:rPr>
          <w:lang w:val="en-US"/>
        </w:rPr>
        <w:t>Compania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Seguros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Vida</w:t>
      </w:r>
      <w:r w:rsidRPr="004F10C4">
        <w:t xml:space="preserve"> </w:t>
      </w:r>
      <w:r w:rsidRPr="004F10C4">
        <w:rPr>
          <w:lang w:val="en-US"/>
        </w:rPr>
        <w:t>Consorcio</w:t>
      </w:r>
      <w:r w:rsidRPr="004F10C4">
        <w:t xml:space="preserve"> </w:t>
      </w:r>
      <w:r w:rsidRPr="004F10C4">
        <w:rPr>
          <w:lang w:val="en-US"/>
        </w:rPr>
        <w:t>Nacional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Seguros</w:t>
      </w:r>
      <w:r w:rsidRPr="004F10C4">
        <w:t xml:space="preserve"> </w:t>
      </w:r>
      <w:r w:rsidRPr="004F10C4">
        <w:rPr>
          <w:lang w:val="en-US"/>
        </w:rPr>
        <w:t>S</w:t>
      </w:r>
      <w:r w:rsidRPr="004F10C4">
        <w:t xml:space="preserve">. </w:t>
      </w:r>
      <w:r w:rsidRPr="004F10C4">
        <w:rPr>
          <w:lang w:val="en-US"/>
        </w:rPr>
        <w:t>A</w:t>
      </w:r>
      <w:r w:rsidRPr="004F10C4">
        <w:t xml:space="preserve">., </w:t>
      </w:r>
      <w:r w:rsidRPr="004F10C4">
        <w:rPr>
          <w:lang w:val="en-US"/>
        </w:rPr>
        <w:t>Compania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Seguros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Vida</w:t>
      </w:r>
      <w:r w:rsidRPr="004F10C4">
        <w:t xml:space="preserve"> </w:t>
      </w:r>
      <w:r w:rsidRPr="004F10C4">
        <w:rPr>
          <w:lang w:val="en-US"/>
        </w:rPr>
        <w:t>Santander</w:t>
      </w:r>
      <w:r w:rsidRPr="004F10C4">
        <w:t xml:space="preserve"> </w:t>
      </w:r>
      <w:r w:rsidRPr="004F10C4">
        <w:rPr>
          <w:lang w:val="en-US"/>
        </w:rPr>
        <w:t>S</w:t>
      </w:r>
      <w:r w:rsidRPr="004F10C4">
        <w:t xml:space="preserve">. </w:t>
      </w:r>
      <w:r w:rsidRPr="004F10C4">
        <w:rPr>
          <w:lang w:val="en-US"/>
        </w:rPr>
        <w:t>A</w:t>
      </w:r>
      <w:r w:rsidRPr="004F10C4">
        <w:t xml:space="preserve">., </w:t>
      </w:r>
      <w:r w:rsidRPr="004F10C4">
        <w:rPr>
          <w:lang w:val="en-US"/>
        </w:rPr>
        <w:t>Allianz</w:t>
      </w:r>
      <w:r w:rsidRPr="004F10C4">
        <w:t xml:space="preserve"> </w:t>
      </w:r>
      <w:r w:rsidR="0000100A" w:rsidRPr="004F10C4">
        <w:rPr>
          <w:lang w:val="en-US"/>
        </w:rPr>
        <w:t>Bice</w:t>
      </w:r>
      <w:r w:rsidR="0000100A" w:rsidRPr="004F10C4">
        <w:t xml:space="preserve"> </w:t>
      </w:r>
      <w:r w:rsidR="0000100A" w:rsidRPr="004F10C4">
        <w:rPr>
          <w:lang w:val="en-US"/>
        </w:rPr>
        <w:t>Cia</w:t>
      </w:r>
      <w:r w:rsidR="0000100A" w:rsidRPr="004F10C4">
        <w:t xml:space="preserve"> </w:t>
      </w:r>
      <w:r w:rsidR="0000100A" w:rsidRPr="004F10C4">
        <w:rPr>
          <w:lang w:val="en-US"/>
        </w:rPr>
        <w:t>de</w:t>
      </w:r>
      <w:r w:rsidR="0000100A" w:rsidRPr="004F10C4">
        <w:t xml:space="preserve"> </w:t>
      </w:r>
      <w:r w:rsidR="0000100A" w:rsidRPr="004F10C4">
        <w:rPr>
          <w:lang w:val="en-US"/>
        </w:rPr>
        <w:t>Seguros</w:t>
      </w:r>
      <w:r w:rsidR="0000100A" w:rsidRPr="004F10C4">
        <w:t xml:space="preserve"> </w:t>
      </w:r>
      <w:r w:rsidR="0000100A" w:rsidRPr="004F10C4">
        <w:rPr>
          <w:lang w:val="en-US"/>
        </w:rPr>
        <w:t>de</w:t>
      </w:r>
      <w:r w:rsidR="0000100A" w:rsidRPr="004F10C4">
        <w:t xml:space="preserve"> </w:t>
      </w:r>
      <w:r w:rsidR="0000100A" w:rsidRPr="004F10C4">
        <w:rPr>
          <w:lang w:val="en-US"/>
        </w:rPr>
        <w:t>Vida</w:t>
      </w:r>
      <w:r w:rsidR="0000100A" w:rsidRPr="004F10C4">
        <w:t xml:space="preserve"> </w:t>
      </w:r>
      <w:r w:rsidR="0000100A" w:rsidRPr="004F10C4">
        <w:rPr>
          <w:lang w:val="en-US"/>
        </w:rPr>
        <w:t>S</w:t>
      </w:r>
      <w:r w:rsidR="0000100A" w:rsidRPr="004F10C4">
        <w:t xml:space="preserve">. </w:t>
      </w:r>
      <w:r w:rsidR="0000100A" w:rsidRPr="004F10C4">
        <w:rPr>
          <w:lang w:val="en-US"/>
        </w:rPr>
        <w:t>A</w:t>
      </w:r>
      <w:r w:rsidR="0000100A" w:rsidRPr="004F10C4">
        <w:t xml:space="preserve">., </w:t>
      </w:r>
      <w:r w:rsidR="0000100A" w:rsidRPr="004F10C4">
        <w:rPr>
          <w:lang w:val="en-US"/>
        </w:rPr>
        <w:t>Cruz</w:t>
      </w:r>
      <w:r w:rsidR="0000100A" w:rsidRPr="004F10C4">
        <w:t xml:space="preserve"> </w:t>
      </w:r>
      <w:r w:rsidR="0000100A" w:rsidRPr="004F10C4">
        <w:rPr>
          <w:lang w:val="en-US"/>
        </w:rPr>
        <w:t>Blanca</w:t>
      </w:r>
      <w:r w:rsidR="004F10C4">
        <w:t xml:space="preserve"> </w:t>
      </w:r>
      <w:r w:rsidR="0000100A" w:rsidRPr="004F10C4">
        <w:rPr>
          <w:lang w:val="en-US"/>
        </w:rPr>
        <w:t>Seguros</w:t>
      </w:r>
      <w:r w:rsidR="0000100A" w:rsidRPr="004F10C4">
        <w:t xml:space="preserve"> </w:t>
      </w:r>
      <w:r w:rsidR="0000100A" w:rsidRPr="004F10C4">
        <w:rPr>
          <w:lang w:val="en-US"/>
        </w:rPr>
        <w:t>de</w:t>
      </w:r>
      <w:r w:rsidR="0000100A" w:rsidRPr="004F10C4">
        <w:t xml:space="preserve"> </w:t>
      </w:r>
      <w:r w:rsidR="0000100A" w:rsidRPr="004F10C4">
        <w:rPr>
          <w:lang w:val="en-US"/>
        </w:rPr>
        <w:t>Vida</w:t>
      </w:r>
      <w:r w:rsidR="0000100A" w:rsidRPr="004F10C4">
        <w:t xml:space="preserve"> </w:t>
      </w:r>
      <w:r w:rsidR="0000100A" w:rsidRPr="004F10C4">
        <w:rPr>
          <w:lang w:val="en-US"/>
        </w:rPr>
        <w:t>S</w:t>
      </w:r>
      <w:r w:rsidR="0000100A" w:rsidRPr="004F10C4">
        <w:t xml:space="preserve">. </w:t>
      </w:r>
      <w:r w:rsidR="0000100A" w:rsidRPr="004F10C4">
        <w:rPr>
          <w:lang w:val="en-US"/>
        </w:rPr>
        <w:t>A</w:t>
      </w:r>
      <w:r w:rsidR="0000100A" w:rsidRPr="004F10C4">
        <w:t xml:space="preserve">. По состоянию на декабрь </w:t>
      </w:r>
      <w:smartTag w:uri="urn:schemas-microsoft-com:office:smarttags" w:element="metricconverter">
        <w:smartTagPr>
          <w:attr w:name="ProductID" w:val="2008 г"/>
        </w:smartTagPr>
        <w:r w:rsidR="0000100A" w:rsidRPr="004F10C4">
          <w:t>2008 г</w:t>
        </w:r>
      </w:smartTag>
      <w:r w:rsidR="0000100A" w:rsidRPr="004F10C4">
        <w:t xml:space="preserve">. на чилийском страховом рынке работают 2 национальных перестраховщика: </w:t>
      </w:r>
      <w:r w:rsidR="0000100A" w:rsidRPr="004F10C4">
        <w:rPr>
          <w:lang w:val="en-US"/>
        </w:rPr>
        <w:t>Caja</w:t>
      </w:r>
      <w:r w:rsidR="0000100A" w:rsidRPr="004F10C4">
        <w:t xml:space="preserve"> </w:t>
      </w:r>
      <w:r w:rsidR="0000100A" w:rsidRPr="004F10C4">
        <w:rPr>
          <w:lang w:val="en-US"/>
        </w:rPr>
        <w:t>Reaseguradora</w:t>
      </w:r>
      <w:r w:rsidR="0000100A" w:rsidRPr="004F10C4">
        <w:t xml:space="preserve"> </w:t>
      </w:r>
      <w:r w:rsidR="0000100A" w:rsidRPr="004F10C4">
        <w:rPr>
          <w:lang w:val="en-US"/>
        </w:rPr>
        <w:t>de</w:t>
      </w:r>
      <w:r w:rsidR="0000100A" w:rsidRPr="004F10C4">
        <w:t xml:space="preserve"> </w:t>
      </w:r>
      <w:r w:rsidR="0000100A" w:rsidRPr="004F10C4">
        <w:rPr>
          <w:lang w:val="en-US"/>
        </w:rPr>
        <w:t>Chile</w:t>
      </w:r>
      <w:r w:rsidR="0000100A" w:rsidRPr="004F10C4">
        <w:t xml:space="preserve"> </w:t>
      </w:r>
      <w:r w:rsidR="0000100A" w:rsidRPr="004F10C4">
        <w:rPr>
          <w:lang w:val="en-US"/>
        </w:rPr>
        <w:t>S</w:t>
      </w:r>
      <w:r w:rsidR="0000100A" w:rsidRPr="004F10C4">
        <w:t xml:space="preserve">. </w:t>
      </w:r>
      <w:r w:rsidR="0000100A" w:rsidRPr="004F10C4">
        <w:rPr>
          <w:lang w:val="en-US"/>
        </w:rPr>
        <w:t>A</w:t>
      </w:r>
      <w:r w:rsidR="0000100A" w:rsidRPr="004F10C4">
        <w:t xml:space="preserve">. и </w:t>
      </w:r>
      <w:r w:rsidR="0000100A" w:rsidRPr="004F10C4">
        <w:rPr>
          <w:lang w:val="en-US"/>
        </w:rPr>
        <w:t>Compania</w:t>
      </w:r>
      <w:r w:rsidR="0000100A" w:rsidRPr="004F10C4">
        <w:t xml:space="preserve"> </w:t>
      </w:r>
      <w:r w:rsidR="0000100A" w:rsidRPr="004F10C4">
        <w:rPr>
          <w:lang w:val="en-US"/>
        </w:rPr>
        <w:t>de</w:t>
      </w:r>
      <w:r w:rsidR="0000100A" w:rsidRPr="004F10C4">
        <w:t xml:space="preserve"> </w:t>
      </w:r>
      <w:r w:rsidR="0000100A" w:rsidRPr="004F10C4">
        <w:rPr>
          <w:lang w:val="en-US"/>
        </w:rPr>
        <w:t>Reaseguros</w:t>
      </w:r>
      <w:r w:rsidR="0000100A" w:rsidRPr="004F10C4">
        <w:t xml:space="preserve"> </w:t>
      </w:r>
      <w:r w:rsidR="0000100A" w:rsidRPr="004F10C4">
        <w:rPr>
          <w:lang w:val="en-US"/>
        </w:rPr>
        <w:t>de</w:t>
      </w:r>
      <w:r w:rsidR="0000100A" w:rsidRPr="004F10C4">
        <w:t xml:space="preserve"> </w:t>
      </w:r>
      <w:r w:rsidR="0000100A" w:rsidRPr="004F10C4">
        <w:rPr>
          <w:lang w:val="en-US"/>
        </w:rPr>
        <w:t>Vida</w:t>
      </w:r>
      <w:r w:rsidR="0000100A" w:rsidRPr="004F10C4">
        <w:t xml:space="preserve"> </w:t>
      </w:r>
      <w:r w:rsidR="0000100A" w:rsidRPr="004F10C4">
        <w:rPr>
          <w:lang w:val="en-US"/>
        </w:rPr>
        <w:t>Soince</w:t>
      </w:r>
      <w:r w:rsidR="0000100A" w:rsidRPr="004F10C4">
        <w:t xml:space="preserve"> </w:t>
      </w:r>
      <w:r w:rsidR="0000100A" w:rsidRPr="004F10C4">
        <w:rPr>
          <w:color w:val="000000"/>
        </w:rPr>
        <w:t xml:space="preserve">– </w:t>
      </w:r>
      <w:r w:rsidR="0000100A" w:rsidRPr="004F10C4">
        <w:rPr>
          <w:color w:val="000000"/>
          <w:lang w:val="en-US"/>
        </w:rPr>
        <w:t>Re</w:t>
      </w:r>
      <w:r w:rsidR="0000100A" w:rsidRPr="004F10C4">
        <w:rPr>
          <w:color w:val="000000"/>
        </w:rPr>
        <w:t xml:space="preserve"> </w:t>
      </w:r>
      <w:r w:rsidR="0000100A" w:rsidRPr="004F10C4">
        <w:rPr>
          <w:color w:val="000000"/>
          <w:lang w:val="en-US"/>
        </w:rPr>
        <w:t>S</w:t>
      </w:r>
      <w:r w:rsidR="0000100A" w:rsidRPr="004F10C4">
        <w:rPr>
          <w:color w:val="000000"/>
        </w:rPr>
        <w:t xml:space="preserve">. </w:t>
      </w:r>
      <w:r w:rsidR="0000100A" w:rsidRPr="004F10C4">
        <w:rPr>
          <w:color w:val="000000"/>
          <w:lang w:val="en-US"/>
        </w:rPr>
        <w:t>A</w:t>
      </w:r>
      <w:r w:rsidR="0000100A" w:rsidRPr="004F10C4">
        <w:rPr>
          <w:color w:val="000000"/>
        </w:rPr>
        <w:t>.</w:t>
      </w:r>
    </w:p>
    <w:p w:rsidR="0000100A" w:rsidRPr="004F10C4" w:rsidRDefault="0000100A" w:rsidP="004F10C4">
      <w:pPr>
        <w:spacing w:line="360" w:lineRule="auto"/>
        <w:ind w:firstLine="709"/>
        <w:jc w:val="both"/>
      </w:pPr>
      <w:r w:rsidRPr="004F10C4">
        <w:t xml:space="preserve">Основными иностранными перестраховщиками, работающими на чилийском рынке страховых услуг являются такие всемирно известные компании, как: </w:t>
      </w:r>
      <w:r w:rsidRPr="004F10C4">
        <w:rPr>
          <w:lang w:val="en-US"/>
        </w:rPr>
        <w:t>Allianz</w:t>
      </w:r>
      <w:r w:rsidRPr="004F10C4">
        <w:t xml:space="preserve">, </w:t>
      </w:r>
      <w:r w:rsidRPr="004F10C4">
        <w:rPr>
          <w:lang w:val="en-US"/>
        </w:rPr>
        <w:t>American</w:t>
      </w:r>
      <w:r w:rsidRPr="004F10C4">
        <w:t xml:space="preserve"> </w:t>
      </w:r>
      <w:r w:rsidRPr="004F10C4">
        <w:rPr>
          <w:lang w:val="en-US"/>
        </w:rPr>
        <w:t>Reinsurance</w:t>
      </w:r>
      <w:r w:rsidRPr="004F10C4">
        <w:t xml:space="preserve"> </w:t>
      </w:r>
      <w:r w:rsidRPr="004F10C4">
        <w:rPr>
          <w:lang w:val="en-US"/>
        </w:rPr>
        <w:t>Company</w:t>
      </w:r>
      <w:r w:rsidRPr="004F10C4">
        <w:t xml:space="preserve">, </w:t>
      </w:r>
      <w:r w:rsidRPr="004F10C4">
        <w:rPr>
          <w:lang w:val="en-US"/>
        </w:rPr>
        <w:t>RGA</w:t>
      </w:r>
      <w:r w:rsidRPr="004F10C4">
        <w:t xml:space="preserve"> </w:t>
      </w:r>
      <w:r w:rsidRPr="004F10C4">
        <w:rPr>
          <w:lang w:val="en-US"/>
        </w:rPr>
        <w:t>Reinsurance</w:t>
      </w:r>
      <w:r w:rsidRPr="004F10C4">
        <w:t xml:space="preserve"> </w:t>
      </w:r>
      <w:r w:rsidRPr="004F10C4">
        <w:rPr>
          <w:lang w:val="en-US"/>
        </w:rPr>
        <w:t>Company</w:t>
      </w:r>
      <w:r w:rsidRPr="004F10C4">
        <w:t>.</w:t>
      </w:r>
    </w:p>
    <w:p w:rsidR="0000100A" w:rsidRPr="004F10C4" w:rsidRDefault="0000100A" w:rsidP="004F10C4">
      <w:pPr>
        <w:spacing w:line="360" w:lineRule="auto"/>
        <w:ind w:firstLine="709"/>
        <w:jc w:val="both"/>
      </w:pPr>
      <w:r w:rsidRPr="004F10C4">
        <w:t>В настоящее время, за исключением Чили, где страховщики имеют значительную долю в управлении пенсионными фондами для наемных служащих, страхование жизни представляет лишь малую долю деятельности страховщиков. Инфляция не позволяет страхователям доверять их сбережения страховщикам жизни, также как и возрастающие цены на услуги мешают пересмотру контрактов. Однако предполагается, что ситуация должна значительно измениться в течение следующих пяти лет, в результате внедрения новых социальных реформ, проводимых в странах региона. Интенсивный рост экономики способствует повышению уровня жизни населения, что должно привести к увеличению числа к</w:t>
      </w:r>
      <w:r w:rsidR="003F6A55" w:rsidRPr="004F10C4">
        <w:t xml:space="preserve">онтрактов по страхованию. В </w:t>
      </w:r>
      <w:smartTag w:uri="urn:schemas-microsoft-com:office:smarttags" w:element="metricconverter">
        <w:smartTagPr>
          <w:attr w:name="ProductID" w:val="2009 г"/>
        </w:smartTagPr>
        <w:r w:rsidR="003F6A55" w:rsidRPr="004F10C4">
          <w:t>2009</w:t>
        </w:r>
        <w:r w:rsidRPr="004F10C4">
          <w:t xml:space="preserve"> г</w:t>
        </w:r>
      </w:smartTag>
      <w:r w:rsidRPr="004F10C4">
        <w:t>. на страховых рынках Латинской Америки было собрано 39,9 млрд</w:t>
      </w:r>
      <w:r w:rsidR="003F6A55" w:rsidRPr="004F10C4">
        <w:t>.</w:t>
      </w:r>
      <w:r w:rsidRPr="004F10C4">
        <w:t xml:space="preserve"> долл. совокупной страховой премии, в т.ч. в Бразилии — 12,6 млрд</w:t>
      </w:r>
      <w:r w:rsidR="003F6A55" w:rsidRPr="004F10C4">
        <w:t>.</w:t>
      </w:r>
      <w:r w:rsidRPr="004F10C4">
        <w:t xml:space="preserve"> долл., Чили — 2,6 млрд</w:t>
      </w:r>
      <w:r w:rsidR="003F6A55" w:rsidRPr="004F10C4">
        <w:t>.</w:t>
      </w:r>
      <w:r w:rsidRPr="004F10C4">
        <w:t xml:space="preserve"> долл., Аргентине — 2,4 млрд</w:t>
      </w:r>
      <w:r w:rsidR="003F6A55" w:rsidRPr="004F10C4">
        <w:t>.</w:t>
      </w:r>
      <w:r w:rsidRPr="004F10C4">
        <w:t xml:space="preserve"> долл.</w:t>
      </w:r>
    </w:p>
    <w:p w:rsidR="0000100A" w:rsidRPr="004F10C4" w:rsidRDefault="0000100A" w:rsidP="004F10C4">
      <w:pPr>
        <w:spacing w:line="360" w:lineRule="auto"/>
        <w:ind w:firstLine="709"/>
        <w:jc w:val="both"/>
      </w:pPr>
      <w:r w:rsidRPr="004F10C4">
        <w:t>Страховые услуги традиционно продаются разветвленной сетью агентств, в т.ч. за счет увеличения числа привлеченных специалистов. Национальные банковские</w:t>
      </w:r>
      <w:r w:rsidR="003F6A55" w:rsidRPr="004F10C4">
        <w:t xml:space="preserve"> группы активно развивают банко</w:t>
      </w:r>
      <w:r w:rsidRPr="004F10C4">
        <w:t xml:space="preserve">страхование, страховые услуги распространяются даже через знаменитые магазины, такие как </w:t>
      </w:r>
      <w:r w:rsidR="003F6A55" w:rsidRPr="004F10C4">
        <w:rPr>
          <w:lang w:val="en-US"/>
        </w:rPr>
        <w:t>El</w:t>
      </w:r>
      <w:r w:rsidR="003F6A55" w:rsidRPr="004F10C4">
        <w:t xml:space="preserve"> </w:t>
      </w:r>
      <w:r w:rsidR="003F6A55" w:rsidRPr="004F10C4">
        <w:rPr>
          <w:lang w:val="en-US"/>
        </w:rPr>
        <w:t>Corte</w:t>
      </w:r>
      <w:r w:rsidR="003F6A55" w:rsidRPr="004F10C4">
        <w:t xml:space="preserve"> </w:t>
      </w:r>
      <w:r w:rsidR="003F6A55" w:rsidRPr="004F10C4">
        <w:rPr>
          <w:lang w:val="en-US"/>
        </w:rPr>
        <w:t>Ingles</w:t>
      </w:r>
      <w:r w:rsidR="003F6A55" w:rsidRPr="004F10C4">
        <w:t xml:space="preserve">. </w:t>
      </w:r>
    </w:p>
    <w:p w:rsidR="0000100A" w:rsidRPr="004F10C4" w:rsidRDefault="0000100A" w:rsidP="004F10C4">
      <w:pPr>
        <w:spacing w:line="360" w:lineRule="auto"/>
        <w:ind w:firstLine="709"/>
        <w:jc w:val="both"/>
      </w:pPr>
      <w:r w:rsidRPr="004F10C4">
        <w:t xml:space="preserve">В рамках проводимых экономических реформ в странах Латинской Америки, предполагается дальнейшее открытие страхового рынка для иностранных страховых компаний, при этом уровень тарифов и требования к платежеспособности страховщика будут повышаться. </w:t>
      </w:r>
      <w:r w:rsidR="003F6A55" w:rsidRPr="004F10C4">
        <w:t>В Аргентине более чем 60</w:t>
      </w:r>
      <w:r w:rsidRPr="004F10C4">
        <w:t xml:space="preserve"> страховых компаний прошли через процедуру ликвидации с тех пор, как в </w:t>
      </w:r>
      <w:smartTag w:uri="urn:schemas-microsoft-com:office:smarttags" w:element="metricconverter">
        <w:smartTagPr>
          <w:attr w:name="ProductID" w:val="1992 г"/>
        </w:smartTagPr>
        <w:r w:rsidRPr="004F10C4">
          <w:t>1992 г</w:t>
        </w:r>
      </w:smartTag>
      <w:r w:rsidRPr="004F10C4">
        <w:t>. был открыт доступ для иностранных страховщиков на национальный страховой рынок. Несмотря на активный процесс поглощений и слияний, количество страховых компаний увеличилось, что свидетельствует о дальнейшем ра</w:t>
      </w:r>
      <w:r w:rsidR="003F6A55" w:rsidRPr="004F10C4">
        <w:t>звитии отрасли в регионе (таблица</w:t>
      </w:r>
      <w:r w:rsidRPr="004F10C4">
        <w:t xml:space="preserve"> 2).</w:t>
      </w:r>
    </w:p>
    <w:p w:rsidR="004F10C4" w:rsidRPr="003C22FC" w:rsidRDefault="004F10C4" w:rsidP="004F10C4">
      <w:pPr>
        <w:spacing w:line="360" w:lineRule="auto"/>
        <w:ind w:firstLine="709"/>
        <w:jc w:val="both"/>
        <w:rPr>
          <w:spacing w:val="-4"/>
        </w:rPr>
      </w:pPr>
    </w:p>
    <w:p w:rsidR="003F6A55" w:rsidRPr="004F10C4" w:rsidRDefault="00473249" w:rsidP="004F10C4">
      <w:pPr>
        <w:spacing w:line="360" w:lineRule="auto"/>
        <w:ind w:firstLine="709"/>
        <w:jc w:val="center"/>
        <w:rPr>
          <w:spacing w:val="-4"/>
        </w:rPr>
      </w:pPr>
      <w:r w:rsidRPr="004F10C4">
        <w:rPr>
          <w:spacing w:val="-4"/>
        </w:rPr>
        <w:t xml:space="preserve">Таблица 2 </w:t>
      </w:r>
      <w:r w:rsidRPr="004F10C4">
        <w:rPr>
          <w:color w:val="000000"/>
          <w:spacing w:val="-4"/>
        </w:rPr>
        <w:t>–</w:t>
      </w:r>
      <w:r w:rsidRPr="004F10C4">
        <w:rPr>
          <w:spacing w:val="-4"/>
        </w:rPr>
        <w:t xml:space="preserve"> Число страховых компаний и доля крупнейших на рынке в </w:t>
      </w:r>
      <w:smartTag w:uri="urn:schemas-microsoft-com:office:smarttags" w:element="metricconverter">
        <w:smartTagPr>
          <w:attr w:name="ProductID" w:val="2008 г"/>
        </w:smartTagPr>
        <w:r w:rsidRPr="004F10C4">
          <w:rPr>
            <w:spacing w:val="-4"/>
          </w:rPr>
          <w:t>2008 г</w:t>
        </w:r>
      </w:smartTag>
      <w:r w:rsidRPr="004F10C4">
        <w:rPr>
          <w:spacing w:val="-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60"/>
        <w:gridCol w:w="1701"/>
        <w:gridCol w:w="1984"/>
        <w:gridCol w:w="1701"/>
      </w:tblGrid>
      <w:tr w:rsidR="00473249" w:rsidRPr="00D50B28" w:rsidTr="00D50B28">
        <w:trPr>
          <w:jc w:val="center"/>
        </w:trPr>
        <w:tc>
          <w:tcPr>
            <w:tcW w:w="1242" w:type="dxa"/>
            <w:vMerge w:val="restart"/>
            <w:shd w:val="clear" w:color="auto" w:fill="auto"/>
          </w:tcPr>
          <w:p w:rsidR="00473249" w:rsidRPr="00D50B28" w:rsidRDefault="00473249" w:rsidP="00D50B28">
            <w:pPr>
              <w:spacing w:line="360" w:lineRule="auto"/>
              <w:rPr>
                <w:b/>
                <w:spacing w:val="-4"/>
                <w:sz w:val="20"/>
                <w:szCs w:val="20"/>
              </w:rPr>
            </w:pPr>
            <w:r w:rsidRPr="00D50B28">
              <w:rPr>
                <w:b/>
                <w:spacing w:val="-4"/>
                <w:sz w:val="20"/>
                <w:szCs w:val="20"/>
              </w:rPr>
              <w:t>Страна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73249" w:rsidRPr="00D50B28" w:rsidRDefault="00473249" w:rsidP="00D50B28">
            <w:pPr>
              <w:spacing w:line="360" w:lineRule="auto"/>
              <w:rPr>
                <w:b/>
                <w:spacing w:val="-4"/>
                <w:sz w:val="20"/>
                <w:szCs w:val="20"/>
              </w:rPr>
            </w:pPr>
            <w:r w:rsidRPr="00D50B28">
              <w:rPr>
                <w:b/>
                <w:spacing w:val="-4"/>
                <w:sz w:val="20"/>
                <w:szCs w:val="20"/>
              </w:rPr>
              <w:t>Страхование иное, чем страхование жизни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73249" w:rsidRPr="00D50B28" w:rsidRDefault="00473249" w:rsidP="00D50B28">
            <w:pPr>
              <w:spacing w:line="360" w:lineRule="auto"/>
              <w:rPr>
                <w:b/>
                <w:spacing w:val="-4"/>
                <w:sz w:val="20"/>
                <w:szCs w:val="20"/>
              </w:rPr>
            </w:pPr>
            <w:r w:rsidRPr="00D50B28">
              <w:rPr>
                <w:b/>
                <w:spacing w:val="-4"/>
                <w:sz w:val="20"/>
                <w:szCs w:val="20"/>
              </w:rPr>
              <w:t>Страхование жизни</w:t>
            </w:r>
          </w:p>
        </w:tc>
      </w:tr>
      <w:tr w:rsidR="00473249" w:rsidRPr="00D50B28" w:rsidTr="00D50B28">
        <w:trPr>
          <w:jc w:val="center"/>
        </w:trPr>
        <w:tc>
          <w:tcPr>
            <w:tcW w:w="1242" w:type="dxa"/>
            <w:vMerge/>
            <w:shd w:val="clear" w:color="auto" w:fill="auto"/>
          </w:tcPr>
          <w:p w:rsidR="00473249" w:rsidRPr="00D50B28" w:rsidRDefault="00473249" w:rsidP="00D50B28">
            <w:pPr>
              <w:spacing w:line="360" w:lineRule="auto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3249" w:rsidRPr="00D50B28" w:rsidRDefault="00473249" w:rsidP="00D50B28">
            <w:pPr>
              <w:spacing w:line="360" w:lineRule="auto"/>
              <w:rPr>
                <w:b/>
                <w:spacing w:val="-4"/>
                <w:sz w:val="20"/>
                <w:szCs w:val="20"/>
              </w:rPr>
            </w:pPr>
            <w:r w:rsidRPr="00D50B28">
              <w:rPr>
                <w:b/>
                <w:spacing w:val="-4"/>
                <w:sz w:val="20"/>
                <w:szCs w:val="20"/>
              </w:rPr>
              <w:t>Кол-во страховых компаний на рынке</w:t>
            </w:r>
          </w:p>
        </w:tc>
        <w:tc>
          <w:tcPr>
            <w:tcW w:w="1701" w:type="dxa"/>
            <w:shd w:val="clear" w:color="auto" w:fill="auto"/>
          </w:tcPr>
          <w:p w:rsidR="00473249" w:rsidRPr="00D50B28" w:rsidRDefault="00473249" w:rsidP="00D50B28">
            <w:pPr>
              <w:spacing w:line="360" w:lineRule="auto"/>
              <w:rPr>
                <w:b/>
                <w:spacing w:val="-4"/>
                <w:sz w:val="20"/>
                <w:szCs w:val="20"/>
              </w:rPr>
            </w:pPr>
            <w:r w:rsidRPr="00D50B28">
              <w:rPr>
                <w:b/>
                <w:spacing w:val="-4"/>
                <w:sz w:val="20"/>
                <w:szCs w:val="20"/>
              </w:rPr>
              <w:t>Доля на рынке 5-ти крупнейших (%)</w:t>
            </w:r>
          </w:p>
        </w:tc>
        <w:tc>
          <w:tcPr>
            <w:tcW w:w="1984" w:type="dxa"/>
            <w:shd w:val="clear" w:color="auto" w:fill="auto"/>
          </w:tcPr>
          <w:p w:rsidR="00473249" w:rsidRPr="00D50B28" w:rsidRDefault="00473249" w:rsidP="00D50B28">
            <w:pPr>
              <w:spacing w:line="360" w:lineRule="auto"/>
              <w:rPr>
                <w:b/>
                <w:spacing w:val="-4"/>
                <w:sz w:val="20"/>
                <w:szCs w:val="20"/>
              </w:rPr>
            </w:pPr>
            <w:r w:rsidRPr="00D50B28">
              <w:rPr>
                <w:b/>
                <w:spacing w:val="-4"/>
                <w:sz w:val="20"/>
                <w:szCs w:val="20"/>
              </w:rPr>
              <w:t>Кол-во страховых компаний на рынке</w:t>
            </w:r>
          </w:p>
        </w:tc>
        <w:tc>
          <w:tcPr>
            <w:tcW w:w="1701" w:type="dxa"/>
            <w:shd w:val="clear" w:color="auto" w:fill="auto"/>
          </w:tcPr>
          <w:p w:rsidR="00473249" w:rsidRPr="00D50B28" w:rsidRDefault="00473249" w:rsidP="00D50B28">
            <w:pPr>
              <w:spacing w:line="360" w:lineRule="auto"/>
              <w:rPr>
                <w:b/>
                <w:spacing w:val="-4"/>
                <w:sz w:val="20"/>
                <w:szCs w:val="20"/>
              </w:rPr>
            </w:pPr>
            <w:r w:rsidRPr="00D50B28">
              <w:rPr>
                <w:b/>
                <w:spacing w:val="-4"/>
                <w:sz w:val="20"/>
                <w:szCs w:val="20"/>
              </w:rPr>
              <w:t>Доля на рынке 5-ти крупнейших (%)</w:t>
            </w:r>
          </w:p>
        </w:tc>
      </w:tr>
      <w:tr w:rsidR="00473249" w:rsidRPr="00D50B28" w:rsidTr="00D50B28">
        <w:trPr>
          <w:jc w:val="center"/>
        </w:trPr>
        <w:tc>
          <w:tcPr>
            <w:tcW w:w="1242" w:type="dxa"/>
            <w:shd w:val="clear" w:color="auto" w:fill="auto"/>
          </w:tcPr>
          <w:p w:rsidR="00473249" w:rsidRPr="00D50B28" w:rsidRDefault="00473249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Аргентина</w:t>
            </w:r>
          </w:p>
        </w:tc>
        <w:tc>
          <w:tcPr>
            <w:tcW w:w="1560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145</w:t>
            </w:r>
          </w:p>
        </w:tc>
        <w:tc>
          <w:tcPr>
            <w:tcW w:w="1701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39</w:t>
            </w:r>
          </w:p>
        </w:tc>
        <w:tc>
          <w:tcPr>
            <w:tcW w:w="1984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91</w:t>
            </w:r>
          </w:p>
        </w:tc>
        <w:tc>
          <w:tcPr>
            <w:tcW w:w="1701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66</w:t>
            </w:r>
          </w:p>
        </w:tc>
      </w:tr>
      <w:tr w:rsidR="00473249" w:rsidRPr="00D50B28" w:rsidTr="00D50B28">
        <w:trPr>
          <w:jc w:val="center"/>
        </w:trPr>
        <w:tc>
          <w:tcPr>
            <w:tcW w:w="1242" w:type="dxa"/>
            <w:shd w:val="clear" w:color="auto" w:fill="auto"/>
          </w:tcPr>
          <w:p w:rsidR="00473249" w:rsidRPr="00D50B28" w:rsidRDefault="00473249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Бразилия</w:t>
            </w:r>
          </w:p>
        </w:tc>
        <w:tc>
          <w:tcPr>
            <w:tcW w:w="1560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113</w:t>
            </w:r>
          </w:p>
        </w:tc>
        <w:tc>
          <w:tcPr>
            <w:tcW w:w="1701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49</w:t>
            </w:r>
          </w:p>
        </w:tc>
        <w:tc>
          <w:tcPr>
            <w:tcW w:w="1984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59</w:t>
            </w:r>
          </w:p>
        </w:tc>
      </w:tr>
      <w:tr w:rsidR="00473249" w:rsidRPr="00D50B28" w:rsidTr="00D50B28">
        <w:trPr>
          <w:jc w:val="center"/>
        </w:trPr>
        <w:tc>
          <w:tcPr>
            <w:tcW w:w="1242" w:type="dxa"/>
            <w:shd w:val="clear" w:color="auto" w:fill="auto"/>
          </w:tcPr>
          <w:p w:rsidR="00473249" w:rsidRPr="00D50B28" w:rsidRDefault="00473249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Чили</w:t>
            </w:r>
          </w:p>
        </w:tc>
        <w:tc>
          <w:tcPr>
            <w:tcW w:w="1560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49</w:t>
            </w:r>
          </w:p>
        </w:tc>
        <w:tc>
          <w:tcPr>
            <w:tcW w:w="1984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43</w:t>
            </w:r>
          </w:p>
        </w:tc>
      </w:tr>
      <w:tr w:rsidR="00473249" w:rsidRPr="00D50B28" w:rsidTr="00D50B28">
        <w:trPr>
          <w:jc w:val="center"/>
        </w:trPr>
        <w:tc>
          <w:tcPr>
            <w:tcW w:w="1242" w:type="dxa"/>
            <w:shd w:val="clear" w:color="auto" w:fill="auto"/>
          </w:tcPr>
          <w:p w:rsidR="00473249" w:rsidRPr="00D50B28" w:rsidRDefault="00473249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Колумбия</w:t>
            </w:r>
          </w:p>
        </w:tc>
        <w:tc>
          <w:tcPr>
            <w:tcW w:w="1560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47</w:t>
            </w:r>
          </w:p>
        </w:tc>
        <w:tc>
          <w:tcPr>
            <w:tcW w:w="1984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65</w:t>
            </w:r>
          </w:p>
        </w:tc>
      </w:tr>
      <w:tr w:rsidR="00473249" w:rsidRPr="00D50B28" w:rsidTr="00D50B28">
        <w:trPr>
          <w:jc w:val="center"/>
        </w:trPr>
        <w:tc>
          <w:tcPr>
            <w:tcW w:w="1242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Венесуэла</w:t>
            </w:r>
          </w:p>
        </w:tc>
        <w:tc>
          <w:tcPr>
            <w:tcW w:w="1560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68</w:t>
            </w:r>
          </w:p>
        </w:tc>
        <w:tc>
          <w:tcPr>
            <w:tcW w:w="1984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80</w:t>
            </w:r>
          </w:p>
        </w:tc>
      </w:tr>
      <w:tr w:rsidR="00473249" w:rsidRPr="00D50B28" w:rsidTr="00D50B28">
        <w:trPr>
          <w:jc w:val="center"/>
        </w:trPr>
        <w:tc>
          <w:tcPr>
            <w:tcW w:w="1242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Перу</w:t>
            </w:r>
          </w:p>
        </w:tc>
        <w:tc>
          <w:tcPr>
            <w:tcW w:w="1560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41</w:t>
            </w:r>
          </w:p>
        </w:tc>
        <w:tc>
          <w:tcPr>
            <w:tcW w:w="1984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473249" w:rsidRPr="00D50B28" w:rsidRDefault="00E5047A" w:rsidP="00D50B28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D50B28">
              <w:rPr>
                <w:spacing w:val="-4"/>
                <w:sz w:val="20"/>
                <w:szCs w:val="20"/>
              </w:rPr>
              <w:t>46</w:t>
            </w:r>
          </w:p>
        </w:tc>
      </w:tr>
    </w:tbl>
    <w:p w:rsidR="00473249" w:rsidRPr="004F10C4" w:rsidRDefault="00473249" w:rsidP="004F10C4">
      <w:pPr>
        <w:spacing w:line="360" w:lineRule="auto"/>
        <w:ind w:firstLine="709"/>
        <w:jc w:val="both"/>
        <w:rPr>
          <w:spacing w:val="-4"/>
        </w:rPr>
      </w:pPr>
    </w:p>
    <w:p w:rsidR="00E5047A" w:rsidRPr="004F10C4" w:rsidRDefault="00E5047A" w:rsidP="004F10C4">
      <w:pPr>
        <w:spacing w:line="360" w:lineRule="auto"/>
        <w:ind w:firstLine="709"/>
        <w:jc w:val="both"/>
      </w:pPr>
      <w:r w:rsidRPr="004F10C4">
        <w:t>В целом, можно отметить, что концентрация рынка страхования жизни более высокая по сравнению с рынком страхования иного, чем страхование жизни, однако показатели каждой страны могут значительно отличаться друг от друга. Так, например, в Аргентине, рынок страхования видов иных, чем страхование жизни по-прежнему представлен несколькими страховыми компаниями, несмотря на продолжающийся процесс консолидации</w:t>
      </w:r>
      <w:r w:rsidR="00FC7351" w:rsidRPr="004F10C4">
        <w:t>.</w:t>
      </w:r>
    </w:p>
    <w:p w:rsidR="00E5047A" w:rsidRPr="004F10C4" w:rsidRDefault="00E5047A" w:rsidP="004F10C4">
      <w:pPr>
        <w:spacing w:line="360" w:lineRule="auto"/>
        <w:ind w:firstLine="709"/>
        <w:jc w:val="both"/>
      </w:pPr>
      <w:r w:rsidRPr="004F10C4">
        <w:t xml:space="preserve">В настоящее время в странах Латинской Америки, не существует каких-либо ограничений для иностранных страховщиков на участие в доле капитала акционерной компании или при открытии дочерней компании. Не допускается открытие филиалов и агентств, в Аргентине. На всех страховых рынках стран региона, роль иностранных страховщиков увеличилась практически вдвое. В развивающихся странах региона, доля на рынке компаний с участием в капитале иностранных инвесторов является самой высокой в мире. Наибольшее количество иностранных страховых компаний присутствует на страховых рынках Аргентины. Так в </w:t>
      </w:r>
      <w:r w:rsidR="00FC7351" w:rsidRPr="004F10C4">
        <w:t>этой</w:t>
      </w:r>
      <w:r w:rsidRPr="004F10C4">
        <w:t xml:space="preserve"> стран</w:t>
      </w:r>
      <w:r w:rsidR="00FC7351" w:rsidRPr="004F10C4">
        <w:t>е</w:t>
      </w:r>
      <w:r w:rsidRPr="004F10C4">
        <w:t xml:space="preserve"> работает более 20 иностранных компаний, занимающихся страхованием жизни. На долю иностранных страховщиков а секторе страхования жизни в </w:t>
      </w:r>
      <w:r w:rsidR="00FC7351" w:rsidRPr="004F10C4">
        <w:t xml:space="preserve">Аргентине приходится 80% рынка а </w:t>
      </w:r>
      <w:r w:rsidRPr="004F10C4">
        <w:t xml:space="preserve">Колумбии менее 30%. На рынке страхования иного, чем страхование жизни, доля этих компаний варьируется от 30% </w:t>
      </w:r>
      <w:r w:rsidR="00FC7351" w:rsidRPr="004F10C4">
        <w:t xml:space="preserve">в Бразилии, </w:t>
      </w:r>
      <w:r w:rsidRPr="004F10C4">
        <w:t>до 70% в Чили.</w:t>
      </w:r>
    </w:p>
    <w:p w:rsidR="00E5047A" w:rsidRPr="004F10C4" w:rsidRDefault="00E5047A" w:rsidP="004F10C4">
      <w:pPr>
        <w:spacing w:line="360" w:lineRule="auto"/>
        <w:ind w:firstLine="709"/>
        <w:jc w:val="both"/>
      </w:pPr>
      <w:r w:rsidRPr="004F10C4">
        <w:t>Присутствие иностранных страховых компаний, как правило более значительно на рынке страхования жизни и здоровья нежели на рынке страхования иного, чем страхование жизни</w:t>
      </w:r>
      <w:r w:rsidR="00FC7351" w:rsidRPr="004F10C4">
        <w:t>.</w:t>
      </w:r>
      <w:r w:rsidRPr="004F10C4">
        <w:t xml:space="preserve"> Страхователи предпочитают доверять свои деньги страховщикам с мировым именем, нежели национальным страховым компаниям. Преимущество иностранных страховых компаний заключается в прочной репутации и возможности инвестирования средств в проекты за рубежом, имея основной бизнес в своей стране, где низкий уровень инфляции и политическая стабильность.</w:t>
      </w:r>
    </w:p>
    <w:p w:rsidR="004F10C4" w:rsidRPr="003C22FC" w:rsidRDefault="00E5047A" w:rsidP="004F10C4">
      <w:pPr>
        <w:spacing w:line="360" w:lineRule="auto"/>
        <w:ind w:firstLine="709"/>
        <w:jc w:val="both"/>
      </w:pPr>
      <w:r w:rsidRPr="004F10C4">
        <w:t xml:space="preserve">На долю крупнейших мировых страховых компаний приходится половина заработанной страховой премии иностранными страховщиками в странах Латинской Америки. Такие мировые лидирующие страховые компании как </w:t>
      </w:r>
      <w:r w:rsidR="00FC7351" w:rsidRPr="004F10C4">
        <w:rPr>
          <w:lang w:val="en-US"/>
        </w:rPr>
        <w:t>Allianz</w:t>
      </w:r>
      <w:r w:rsidRPr="004F10C4">
        <w:t xml:space="preserve"> и </w:t>
      </w:r>
      <w:r w:rsidR="00FC7351" w:rsidRPr="004F10C4">
        <w:rPr>
          <w:lang w:val="en-US"/>
        </w:rPr>
        <w:t>AIG</w:t>
      </w:r>
      <w:r w:rsidR="00FC7351" w:rsidRPr="004F10C4">
        <w:t xml:space="preserve"> </w:t>
      </w:r>
      <w:r w:rsidRPr="004F10C4">
        <w:t xml:space="preserve">также являются лидерами и на страховых рынках региона. На долю каждого приходится более миллиарда долларов собранной премии (по видам страхования жизни и иным, чем страхование жизни). </w:t>
      </w:r>
      <w:r w:rsidR="00FC7351" w:rsidRPr="004F10C4">
        <w:rPr>
          <w:lang w:val="en-US"/>
        </w:rPr>
        <w:t>Zurich</w:t>
      </w:r>
      <w:r w:rsidR="00FC7351" w:rsidRPr="004F10C4">
        <w:t xml:space="preserve">, </w:t>
      </w:r>
      <w:r w:rsidR="00FC7351" w:rsidRPr="004F10C4">
        <w:rPr>
          <w:lang w:val="en-US"/>
        </w:rPr>
        <w:t>Generali</w:t>
      </w:r>
      <w:r w:rsidR="00FC7351" w:rsidRPr="004F10C4">
        <w:t xml:space="preserve">, </w:t>
      </w:r>
      <w:r w:rsidR="00FC7351" w:rsidRPr="004F10C4">
        <w:rPr>
          <w:lang w:val="en-US"/>
        </w:rPr>
        <w:t>Royal</w:t>
      </w:r>
      <w:r w:rsidR="00FC7351" w:rsidRPr="004F10C4">
        <w:t xml:space="preserve"> &amp; </w:t>
      </w:r>
      <w:r w:rsidR="00FC7351" w:rsidRPr="004F10C4">
        <w:rPr>
          <w:lang w:val="en-US"/>
        </w:rPr>
        <w:t>Sun</w:t>
      </w:r>
      <w:r w:rsidR="00FC7351" w:rsidRPr="004F10C4">
        <w:t xml:space="preserve"> </w:t>
      </w:r>
      <w:r w:rsidR="00FC7351" w:rsidRPr="004F10C4">
        <w:rPr>
          <w:lang w:val="en-US"/>
        </w:rPr>
        <w:t>Alliance</w:t>
      </w:r>
      <w:r w:rsidR="00FC7351" w:rsidRPr="004F10C4">
        <w:t xml:space="preserve"> и </w:t>
      </w:r>
      <w:r w:rsidR="00FC7351" w:rsidRPr="004F10C4">
        <w:rPr>
          <w:lang w:val="en-US"/>
        </w:rPr>
        <w:t>ING</w:t>
      </w:r>
      <w:r w:rsidRPr="004F10C4">
        <w:t xml:space="preserve"> особенно сильны на страховых рынках отдельных стран региона, в то время как на рыках других стран их присутствие является незначительным. </w:t>
      </w:r>
    </w:p>
    <w:p w:rsidR="00E5047A" w:rsidRPr="004F10C4" w:rsidRDefault="00E5047A" w:rsidP="004F10C4">
      <w:pPr>
        <w:spacing w:line="360" w:lineRule="auto"/>
        <w:ind w:firstLine="709"/>
        <w:jc w:val="both"/>
      </w:pPr>
      <w:r w:rsidRPr="004F10C4">
        <w:t>Американские</w:t>
      </w:r>
      <w:r w:rsidR="007B555A" w:rsidRPr="004F10C4">
        <w:t xml:space="preserve"> крупнейшие страховые компании </w:t>
      </w:r>
      <w:r w:rsidR="007B555A" w:rsidRPr="004F10C4">
        <w:rPr>
          <w:color w:val="000000"/>
          <w:spacing w:val="-4"/>
        </w:rPr>
        <w:t>–</w:t>
      </w:r>
      <w:r w:rsidRPr="004F10C4">
        <w:t xml:space="preserve"> </w:t>
      </w:r>
      <w:r w:rsidR="007B555A" w:rsidRPr="004F10C4">
        <w:rPr>
          <w:lang w:val="en-US"/>
        </w:rPr>
        <w:t>Chubb</w:t>
      </w:r>
      <w:r w:rsidR="007B555A" w:rsidRPr="004F10C4">
        <w:t xml:space="preserve">, </w:t>
      </w:r>
      <w:r w:rsidR="007B555A" w:rsidRPr="004F10C4">
        <w:rPr>
          <w:lang w:val="en-US"/>
        </w:rPr>
        <w:t>Cigna</w:t>
      </w:r>
      <w:r w:rsidR="007B555A" w:rsidRPr="004F10C4">
        <w:t xml:space="preserve"> и </w:t>
      </w:r>
      <w:r w:rsidR="007B555A" w:rsidRPr="004F10C4">
        <w:rPr>
          <w:lang w:val="en-US"/>
        </w:rPr>
        <w:t>Aenta</w:t>
      </w:r>
      <w:r w:rsidRPr="004F10C4">
        <w:t xml:space="preserve">, также представлены в регионе, однако они традиционно специализируются на своих основных направлениях: </w:t>
      </w:r>
      <w:r w:rsidR="007B555A" w:rsidRPr="004F10C4">
        <w:rPr>
          <w:lang w:val="en-US"/>
        </w:rPr>
        <w:t>Cigna</w:t>
      </w:r>
      <w:r w:rsidR="007B555A" w:rsidRPr="004F10C4">
        <w:t xml:space="preserve"> и </w:t>
      </w:r>
      <w:r w:rsidR="007B555A" w:rsidRPr="004F10C4">
        <w:rPr>
          <w:lang w:val="en-US"/>
        </w:rPr>
        <w:t>Aenta</w:t>
      </w:r>
      <w:r w:rsidR="007B555A" w:rsidRPr="004F10C4">
        <w:t xml:space="preserve"> </w:t>
      </w:r>
      <w:r w:rsidR="007B555A" w:rsidRPr="004F10C4">
        <w:rPr>
          <w:color w:val="000000"/>
          <w:spacing w:val="-4"/>
        </w:rPr>
        <w:t>–</w:t>
      </w:r>
      <w:r w:rsidR="007B555A" w:rsidRPr="004F10C4">
        <w:t xml:space="preserve"> страхование здоровья, </w:t>
      </w:r>
      <w:r w:rsidR="007B555A" w:rsidRPr="004F10C4">
        <w:rPr>
          <w:lang w:val="en-US"/>
        </w:rPr>
        <w:t>Chubb</w:t>
      </w:r>
      <w:r w:rsidR="007B555A" w:rsidRPr="004F10C4">
        <w:t xml:space="preserve"> </w:t>
      </w:r>
      <w:r w:rsidR="007B555A" w:rsidRPr="004F10C4">
        <w:rPr>
          <w:color w:val="000000"/>
          <w:spacing w:val="-4"/>
        </w:rPr>
        <w:t>–</w:t>
      </w:r>
      <w:r w:rsidRPr="004F10C4">
        <w:t xml:space="preserve"> коммерческое страхование. </w:t>
      </w:r>
      <w:r w:rsidR="007B555A" w:rsidRPr="004F10C4">
        <w:rPr>
          <w:lang w:val="en-US"/>
        </w:rPr>
        <w:t>Winterthur</w:t>
      </w:r>
      <w:r w:rsidR="007B555A" w:rsidRPr="004F10C4">
        <w:t xml:space="preserve">, </w:t>
      </w:r>
      <w:r w:rsidR="007B555A" w:rsidRPr="004F10C4">
        <w:rPr>
          <w:lang w:val="en-US"/>
        </w:rPr>
        <w:t>CGNU</w:t>
      </w:r>
      <w:r w:rsidR="007B555A" w:rsidRPr="004F10C4">
        <w:t xml:space="preserve"> и </w:t>
      </w:r>
      <w:r w:rsidR="007B555A" w:rsidRPr="004F10C4">
        <w:rPr>
          <w:lang w:val="en-US"/>
        </w:rPr>
        <w:t>AXA</w:t>
      </w:r>
      <w:r w:rsidRPr="004F10C4">
        <w:t xml:space="preserve"> присутствуют только на нескольких рынках и в их определенных сегментах; в целом, эти страховые компании не играют важной роли в регионе. Что касается страхования жизни, </w:t>
      </w:r>
      <w:r w:rsidR="007B555A" w:rsidRPr="004F10C4">
        <w:rPr>
          <w:lang w:val="en-US"/>
        </w:rPr>
        <w:t>Metlife</w:t>
      </w:r>
      <w:r w:rsidR="007B555A" w:rsidRPr="004F10C4">
        <w:t xml:space="preserve"> и </w:t>
      </w:r>
      <w:r w:rsidR="007B555A" w:rsidRPr="004F10C4">
        <w:rPr>
          <w:lang w:val="en-US"/>
        </w:rPr>
        <w:t>New</w:t>
      </w:r>
      <w:r w:rsidR="007B555A" w:rsidRPr="004F10C4">
        <w:t xml:space="preserve"> </w:t>
      </w:r>
      <w:r w:rsidR="007B555A" w:rsidRPr="004F10C4">
        <w:rPr>
          <w:lang w:val="en-US"/>
        </w:rPr>
        <w:t>York</w:t>
      </w:r>
      <w:r w:rsidR="007B555A" w:rsidRPr="004F10C4">
        <w:t xml:space="preserve"> </w:t>
      </w:r>
      <w:r w:rsidR="007B555A" w:rsidRPr="004F10C4">
        <w:rPr>
          <w:lang w:val="en-US"/>
        </w:rPr>
        <w:t>Life</w:t>
      </w:r>
      <w:r w:rsidR="004F10C4">
        <w:t xml:space="preserve"> </w:t>
      </w:r>
      <w:r w:rsidRPr="004F10C4">
        <w:t>недавно предприняли определенные попытки освоения местных рынков и временно сконцентрировали свое в</w:t>
      </w:r>
      <w:r w:rsidR="007B555A" w:rsidRPr="004F10C4">
        <w:t>нимание на страховых рынках двух</w:t>
      </w:r>
      <w:r w:rsidRPr="004F10C4">
        <w:t xml:space="preserve"> основных стран: Аргентине и Бразилии. На</w:t>
      </w:r>
      <w:r w:rsidR="007B555A" w:rsidRPr="004F10C4">
        <w:t xml:space="preserve"> этих</w:t>
      </w:r>
      <w:r w:rsidRPr="004F10C4">
        <w:t xml:space="preserve"> рынках эти компании занимают лидирующие позиции.</w:t>
      </w:r>
    </w:p>
    <w:p w:rsidR="00E5047A" w:rsidRPr="004F10C4" w:rsidRDefault="00E5047A" w:rsidP="004F10C4">
      <w:pPr>
        <w:spacing w:line="360" w:lineRule="auto"/>
        <w:ind w:firstLine="709"/>
        <w:jc w:val="both"/>
      </w:pPr>
      <w:r w:rsidRPr="004F10C4">
        <w:t xml:space="preserve">Наиболее важным иностранным страховщиком на рынке страхования ином, чем страхование жизни в Латинской Америке является испанская страховая компания </w:t>
      </w:r>
      <w:r w:rsidR="007B555A" w:rsidRPr="004F10C4">
        <w:rPr>
          <w:lang w:val="en-US"/>
        </w:rPr>
        <w:t>Mapfre</w:t>
      </w:r>
      <w:r w:rsidRPr="004F10C4">
        <w:t xml:space="preserve">, на долю которой приходится половина всей собранной страховой премии в регионе. В дополнение к этому, </w:t>
      </w:r>
      <w:r w:rsidR="007B555A" w:rsidRPr="004F10C4">
        <w:rPr>
          <w:lang w:val="en-US"/>
        </w:rPr>
        <w:t>Mapfre</w:t>
      </w:r>
      <w:r w:rsidRPr="004F10C4">
        <w:t xml:space="preserve"> также является одним из лидеров на рынке страхования жизни. Американская страховая компания </w:t>
      </w:r>
      <w:r w:rsidR="007B555A" w:rsidRPr="004F10C4">
        <w:rPr>
          <w:lang w:val="en-US"/>
        </w:rPr>
        <w:t>Li</w:t>
      </w:r>
      <w:r w:rsidR="007B555A" w:rsidRPr="004F10C4">
        <w:t>-</w:t>
      </w:r>
      <w:r w:rsidR="007B555A" w:rsidRPr="004F10C4">
        <w:rPr>
          <w:lang w:val="en-US"/>
        </w:rPr>
        <w:t>berty</w:t>
      </w:r>
      <w:r w:rsidR="007B555A" w:rsidRPr="004F10C4">
        <w:t xml:space="preserve"> </w:t>
      </w:r>
      <w:r w:rsidR="007B555A" w:rsidRPr="004F10C4">
        <w:rPr>
          <w:lang w:val="en-US"/>
        </w:rPr>
        <w:t>Mutual</w:t>
      </w:r>
      <w:r w:rsidRPr="004F10C4">
        <w:t xml:space="preserve"> также играет значительную роль на страховых рынках региона после завоевания лидирующих позиций в результате ряда крупнейших поглощений в Бразилии, Колумбии и Венесуэле. Местные страховые компании, которые играли бы значительную роль на внутреннем и региональных рынках, совсем немногочисленны и достаточно удалены друг от друга. Только несколько независимых страховых компаний, что более характерно для Бразилии, работают на региональных рынках.</w:t>
      </w:r>
    </w:p>
    <w:p w:rsidR="00AB09A4" w:rsidRPr="004F10C4" w:rsidRDefault="00AB09A4" w:rsidP="004F10C4">
      <w:pPr>
        <w:spacing w:line="360" w:lineRule="auto"/>
        <w:ind w:firstLine="709"/>
        <w:jc w:val="both"/>
      </w:pPr>
      <w:r w:rsidRPr="004F10C4">
        <w:t xml:space="preserve">Одна из крупнейших перестраховочных компаний мира, швейцарская Swiss Re, разочаровалась в классических страховых рынках Европы и США и считает, что развивающиеся страны Латинской Америки обещают куда большие прибыли. «Мы придерживаемся долгосрочной стратегии роста в этом регионе, список самых перспективных стран возглавляет Бразилия, за ней следует Мексика, в отношении которой у нас «бычьи» настроения», </w:t>
      </w:r>
      <w:r w:rsidR="00247391" w:rsidRPr="004F10C4">
        <w:rPr>
          <w:color w:val="000000"/>
          <w:spacing w:val="-4"/>
        </w:rPr>
        <w:t>–</w:t>
      </w:r>
      <w:r w:rsidRPr="004F10C4">
        <w:t xml:space="preserve"> рассказал на латиноамериканском экономическом форуме в колумбийском городе Картахена председатель американского подразделения компании Swiss Re Вальтер Бэлл. </w:t>
      </w:r>
    </w:p>
    <w:p w:rsidR="007B555A" w:rsidRPr="004F10C4" w:rsidRDefault="007B555A" w:rsidP="004F10C4">
      <w:pPr>
        <w:spacing w:line="360" w:lineRule="auto"/>
        <w:ind w:firstLine="709"/>
        <w:jc w:val="both"/>
      </w:pPr>
      <w:r w:rsidRPr="004F10C4">
        <w:t>Уровень развития страхования на других рынках невысок, о чем можно судить по таблицам и графикам.</w:t>
      </w:r>
    </w:p>
    <w:p w:rsidR="00AB09A4" w:rsidRDefault="003C22FC" w:rsidP="004F10C4">
      <w:pPr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AB09A4" w:rsidRPr="004F10C4">
        <w:rPr>
          <w:b/>
        </w:rPr>
        <w:t>Гватемала</w:t>
      </w:r>
    </w:p>
    <w:p w:rsidR="003C22FC" w:rsidRPr="004F10C4" w:rsidRDefault="003C22FC" w:rsidP="004F10C4">
      <w:pPr>
        <w:spacing w:line="360" w:lineRule="auto"/>
        <w:ind w:firstLine="709"/>
        <w:jc w:val="both"/>
        <w:rPr>
          <w:b/>
        </w:rPr>
      </w:pPr>
    </w:p>
    <w:p w:rsidR="00247391" w:rsidRPr="004F10C4" w:rsidRDefault="00247391" w:rsidP="004F10C4">
      <w:pPr>
        <w:spacing w:line="360" w:lineRule="auto"/>
        <w:ind w:firstLine="709"/>
        <w:jc w:val="center"/>
      </w:pPr>
      <w:r w:rsidRPr="004F10C4">
        <w:t xml:space="preserve">Таблица 3 </w:t>
      </w:r>
      <w:r w:rsidRPr="004F10C4">
        <w:rPr>
          <w:color w:val="000000"/>
          <w:spacing w:val="-4"/>
        </w:rPr>
        <w:t xml:space="preserve">– Поступления страховой премии, млн. </w:t>
      </w:r>
      <w:r w:rsidR="00A713DF" w:rsidRPr="004F10C4">
        <w:rPr>
          <w:color w:val="000000"/>
          <w:spacing w:val="-4"/>
        </w:rPr>
        <w:t>долл.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0"/>
        <w:gridCol w:w="850"/>
        <w:gridCol w:w="851"/>
        <w:gridCol w:w="850"/>
        <w:gridCol w:w="993"/>
        <w:gridCol w:w="850"/>
        <w:gridCol w:w="709"/>
      </w:tblGrid>
      <w:tr w:rsidR="00AB09A4" w:rsidRPr="004F10C4" w:rsidTr="003C22FC">
        <w:trPr>
          <w:trHeight w:val="412"/>
          <w:jc w:val="center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247391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247391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247391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247391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247391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F10C4">
              <w:rPr>
                <w:b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10C4">
              <w:rPr>
                <w:b/>
                <w:bCs/>
                <w:color w:val="000000"/>
                <w:sz w:val="20"/>
                <w:szCs w:val="20"/>
              </w:rPr>
              <w:t>200</w:t>
            </w:r>
            <w:r w:rsidR="00247391" w:rsidRPr="004F10C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B09A4" w:rsidRPr="004F10C4" w:rsidTr="003C22FC">
        <w:trPr>
          <w:trHeight w:val="512"/>
          <w:jc w:val="center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Страхование ущерба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124,99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247391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120,</w:t>
            </w:r>
            <w:r w:rsidR="00AB09A4" w:rsidRPr="004F10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121,41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125,71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127,08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151</w:t>
            </w:r>
            <w:r w:rsidRPr="004F10C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4F10C4">
              <w:rPr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AB09A4" w:rsidRPr="004F10C4" w:rsidTr="003C22FC">
        <w:trPr>
          <w:trHeight w:val="520"/>
          <w:jc w:val="center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Страхование 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29,51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32,14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37,20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39,09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35,07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38,50</w:t>
            </w:r>
          </w:p>
        </w:tc>
      </w:tr>
      <w:tr w:rsidR="00AB09A4" w:rsidRPr="004F10C4" w:rsidTr="003C22FC">
        <w:trPr>
          <w:trHeight w:val="309"/>
          <w:jc w:val="center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3C22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Другие виды</w:t>
            </w:r>
            <w:r w:rsidR="003C22FC">
              <w:rPr>
                <w:color w:val="000000"/>
                <w:sz w:val="20"/>
                <w:szCs w:val="20"/>
              </w:rPr>
              <w:t xml:space="preserve"> </w:t>
            </w:r>
            <w:r w:rsidRPr="004F10C4">
              <w:rPr>
                <w:color w:val="000000"/>
                <w:sz w:val="20"/>
                <w:szCs w:val="20"/>
              </w:rPr>
              <w:t>страхования 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29,51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32,14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37,20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39,09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35,07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38,50</w:t>
            </w:r>
          </w:p>
        </w:tc>
      </w:tr>
      <w:tr w:rsidR="00AB09A4" w:rsidRPr="004F10C4" w:rsidTr="003C22FC">
        <w:trPr>
          <w:trHeight w:val="356"/>
          <w:jc w:val="center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Прочее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5,09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5,26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6,91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7,69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9,69</w:t>
            </w:r>
          </w:p>
        </w:tc>
      </w:tr>
      <w:tr w:rsidR="00AB09A4" w:rsidRPr="004F10C4" w:rsidTr="003C22FC">
        <w:trPr>
          <w:trHeight w:val="392"/>
          <w:jc w:val="center"/>
        </w:trPr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159,59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157,90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165,52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172</w:t>
            </w:r>
            <w:r w:rsidRPr="004F10C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4F10C4">
              <w:rPr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170,55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9A4" w:rsidRPr="004F10C4" w:rsidRDefault="00AB09A4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199,67</w:t>
            </w:r>
          </w:p>
        </w:tc>
      </w:tr>
    </w:tbl>
    <w:p w:rsidR="00247391" w:rsidRPr="004F10C4" w:rsidRDefault="00247391" w:rsidP="004F10C4">
      <w:pPr>
        <w:spacing w:line="360" w:lineRule="auto"/>
        <w:ind w:firstLine="709"/>
        <w:jc w:val="both"/>
      </w:pPr>
    </w:p>
    <w:p w:rsidR="00A713DF" w:rsidRPr="004F10C4" w:rsidRDefault="00A713DF" w:rsidP="004F10C4">
      <w:pPr>
        <w:spacing w:line="360" w:lineRule="auto"/>
        <w:ind w:firstLine="709"/>
        <w:jc w:val="both"/>
        <w:rPr>
          <w:b/>
        </w:rPr>
      </w:pPr>
      <w:r w:rsidRPr="004F10C4">
        <w:rPr>
          <w:b/>
        </w:rPr>
        <w:t>Перу</w:t>
      </w:r>
    </w:p>
    <w:p w:rsidR="003759F9" w:rsidRPr="004F10C4" w:rsidRDefault="003759F9" w:rsidP="004F10C4">
      <w:pPr>
        <w:spacing w:line="360" w:lineRule="auto"/>
        <w:ind w:firstLine="709"/>
        <w:jc w:val="both"/>
        <w:rPr>
          <w:b/>
        </w:rPr>
      </w:pPr>
    </w:p>
    <w:p w:rsidR="00A713DF" w:rsidRPr="004F10C4" w:rsidRDefault="00A713DF" w:rsidP="004F10C4">
      <w:pPr>
        <w:spacing w:line="360" w:lineRule="auto"/>
        <w:ind w:firstLine="709"/>
        <w:jc w:val="center"/>
        <w:rPr>
          <w:color w:val="000000"/>
          <w:spacing w:val="-4"/>
        </w:rPr>
      </w:pPr>
      <w:r w:rsidRPr="004F10C4">
        <w:t>Таблица 4</w:t>
      </w:r>
      <w:r w:rsidR="003759F9" w:rsidRPr="004F10C4">
        <w:t xml:space="preserve"> </w:t>
      </w:r>
      <w:r w:rsidRPr="004F10C4">
        <w:rPr>
          <w:color w:val="000000"/>
          <w:spacing w:val="-4"/>
        </w:rPr>
        <w:t>– Поступления страховой премии, млн. долл.</w:t>
      </w:r>
    </w:p>
    <w:tbl>
      <w:tblPr>
        <w:tblW w:w="793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850"/>
        <w:gridCol w:w="851"/>
        <w:gridCol w:w="992"/>
        <w:gridCol w:w="992"/>
        <w:gridCol w:w="992"/>
      </w:tblGrid>
      <w:tr w:rsidR="00A713DF" w:rsidRPr="004F10C4" w:rsidTr="004F10C4">
        <w:trPr>
          <w:trHeight w:val="428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10C4">
              <w:rPr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10C4">
              <w:rPr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10C4">
              <w:rPr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10C4">
              <w:rPr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10C4">
              <w:rPr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10C4">
              <w:rPr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A713DF" w:rsidRPr="004F10C4" w:rsidTr="004F10C4">
        <w:trPr>
          <w:trHeight w:val="543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 xml:space="preserve">Страхование </w:t>
            </w:r>
            <w:r w:rsidR="00A713DF" w:rsidRPr="004F10C4">
              <w:rPr>
                <w:color w:val="000000"/>
                <w:sz w:val="20"/>
                <w:szCs w:val="20"/>
              </w:rPr>
              <w:t>ущерба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362,83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396,71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327,86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296,74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293,08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265,65</w:t>
            </w:r>
          </w:p>
        </w:tc>
      </w:tr>
      <w:tr w:rsidR="00A713DF" w:rsidRPr="004F10C4" w:rsidTr="004F10C4">
        <w:trPr>
          <w:trHeight w:val="543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Страхование жи</w:t>
            </w:r>
            <w:r w:rsidR="00A713DF" w:rsidRPr="004F10C4">
              <w:rPr>
                <w:color w:val="000000"/>
                <w:sz w:val="20"/>
                <w:szCs w:val="20"/>
              </w:rPr>
              <w:t>зни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1 63,89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83,60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119,60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147,88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171,37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206,36</w:t>
            </w:r>
          </w:p>
        </w:tc>
      </w:tr>
      <w:tr w:rsidR="00A713DF" w:rsidRPr="004F10C4" w:rsidTr="004F10C4">
        <w:trPr>
          <w:trHeight w:val="676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Другие виды</w:t>
            </w:r>
          </w:p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страхования жизни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63,89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35,54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50,64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84,91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107,851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134,46</w:t>
            </w:r>
          </w:p>
        </w:tc>
      </w:tr>
      <w:tr w:rsidR="00A713DF" w:rsidRPr="004F10C4" w:rsidTr="004F10C4">
        <w:trPr>
          <w:trHeight w:val="362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Прочее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96,04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96,13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101,10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83,98</w:t>
            </w:r>
          </w:p>
        </w:tc>
      </w:tr>
      <w:tr w:rsidR="00A713DF" w:rsidRPr="004F10C4" w:rsidTr="004F10C4">
        <w:trPr>
          <w:trHeight w:val="411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F10C4">
              <w:rPr>
                <w:color w:val="000000"/>
                <w:sz w:val="20"/>
                <w:szCs w:val="20"/>
              </w:rPr>
              <w:t>428,12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480,301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A713DF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543,50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540,75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565,55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3DF" w:rsidRPr="004F10C4" w:rsidRDefault="0031131A" w:rsidP="004F10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4F10C4">
              <w:rPr>
                <w:bCs/>
                <w:color w:val="000000"/>
                <w:sz w:val="20"/>
                <w:szCs w:val="20"/>
              </w:rPr>
              <w:t>555,99</w:t>
            </w:r>
          </w:p>
        </w:tc>
      </w:tr>
    </w:tbl>
    <w:p w:rsidR="00A713DF" w:rsidRPr="004F10C4" w:rsidRDefault="00A713DF" w:rsidP="004F10C4">
      <w:pPr>
        <w:spacing w:line="360" w:lineRule="auto"/>
        <w:ind w:firstLine="709"/>
        <w:jc w:val="both"/>
      </w:pPr>
    </w:p>
    <w:p w:rsidR="00BA29B2" w:rsidRPr="004F10C4" w:rsidRDefault="004F10C4" w:rsidP="004F10C4">
      <w:pPr>
        <w:spacing w:line="360" w:lineRule="auto"/>
        <w:ind w:firstLine="709"/>
        <w:jc w:val="center"/>
        <w:rPr>
          <w:b/>
        </w:rPr>
      </w:pPr>
      <w:r>
        <w:rPr>
          <w:b/>
          <w:color w:val="000000"/>
          <w:spacing w:val="-4"/>
        </w:rPr>
        <w:br w:type="page"/>
      </w:r>
      <w:r w:rsidR="00BA29B2" w:rsidRPr="004F10C4">
        <w:rPr>
          <w:b/>
          <w:color w:val="000000"/>
          <w:spacing w:val="-4"/>
        </w:rPr>
        <w:t>Заключение</w:t>
      </w:r>
    </w:p>
    <w:p w:rsidR="00102870" w:rsidRPr="004F10C4" w:rsidRDefault="00102870" w:rsidP="004F10C4">
      <w:pPr>
        <w:spacing w:line="360" w:lineRule="auto"/>
        <w:ind w:firstLine="709"/>
        <w:jc w:val="both"/>
        <w:rPr>
          <w:color w:val="000000"/>
        </w:rPr>
      </w:pPr>
    </w:p>
    <w:p w:rsidR="00BA29B2" w:rsidRPr="004F10C4" w:rsidRDefault="00BA29B2" w:rsidP="004F10C4">
      <w:pPr>
        <w:spacing w:line="360" w:lineRule="auto"/>
        <w:ind w:firstLine="709"/>
        <w:jc w:val="both"/>
        <w:rPr>
          <w:color w:val="000000"/>
        </w:rPr>
      </w:pPr>
      <w:r w:rsidRPr="004F10C4">
        <w:rPr>
          <w:color w:val="000000"/>
        </w:rPr>
        <w:t>Подводя итог вышеизложенному, можно сделать вывод, что в странах Южной Америки</w:t>
      </w:r>
      <w:r w:rsidR="004F10C4">
        <w:rPr>
          <w:color w:val="000000"/>
        </w:rPr>
        <w:t xml:space="preserve"> </w:t>
      </w:r>
      <w:r w:rsidRPr="004F10C4">
        <w:rPr>
          <w:color w:val="000000"/>
        </w:rPr>
        <w:t xml:space="preserve">страхование и перестрахование находится на стадии развития. </w:t>
      </w:r>
    </w:p>
    <w:p w:rsidR="00C74AFD" w:rsidRPr="004F10C4" w:rsidRDefault="00C74AFD" w:rsidP="004F10C4">
      <w:pPr>
        <w:spacing w:line="360" w:lineRule="auto"/>
        <w:ind w:firstLine="709"/>
        <w:jc w:val="both"/>
        <w:rPr>
          <w:color w:val="000000"/>
        </w:rPr>
      </w:pPr>
      <w:r w:rsidRPr="004F10C4">
        <w:rPr>
          <w:color w:val="000000"/>
        </w:rPr>
        <w:t xml:space="preserve">Основные рынки страхования Латинской Америки занимают: Бразилия, Аргентина и Чили. На Бразилию приходится свыше 2/5 экономического потенциала Латинской Америки. В Чили за период с января по июнь </w:t>
      </w:r>
      <w:smartTag w:uri="urn:schemas-microsoft-com:office:smarttags" w:element="metricconverter">
        <w:smartTagPr>
          <w:attr w:name="ProductID" w:val="2009 г"/>
        </w:smartTagPr>
        <w:r w:rsidRPr="004F10C4">
          <w:rPr>
            <w:color w:val="000000"/>
          </w:rPr>
          <w:t>2009 г</w:t>
        </w:r>
      </w:smartTag>
      <w:r w:rsidRPr="004F10C4">
        <w:rPr>
          <w:color w:val="000000"/>
        </w:rPr>
        <w:t xml:space="preserve">. отмечается рост страховых компаний, примерно равный 9,3%. </w:t>
      </w:r>
      <w:r w:rsidRPr="004F10C4">
        <w:t xml:space="preserve">Национальные страховые компании, осуществляющие страхование жизни представлены </w:t>
      </w:r>
      <w:r w:rsidRPr="004F10C4">
        <w:rPr>
          <w:lang w:val="en-US"/>
        </w:rPr>
        <w:t>Compania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Seguros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Vida</w:t>
      </w:r>
      <w:r w:rsidRPr="004F10C4">
        <w:t xml:space="preserve"> </w:t>
      </w:r>
      <w:r w:rsidRPr="004F10C4">
        <w:rPr>
          <w:lang w:val="en-US"/>
        </w:rPr>
        <w:t>Consorcio</w:t>
      </w:r>
      <w:r w:rsidRPr="004F10C4">
        <w:t xml:space="preserve"> </w:t>
      </w:r>
      <w:r w:rsidRPr="004F10C4">
        <w:rPr>
          <w:lang w:val="en-US"/>
        </w:rPr>
        <w:t>Nacional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Seguros</w:t>
      </w:r>
      <w:r w:rsidRPr="004F10C4">
        <w:t xml:space="preserve"> </w:t>
      </w:r>
      <w:r w:rsidRPr="004F10C4">
        <w:rPr>
          <w:lang w:val="en-US"/>
        </w:rPr>
        <w:t>S</w:t>
      </w:r>
      <w:r w:rsidRPr="004F10C4">
        <w:t xml:space="preserve">. </w:t>
      </w:r>
      <w:r w:rsidRPr="004F10C4">
        <w:rPr>
          <w:lang w:val="en-US"/>
        </w:rPr>
        <w:t>A</w:t>
      </w:r>
      <w:r w:rsidRPr="004F10C4">
        <w:t xml:space="preserve">., </w:t>
      </w:r>
      <w:r w:rsidRPr="004F10C4">
        <w:rPr>
          <w:lang w:val="en-US"/>
        </w:rPr>
        <w:t>Compania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Seguros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Vida</w:t>
      </w:r>
      <w:r w:rsidRPr="004F10C4">
        <w:t xml:space="preserve"> </w:t>
      </w:r>
      <w:r w:rsidRPr="004F10C4">
        <w:rPr>
          <w:lang w:val="en-US"/>
        </w:rPr>
        <w:t>Santander</w:t>
      </w:r>
      <w:r w:rsidRPr="004F10C4">
        <w:t xml:space="preserve"> </w:t>
      </w:r>
      <w:r w:rsidRPr="004F10C4">
        <w:rPr>
          <w:lang w:val="en-US"/>
        </w:rPr>
        <w:t>S</w:t>
      </w:r>
      <w:r w:rsidRPr="004F10C4">
        <w:t xml:space="preserve">. </w:t>
      </w:r>
      <w:r w:rsidRPr="004F10C4">
        <w:rPr>
          <w:lang w:val="en-US"/>
        </w:rPr>
        <w:t>A</w:t>
      </w:r>
      <w:r w:rsidRPr="004F10C4">
        <w:t xml:space="preserve">., </w:t>
      </w:r>
      <w:r w:rsidRPr="004F10C4">
        <w:rPr>
          <w:lang w:val="en-US"/>
        </w:rPr>
        <w:t>Allianz</w:t>
      </w:r>
      <w:r w:rsidRPr="004F10C4">
        <w:t xml:space="preserve"> </w:t>
      </w:r>
      <w:r w:rsidRPr="004F10C4">
        <w:rPr>
          <w:lang w:val="en-US"/>
        </w:rPr>
        <w:t>Bice</w:t>
      </w:r>
      <w:r w:rsidRPr="004F10C4">
        <w:t xml:space="preserve"> </w:t>
      </w:r>
      <w:r w:rsidRPr="004F10C4">
        <w:rPr>
          <w:lang w:val="en-US"/>
        </w:rPr>
        <w:t>Cia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Seguros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Vida</w:t>
      </w:r>
      <w:r w:rsidRPr="004F10C4">
        <w:t xml:space="preserve"> </w:t>
      </w:r>
      <w:r w:rsidRPr="004F10C4">
        <w:rPr>
          <w:lang w:val="en-US"/>
        </w:rPr>
        <w:t>S</w:t>
      </w:r>
      <w:r w:rsidRPr="004F10C4">
        <w:t xml:space="preserve">. </w:t>
      </w:r>
      <w:r w:rsidRPr="004F10C4">
        <w:rPr>
          <w:lang w:val="en-US"/>
        </w:rPr>
        <w:t>A</w:t>
      </w:r>
      <w:r w:rsidRPr="004F10C4">
        <w:t xml:space="preserve">., </w:t>
      </w:r>
      <w:r w:rsidRPr="004F10C4">
        <w:rPr>
          <w:lang w:val="en-US"/>
        </w:rPr>
        <w:t>Cruz</w:t>
      </w:r>
      <w:r w:rsidRPr="004F10C4">
        <w:t xml:space="preserve"> </w:t>
      </w:r>
      <w:r w:rsidRPr="004F10C4">
        <w:rPr>
          <w:lang w:val="en-US"/>
        </w:rPr>
        <w:t>Blanca</w:t>
      </w:r>
      <w:r w:rsidR="004F10C4">
        <w:t xml:space="preserve"> </w:t>
      </w:r>
      <w:r w:rsidRPr="004F10C4">
        <w:rPr>
          <w:lang w:val="en-US"/>
        </w:rPr>
        <w:t>Seguros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Vida</w:t>
      </w:r>
      <w:r w:rsidRPr="004F10C4">
        <w:t xml:space="preserve"> </w:t>
      </w:r>
      <w:r w:rsidRPr="004F10C4">
        <w:rPr>
          <w:lang w:val="en-US"/>
        </w:rPr>
        <w:t>S</w:t>
      </w:r>
      <w:r w:rsidRPr="004F10C4">
        <w:t xml:space="preserve">. </w:t>
      </w:r>
      <w:r w:rsidRPr="004F10C4">
        <w:rPr>
          <w:lang w:val="en-US"/>
        </w:rPr>
        <w:t>A</w:t>
      </w:r>
      <w:r w:rsidRPr="004F10C4">
        <w:t xml:space="preserve">. По состоянию на декабрь </w:t>
      </w:r>
      <w:smartTag w:uri="urn:schemas-microsoft-com:office:smarttags" w:element="metricconverter">
        <w:smartTagPr>
          <w:attr w:name="ProductID" w:val="2008 г"/>
        </w:smartTagPr>
        <w:r w:rsidRPr="004F10C4">
          <w:t>2008 г</w:t>
        </w:r>
      </w:smartTag>
      <w:r w:rsidRPr="004F10C4">
        <w:t xml:space="preserve">. на чилийском страховом рынке работают 2 национальных перестраховщика: </w:t>
      </w:r>
      <w:r w:rsidRPr="004F10C4">
        <w:rPr>
          <w:lang w:val="en-US"/>
        </w:rPr>
        <w:t>Caja</w:t>
      </w:r>
      <w:r w:rsidRPr="004F10C4">
        <w:t xml:space="preserve"> </w:t>
      </w:r>
      <w:r w:rsidRPr="004F10C4">
        <w:rPr>
          <w:lang w:val="en-US"/>
        </w:rPr>
        <w:t>Reaseguradora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Chile</w:t>
      </w:r>
      <w:r w:rsidRPr="004F10C4">
        <w:t xml:space="preserve"> </w:t>
      </w:r>
      <w:r w:rsidRPr="004F10C4">
        <w:rPr>
          <w:lang w:val="en-US"/>
        </w:rPr>
        <w:t>S</w:t>
      </w:r>
      <w:r w:rsidRPr="004F10C4">
        <w:t xml:space="preserve">. </w:t>
      </w:r>
      <w:r w:rsidRPr="004F10C4">
        <w:rPr>
          <w:lang w:val="en-US"/>
        </w:rPr>
        <w:t>A</w:t>
      </w:r>
      <w:r w:rsidRPr="004F10C4">
        <w:t xml:space="preserve">. и </w:t>
      </w:r>
      <w:r w:rsidRPr="004F10C4">
        <w:rPr>
          <w:lang w:val="en-US"/>
        </w:rPr>
        <w:t>Compania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Reaseguros</w:t>
      </w:r>
      <w:r w:rsidRPr="004F10C4">
        <w:t xml:space="preserve"> </w:t>
      </w:r>
      <w:r w:rsidRPr="004F10C4">
        <w:rPr>
          <w:lang w:val="en-US"/>
        </w:rPr>
        <w:t>de</w:t>
      </w:r>
      <w:r w:rsidRPr="004F10C4">
        <w:t xml:space="preserve"> </w:t>
      </w:r>
      <w:r w:rsidRPr="004F10C4">
        <w:rPr>
          <w:lang w:val="en-US"/>
        </w:rPr>
        <w:t>Vida</w:t>
      </w:r>
      <w:r w:rsidRPr="004F10C4">
        <w:t xml:space="preserve"> </w:t>
      </w:r>
      <w:r w:rsidRPr="004F10C4">
        <w:rPr>
          <w:lang w:val="en-US"/>
        </w:rPr>
        <w:t>Soince</w:t>
      </w:r>
      <w:r w:rsidRPr="004F10C4">
        <w:t xml:space="preserve"> </w:t>
      </w:r>
      <w:r w:rsidRPr="004F10C4">
        <w:rPr>
          <w:color w:val="000000"/>
        </w:rPr>
        <w:t xml:space="preserve">– </w:t>
      </w:r>
      <w:r w:rsidRPr="004F10C4">
        <w:rPr>
          <w:color w:val="000000"/>
          <w:lang w:val="en-US"/>
        </w:rPr>
        <w:t>Re</w:t>
      </w:r>
      <w:r w:rsidRPr="004F10C4">
        <w:rPr>
          <w:color w:val="000000"/>
        </w:rPr>
        <w:t xml:space="preserve"> </w:t>
      </w:r>
      <w:r w:rsidRPr="004F10C4">
        <w:rPr>
          <w:color w:val="000000"/>
          <w:lang w:val="en-US"/>
        </w:rPr>
        <w:t>S</w:t>
      </w:r>
      <w:r w:rsidRPr="004F10C4">
        <w:rPr>
          <w:color w:val="000000"/>
        </w:rPr>
        <w:t xml:space="preserve">. </w:t>
      </w:r>
      <w:r w:rsidRPr="004F10C4">
        <w:rPr>
          <w:color w:val="000000"/>
          <w:lang w:val="en-US"/>
        </w:rPr>
        <w:t>A</w:t>
      </w:r>
      <w:r w:rsidRPr="004F10C4">
        <w:rPr>
          <w:color w:val="000000"/>
        </w:rPr>
        <w:t>.</w:t>
      </w:r>
    </w:p>
    <w:p w:rsidR="00C74AFD" w:rsidRPr="003C22FC" w:rsidRDefault="00C74AFD" w:rsidP="004F10C4">
      <w:pPr>
        <w:spacing w:line="360" w:lineRule="auto"/>
        <w:ind w:firstLine="709"/>
        <w:jc w:val="both"/>
      </w:pPr>
      <w:r w:rsidRPr="004F10C4">
        <w:t xml:space="preserve">В настоящее время в странах Латинской Америки, не существует каких-либо ограничений для иностранных страховщиков на участие в доле капитала акционерной компании или при открытии дочерней компании. Присутствие иностранных страховых компаний, как правило более значительно на рынке страхования жизни и здоровья нежели на рынке страхования иного, чем страхование жизни. На долю крупнейших мировых страховых компаний приходится половина заработанной страховой премии иностранными страховщиками в странах Латинской Америки. Такие мировые лидирующие страховые компании как </w:t>
      </w:r>
      <w:r w:rsidRPr="004F10C4">
        <w:rPr>
          <w:lang w:val="en-US"/>
        </w:rPr>
        <w:t>Allianz</w:t>
      </w:r>
      <w:r w:rsidRPr="004F10C4">
        <w:t xml:space="preserve"> и </w:t>
      </w:r>
      <w:r w:rsidRPr="004F10C4">
        <w:rPr>
          <w:lang w:val="en-US"/>
        </w:rPr>
        <w:t>AIG</w:t>
      </w:r>
      <w:r w:rsidRPr="004F10C4">
        <w:t xml:space="preserve"> также являются лидерами и на страховых рынках региона. </w:t>
      </w:r>
    </w:p>
    <w:p w:rsidR="004F10C4" w:rsidRPr="003C22FC" w:rsidRDefault="004F10C4" w:rsidP="004F10C4">
      <w:pPr>
        <w:spacing w:line="360" w:lineRule="auto"/>
        <w:ind w:firstLine="709"/>
        <w:jc w:val="both"/>
      </w:pPr>
    </w:p>
    <w:p w:rsidR="00846D65" w:rsidRPr="004F10C4" w:rsidRDefault="004F10C4" w:rsidP="004F10C4">
      <w:pPr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="00846D65" w:rsidRPr="004F10C4">
        <w:rPr>
          <w:b/>
          <w:color w:val="000000"/>
        </w:rPr>
        <w:t>Список использованных источников</w:t>
      </w:r>
    </w:p>
    <w:p w:rsidR="00846D65" w:rsidRPr="004F10C4" w:rsidRDefault="00846D65" w:rsidP="004F10C4">
      <w:pPr>
        <w:spacing w:line="360" w:lineRule="auto"/>
        <w:ind w:firstLine="709"/>
        <w:jc w:val="both"/>
        <w:rPr>
          <w:b/>
          <w:color w:val="000000"/>
        </w:rPr>
      </w:pPr>
    </w:p>
    <w:p w:rsidR="004F10C4" w:rsidRPr="004F10C4" w:rsidRDefault="004F10C4" w:rsidP="004F10C4">
      <w:pPr>
        <w:spacing w:line="360" w:lineRule="auto"/>
        <w:rPr>
          <w:color w:val="000000"/>
        </w:rPr>
      </w:pPr>
      <w:r w:rsidRPr="004F10C4">
        <w:rPr>
          <w:color w:val="000000"/>
        </w:rPr>
        <w:t>1 Адамчук Н.Г. Мировой страховой рынок на пути к глобализации/ Адамчук Н.Г. – М.: Московский государственный институт международных отношений (Университет); «Российская политическая энциклопедия» (РОССПЭН), 2005. — 591 с.</w:t>
      </w:r>
    </w:p>
    <w:p w:rsidR="004F10C4" w:rsidRPr="004F10C4" w:rsidRDefault="004F10C4" w:rsidP="004F10C4">
      <w:pPr>
        <w:spacing w:line="360" w:lineRule="auto"/>
        <w:rPr>
          <w:color w:val="000000"/>
        </w:rPr>
      </w:pPr>
      <w:r w:rsidRPr="004F10C4">
        <w:rPr>
          <w:color w:val="000000"/>
        </w:rPr>
        <w:t>2 Тенденции и перспективы развития страхования в России/ бюро экономического анализа, М.: 2007</w:t>
      </w:r>
    </w:p>
    <w:p w:rsidR="004F10C4" w:rsidRPr="004F10C4" w:rsidRDefault="004F10C4" w:rsidP="004F10C4">
      <w:pPr>
        <w:spacing w:line="360" w:lineRule="auto"/>
        <w:rPr>
          <w:color w:val="000000"/>
        </w:rPr>
      </w:pPr>
      <w:r w:rsidRPr="004F10C4">
        <w:rPr>
          <w:color w:val="000000"/>
        </w:rPr>
        <w:t>3 http://www.insur-info.ru/re-insurance/press/46939/</w:t>
      </w:r>
    </w:p>
    <w:p w:rsidR="009A7D79" w:rsidRPr="004F10C4" w:rsidRDefault="004F10C4" w:rsidP="004F10C4">
      <w:pPr>
        <w:spacing w:line="360" w:lineRule="auto"/>
        <w:rPr>
          <w:color w:val="000000"/>
        </w:rPr>
      </w:pPr>
      <w:r w:rsidRPr="004F10C4">
        <w:rPr>
          <w:color w:val="000000"/>
        </w:rPr>
        <w:t>4 http://www.rbcdaily.ru/2010/04/09/world/470184</w:t>
      </w:r>
      <w:bookmarkStart w:id="0" w:name="_GoBack"/>
      <w:bookmarkEnd w:id="0"/>
    </w:p>
    <w:sectPr w:rsidR="009A7D79" w:rsidRPr="004F10C4" w:rsidSect="004F10C4">
      <w:footerReference w:type="even" r:id="rId6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B28" w:rsidRDefault="00D50B28">
      <w:r>
        <w:separator/>
      </w:r>
    </w:p>
  </w:endnote>
  <w:endnote w:type="continuationSeparator" w:id="0">
    <w:p w:rsidR="00D50B28" w:rsidRDefault="00D5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8C" w:rsidRDefault="001C518C" w:rsidP="00C56A28">
    <w:pPr>
      <w:pStyle w:val="a5"/>
      <w:framePr w:wrap="around" w:vAnchor="text" w:hAnchor="margin" w:xAlign="center" w:y="1"/>
      <w:rPr>
        <w:rStyle w:val="a7"/>
      </w:rPr>
    </w:pPr>
  </w:p>
  <w:p w:rsidR="001C518C" w:rsidRDefault="001C51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B28" w:rsidRDefault="00D50B28">
      <w:r>
        <w:separator/>
      </w:r>
    </w:p>
  </w:footnote>
  <w:footnote w:type="continuationSeparator" w:id="0">
    <w:p w:rsidR="00D50B28" w:rsidRDefault="00D50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D09"/>
    <w:rsid w:val="0000100A"/>
    <w:rsid w:val="00036B6B"/>
    <w:rsid w:val="000620F2"/>
    <w:rsid w:val="00070273"/>
    <w:rsid w:val="00072F77"/>
    <w:rsid w:val="00092A9E"/>
    <w:rsid w:val="000968EC"/>
    <w:rsid w:val="000A0ED6"/>
    <w:rsid w:val="000B17B5"/>
    <w:rsid w:val="00102870"/>
    <w:rsid w:val="0018014A"/>
    <w:rsid w:val="00193BEE"/>
    <w:rsid w:val="001A046E"/>
    <w:rsid w:val="001B71FB"/>
    <w:rsid w:val="001C518C"/>
    <w:rsid w:val="001E1962"/>
    <w:rsid w:val="0023108B"/>
    <w:rsid w:val="00245320"/>
    <w:rsid w:val="002469AE"/>
    <w:rsid w:val="00247391"/>
    <w:rsid w:val="00263251"/>
    <w:rsid w:val="002664ED"/>
    <w:rsid w:val="00283418"/>
    <w:rsid w:val="00304CB6"/>
    <w:rsid w:val="0031131A"/>
    <w:rsid w:val="003759F9"/>
    <w:rsid w:val="003B6A3F"/>
    <w:rsid w:val="003C22FC"/>
    <w:rsid w:val="003D06A7"/>
    <w:rsid w:val="003D1F21"/>
    <w:rsid w:val="003F6A55"/>
    <w:rsid w:val="00403544"/>
    <w:rsid w:val="00473249"/>
    <w:rsid w:val="004908CB"/>
    <w:rsid w:val="004B23F4"/>
    <w:rsid w:val="004B3CDD"/>
    <w:rsid w:val="004C4745"/>
    <w:rsid w:val="004D1971"/>
    <w:rsid w:val="004F10C4"/>
    <w:rsid w:val="004F58C5"/>
    <w:rsid w:val="00554DEF"/>
    <w:rsid w:val="005C166C"/>
    <w:rsid w:val="005F0E6E"/>
    <w:rsid w:val="00610B9E"/>
    <w:rsid w:val="006209B8"/>
    <w:rsid w:val="006321C2"/>
    <w:rsid w:val="0066433A"/>
    <w:rsid w:val="006912AF"/>
    <w:rsid w:val="006B5CD0"/>
    <w:rsid w:val="00753B6C"/>
    <w:rsid w:val="00773015"/>
    <w:rsid w:val="007A69BA"/>
    <w:rsid w:val="007B555A"/>
    <w:rsid w:val="007D11CC"/>
    <w:rsid w:val="00802C14"/>
    <w:rsid w:val="00823366"/>
    <w:rsid w:val="00846D65"/>
    <w:rsid w:val="0084735F"/>
    <w:rsid w:val="008511E4"/>
    <w:rsid w:val="008539E8"/>
    <w:rsid w:val="00854D84"/>
    <w:rsid w:val="008670AF"/>
    <w:rsid w:val="00872086"/>
    <w:rsid w:val="008A2AF9"/>
    <w:rsid w:val="00912889"/>
    <w:rsid w:val="00941C9A"/>
    <w:rsid w:val="00941D09"/>
    <w:rsid w:val="009440CD"/>
    <w:rsid w:val="009A71A0"/>
    <w:rsid w:val="009A7D79"/>
    <w:rsid w:val="009C27B7"/>
    <w:rsid w:val="009E0BB0"/>
    <w:rsid w:val="009E5839"/>
    <w:rsid w:val="00A0434D"/>
    <w:rsid w:val="00A2409A"/>
    <w:rsid w:val="00A35929"/>
    <w:rsid w:val="00A55C13"/>
    <w:rsid w:val="00A713DF"/>
    <w:rsid w:val="00A82417"/>
    <w:rsid w:val="00A95217"/>
    <w:rsid w:val="00A95EC9"/>
    <w:rsid w:val="00AB09A4"/>
    <w:rsid w:val="00AD6225"/>
    <w:rsid w:val="00AE1B13"/>
    <w:rsid w:val="00B017AA"/>
    <w:rsid w:val="00B10920"/>
    <w:rsid w:val="00B125B2"/>
    <w:rsid w:val="00B36D2E"/>
    <w:rsid w:val="00B655A6"/>
    <w:rsid w:val="00B67412"/>
    <w:rsid w:val="00B846B5"/>
    <w:rsid w:val="00B8654C"/>
    <w:rsid w:val="00B90C5D"/>
    <w:rsid w:val="00BA29B2"/>
    <w:rsid w:val="00BD24C6"/>
    <w:rsid w:val="00BF4E35"/>
    <w:rsid w:val="00BF7F00"/>
    <w:rsid w:val="00C059FA"/>
    <w:rsid w:val="00C11B22"/>
    <w:rsid w:val="00C56A28"/>
    <w:rsid w:val="00C66BFE"/>
    <w:rsid w:val="00C74AFD"/>
    <w:rsid w:val="00C8153D"/>
    <w:rsid w:val="00C9399B"/>
    <w:rsid w:val="00CA7ED6"/>
    <w:rsid w:val="00CD7355"/>
    <w:rsid w:val="00D50B28"/>
    <w:rsid w:val="00D60668"/>
    <w:rsid w:val="00DA1A03"/>
    <w:rsid w:val="00DC33F5"/>
    <w:rsid w:val="00DD2414"/>
    <w:rsid w:val="00DE33CE"/>
    <w:rsid w:val="00E01D12"/>
    <w:rsid w:val="00E1625E"/>
    <w:rsid w:val="00E169D7"/>
    <w:rsid w:val="00E17B72"/>
    <w:rsid w:val="00E20A71"/>
    <w:rsid w:val="00E46CE2"/>
    <w:rsid w:val="00E5047A"/>
    <w:rsid w:val="00E8123B"/>
    <w:rsid w:val="00E86E12"/>
    <w:rsid w:val="00EA200C"/>
    <w:rsid w:val="00EB59C9"/>
    <w:rsid w:val="00EF18C0"/>
    <w:rsid w:val="00F000A4"/>
    <w:rsid w:val="00F32683"/>
    <w:rsid w:val="00F567AA"/>
    <w:rsid w:val="00F6443A"/>
    <w:rsid w:val="00F74241"/>
    <w:rsid w:val="00F950C0"/>
    <w:rsid w:val="00FC7351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C5876E-BA0E-4F95-A61B-5D6D18DB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0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46D6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1C5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8"/>
      <w:szCs w:val="28"/>
    </w:rPr>
  </w:style>
  <w:style w:type="character" w:styleId="a7">
    <w:name w:val="page number"/>
    <w:uiPriority w:val="99"/>
    <w:rsid w:val="001C518C"/>
    <w:rPr>
      <w:rFonts w:cs="Times New Roman"/>
    </w:rPr>
  </w:style>
  <w:style w:type="paragraph" w:styleId="a8">
    <w:name w:val="header"/>
    <w:basedOn w:val="a"/>
    <w:link w:val="a9"/>
    <w:uiPriority w:val="99"/>
    <w:rsid w:val="004F10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F10C4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Длительное время основные рынки Ла¬тинской Америки испытывали на себе сильное давление со сторо¬ны контролирующих органов, а именно: ограничение или запре¬щение создания новых страховых компаний; навязывание единых условий и общих тарифов всем компаниям </vt:lpstr>
    </vt:vector>
  </TitlesOfParts>
  <Company>Microsoft</Company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Длительное время основные рынки Ла¬тинской Америки испытывали на себе сильное давление со сторо¬ны контролирующих органов, а именно: ограничение или запре¬щение создания новых страховых компаний; навязывание единых условий и общих тарифов всем компаниям </dc:title>
  <dc:subject/>
  <dc:creator>Admin</dc:creator>
  <cp:keywords/>
  <dc:description/>
  <cp:lastModifiedBy>admin</cp:lastModifiedBy>
  <cp:revision>2</cp:revision>
  <dcterms:created xsi:type="dcterms:W3CDTF">2014-03-20T11:32:00Z</dcterms:created>
  <dcterms:modified xsi:type="dcterms:W3CDTF">2014-03-20T11:32:00Z</dcterms:modified>
</cp:coreProperties>
</file>