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DE" w:rsidRPr="008024EB" w:rsidRDefault="00251FDE" w:rsidP="00251FDE">
      <w:pPr>
        <w:spacing w:before="120"/>
        <w:jc w:val="center"/>
        <w:rPr>
          <w:b/>
          <w:bCs/>
          <w:sz w:val="32"/>
          <w:szCs w:val="32"/>
        </w:rPr>
      </w:pPr>
      <w:r w:rsidRPr="008024EB">
        <w:rPr>
          <w:b/>
          <w:bCs/>
          <w:sz w:val="32"/>
          <w:szCs w:val="32"/>
        </w:rPr>
        <w:t>Стратегический ассессмент в перспективе организационных изменений</w:t>
      </w:r>
    </w:p>
    <w:p w:rsidR="00251FDE" w:rsidRPr="00251FDE" w:rsidRDefault="00251FDE" w:rsidP="00251FDE">
      <w:pPr>
        <w:spacing w:before="120"/>
        <w:ind w:firstLine="567"/>
        <w:jc w:val="both"/>
        <w:rPr>
          <w:sz w:val="28"/>
          <w:szCs w:val="28"/>
        </w:rPr>
      </w:pPr>
      <w:r w:rsidRPr="00251FDE">
        <w:rPr>
          <w:sz w:val="28"/>
          <w:szCs w:val="28"/>
        </w:rPr>
        <w:t>Т.Ю.Базаров, учредитель учебного центра Центра Кадровых Технологий-XXI век, доктор психологических наук, профессор МГУ им. М.В. Ломоносова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>1. Четыре ключевых характеристики новой ситуации, в которой происходят организационные изменения.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Изменение области конкуренции - организации соревнуются не столько на рынках и в продукции, сколько в собственной компетенции, социальных связях и новых идеях.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Увеличение доли интеллектуальной составляющей в итоговом продукте компании требует эффективной работы со знанием.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Тотальная динамичность внешней среды - перемены «выходят» не только за национальные и отраслевые, но также профессиональные (знаниевые) и бытовые (событийные) границы.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Действует глобальный кадровый рынок - организации конкурируют за профессионалов между собой, регионами и самими профессионалами. Непрерывное образование, а также процессы индивидуализации привели к тому, что для многих людей традиционная карьера («внутри организации») сменилась сетевой карьерой («внутри профессионального сообщества»).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2. Как организации отвечают на эти вызовы?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Переходят от управления организацией к управлению средой (контекстом организации) - предсказание тенденций развития ситуации, прогнозирование возможных проблем в достижении организационных целей, программирование будущего.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Уникализируют траекторию развития компании - гибкость организационных форм, расширение границ организации и усложнение принципов внутриорганизационной деятельности требуют порождения «точечных» знаний для решения уникальных проблем, и превращения корпоративного знания в источник конкурентного преимущества.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Интегрируют изменения в корпоративную стратегию и культуру.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>3. Произошло уточнение содержания понятия «организационное изменение» – сознательная деятельность организации по прогнозированию и достижению компетенций, которые являются принципиально важными для успешной деятельности в будущем. Отсюда уточнение требований к новым кадровым технологиям: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Контекстность - программирование будущего организации, целеполагание, мотивация на изменения (ориентированность на будущие преобразования).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Компетентность – ориентация на обеспечение транспрофессионализма управленческого персонала, ролевой универсальности «ключевых игроков организации» и командных форм совместной деятельности.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Комплексность – одновременная фокусировка на трех аспектах организационной ситуации: личность, группа (организация) и предмет совместной деятельности.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>4. Как обеспечить перспективную оценку кадрового потенциала организации?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Необходимо сформировать критерии для оценки той деятельности, которая еще не реализуется, а зачастую, даже и не подразумевается организацией.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Для обеспечения прогностичности оценки целесообразно использовать «профессиональный контент», при этом для оценки способности работать в ситуации изменений профессиональное содержание задач должно касаться стратегий развития и новых технологий, значимых для успешной деятельности организации в будущем. Это задает совершенно новый процесс, когда в рамках оценки одновременно происходит и целеполагание, и овладение новым профессиональным содержанием.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Работа с инновационным содержанием должна обеспечивать возможность выработки согласованного (внутри- и межгруппового) отношения к вероятным решениям и стратегиям организационного развития.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Групповая деятельность и межгрупповые взаимодействия строятся таким образом, что решение задачи способствует не только выработке новых групповых и надгрупповых норм (культурных образцов), но и позволяет сформировать максимально эффективную ролевую структуру.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5. Попытка использовать технологию ассессмент-центра для прогностичной оценки будущих компетентностей сталкивается с необходимостью имитационного моделирования процесса изменений в режиме условного времени. В рамках такой процедуры, которую в силу перспективной обращенности можно назвать «статегическим ассессментом», в кратком варианте проигрывается вероятное будущее организации, что дает возможность не только оценить индивидуальный потенциал, но и повлиять на «человеческий капитал», как на уровне конкретной личности, так и отдельных групп, а также организации в целом.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>6. Возможное основание для классификации технологий ассессмента – ориентация на идентификацию типа компетенции организации.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>a. Традиционный ассессмент - стандартные компетенции (способность организации решать типовые для данного вида деятельности задачи).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>b. Развивающий ассессмент – ключевые компетенции (способность организации решать инновационные для данного типа деятельности задачи).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>c. Стратегический ассессмент – ведущие компетенции (способность организации к созданию новых видов профессиональной деятельности).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>7. Принципы стратегического ассессмента: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в рамках программы участникам предоставляется широкая свобода действий, и они выступают в качестве равноправных партнеров по проектированию будущего;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программа является не столько средством оценки актуального состояния, сколько способом модификации сложившейся ситуации в целях подготовки и инициирования изменений;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программа ориентирована на работу одновременно с тремя аспектами организационной ситуации – персоналом (личностный уровень), группами и организацией в целом (уровень корпоративной культуры), содержанием деятельности (уровень управленческих технологий);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 xml:space="preserve">оценка кадрового потенциала и инициирование процессов развития осуществляется на новом для профессионалов и групп материале, необходимом для разработки стратегических планов развития; </w:t>
      </w:r>
    </w:p>
    <w:p w:rsidR="00251FDE" w:rsidRPr="0069131F" w:rsidRDefault="00251FDE" w:rsidP="00251FDE">
      <w:pPr>
        <w:spacing w:before="120"/>
        <w:ind w:firstLine="567"/>
        <w:jc w:val="both"/>
      </w:pPr>
      <w:r w:rsidRPr="0069131F">
        <w:t>программа оценки дает возможность участникам осознать уровень подготовленности к процессу изменений и пути повышения собственной эффективности.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FDE"/>
    <w:rsid w:val="00002B5A"/>
    <w:rsid w:val="0010437E"/>
    <w:rsid w:val="00251FDE"/>
    <w:rsid w:val="00316F32"/>
    <w:rsid w:val="00616072"/>
    <w:rsid w:val="00646295"/>
    <w:rsid w:val="0069131F"/>
    <w:rsid w:val="006A5004"/>
    <w:rsid w:val="00710178"/>
    <w:rsid w:val="008024EB"/>
    <w:rsid w:val="0081563E"/>
    <w:rsid w:val="008B35EE"/>
    <w:rsid w:val="00905CC1"/>
    <w:rsid w:val="009E1C92"/>
    <w:rsid w:val="00B42C45"/>
    <w:rsid w:val="00B47B6A"/>
    <w:rsid w:val="00D64933"/>
    <w:rsid w:val="00E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CCFB45-C9FC-412C-B776-3DE40349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51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Стратегический ассессмент в перспективе организационных изменений</vt:lpstr>
    </vt:vector>
  </TitlesOfParts>
  <Company>Home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Стратегический ассессмент в перспективе организационных изменений</dc:title>
  <dc:subject/>
  <dc:creator>User</dc:creator>
  <cp:keywords/>
  <dc:description/>
  <cp:lastModifiedBy>admin</cp:lastModifiedBy>
  <cp:revision>2</cp:revision>
  <dcterms:created xsi:type="dcterms:W3CDTF">2014-02-14T18:26:00Z</dcterms:created>
  <dcterms:modified xsi:type="dcterms:W3CDTF">2014-02-14T18:26:00Z</dcterms:modified>
</cp:coreProperties>
</file>