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936" w:rsidRPr="0065067A" w:rsidRDefault="00194936" w:rsidP="00194936">
      <w:pPr>
        <w:spacing w:before="120"/>
        <w:jc w:val="center"/>
        <w:rPr>
          <w:b/>
          <w:bCs/>
          <w:sz w:val="32"/>
          <w:szCs w:val="32"/>
        </w:rPr>
      </w:pPr>
      <w:r w:rsidRPr="0065067A">
        <w:rPr>
          <w:b/>
          <w:bCs/>
          <w:sz w:val="32"/>
          <w:szCs w:val="32"/>
        </w:rPr>
        <w:t xml:space="preserve">Стратегии обеспечения материальными ресурсами различных предприятий </w:t>
      </w:r>
    </w:p>
    <w:p w:rsidR="00194936" w:rsidRPr="004460B5" w:rsidRDefault="00194936" w:rsidP="00194936">
      <w:pPr>
        <w:spacing w:before="120"/>
        <w:ind w:firstLine="567"/>
        <w:jc w:val="both"/>
      </w:pPr>
      <w:r w:rsidRPr="004460B5">
        <w:t xml:space="preserve">Существуют различные стратегии обеспечения материальными ресурсами различных предприятий. Одной из таких стратегий является модель, которая состоит из регионального склада и нескольких терминалов. Рассмотрим эти модели. Иллюстрация модели с одним терминалом приведена на рис. 8.3, а модель с двумя терминалами показана на рис. 8.4. </w:t>
      </w:r>
    </w:p>
    <w:p w:rsidR="00194936" w:rsidRPr="004460B5" w:rsidRDefault="00194936" w:rsidP="00194936">
      <w:pPr>
        <w:spacing w:before="120"/>
        <w:ind w:firstLine="567"/>
        <w:jc w:val="both"/>
      </w:pPr>
      <w:r w:rsidRPr="004460B5">
        <w:t xml:space="preserve">Введем обозначения: </w:t>
      </w:r>
    </w:p>
    <w:p w:rsidR="00194936" w:rsidRPr="004460B5" w:rsidRDefault="00194936" w:rsidP="00194936">
      <w:pPr>
        <w:spacing w:before="120"/>
        <w:ind w:firstLine="567"/>
        <w:jc w:val="both"/>
      </w:pPr>
      <w:r w:rsidRPr="004460B5">
        <w:t xml:space="preserve">t0, t1-1, t1-2, t2 – время перегрузки на терминалах 0, 1, 2; </w:t>
      </w:r>
    </w:p>
    <w:p w:rsidR="00194936" w:rsidRPr="004460B5" w:rsidRDefault="00194936" w:rsidP="00194936">
      <w:pPr>
        <w:spacing w:before="120"/>
        <w:ind w:firstLine="567"/>
        <w:jc w:val="both"/>
      </w:pPr>
      <w:r w:rsidRPr="004460B5">
        <w:t xml:space="preserve">l0-1, l1-2 – расстояние между терминалами 0–1 и 1–2; </w:t>
      </w:r>
    </w:p>
    <w:p w:rsidR="00194936" w:rsidRPr="004460B5" w:rsidRDefault="00194936" w:rsidP="00194936">
      <w:pPr>
        <w:spacing w:before="120"/>
        <w:ind w:firstLine="567"/>
        <w:jc w:val="both"/>
      </w:pPr>
      <w:r w:rsidRPr="004460B5">
        <w:t xml:space="preserve">U, V– скорость соответственно груженого и порожнего составов между терминалами (0–1; 1–2); nв – число вагонов, имеющихся на участке между терминалами (0–1; 1–2); qc – грузоподъемность состава (т/состав), эксплуатируемого между терминалами (0 и 1; 1 и 2): </w:t>
      </w:r>
    </w:p>
    <w:p w:rsidR="00194936" w:rsidRPr="004460B5" w:rsidRDefault="00194936" w:rsidP="00194936">
      <w:pPr>
        <w:spacing w:before="120"/>
        <w:ind w:firstLine="567"/>
        <w:jc w:val="both"/>
      </w:pPr>
      <w:r w:rsidRPr="004460B5">
        <w:t xml:space="preserve">qc = qв * nв, ... 0, </w:t>
      </w:r>
    </w:p>
    <w:p w:rsidR="00194936" w:rsidRPr="004460B5" w:rsidRDefault="00194936" w:rsidP="00194936">
      <w:pPr>
        <w:spacing w:before="120"/>
        <w:ind w:firstLine="567"/>
        <w:jc w:val="both"/>
      </w:pPr>
      <w:r w:rsidRPr="004460B5">
        <w:t xml:space="preserve">qв –грузоподъемность одного вагона, т/вагон; </w:t>
      </w:r>
    </w:p>
    <w:p w:rsidR="00194936" w:rsidRPr="004460B5" w:rsidRDefault="00194936" w:rsidP="00194936">
      <w:pPr>
        <w:spacing w:before="120"/>
        <w:ind w:firstLine="567"/>
        <w:jc w:val="both"/>
      </w:pPr>
      <w:r w:rsidRPr="004460B5">
        <w:t xml:space="preserve">nв – число вагонов в составе, ед. </w:t>
      </w:r>
    </w:p>
    <w:p w:rsidR="00194936" w:rsidRPr="004460B5" w:rsidRDefault="00194936" w:rsidP="00194936">
      <w:pPr>
        <w:spacing w:before="120"/>
        <w:ind w:firstLine="567"/>
        <w:jc w:val="both"/>
      </w:pPr>
      <w:r w:rsidRPr="004460B5">
        <w:t xml:space="preserve">Для разработки стратегии для этих вариантов необходимо знать время оборота состава. Для случая, представленного на рис. 8.3, время оборота составит </w:t>
      </w:r>
    </w:p>
    <w:p w:rsidR="00194936" w:rsidRPr="004460B5" w:rsidRDefault="001F1C63" w:rsidP="0019493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40.5pt">
            <v:imagedata r:id="rId4" o:title=""/>
          </v:shape>
        </w:pict>
      </w:r>
      <w:r w:rsidR="00194936" w:rsidRPr="004460B5">
        <w:t xml:space="preserve">. (8.28) </w:t>
      </w:r>
    </w:p>
    <w:p w:rsidR="00194936" w:rsidRPr="004460B5" w:rsidRDefault="00194936" w:rsidP="00194936">
      <w:pPr>
        <w:spacing w:before="120"/>
        <w:ind w:firstLine="567"/>
        <w:jc w:val="both"/>
      </w:pPr>
      <w:r w:rsidRPr="004460B5">
        <w:t xml:space="preserve">Если же мы будем считать, что составы используются в непрерывном режиме, то интервал времени одинаков и равен tu или </w:t>
      </w:r>
    </w:p>
    <w:p w:rsidR="00194936" w:rsidRPr="004460B5" w:rsidRDefault="001F1C63" w:rsidP="00194936">
      <w:pPr>
        <w:spacing w:before="120"/>
        <w:ind w:firstLine="567"/>
        <w:jc w:val="both"/>
      </w:pPr>
      <w:r>
        <w:pict>
          <v:shape id="_x0000_i1026" type="#_x0000_t75" style="width:429pt;height:2in">
            <v:imagedata r:id="rId5" o:title=""/>
          </v:shape>
        </w:pict>
      </w:r>
    </w:p>
    <w:p w:rsidR="00194936" w:rsidRPr="004460B5" w:rsidRDefault="00194936" w:rsidP="00194936">
      <w:pPr>
        <w:spacing w:before="120"/>
        <w:ind w:firstLine="567"/>
        <w:jc w:val="both"/>
      </w:pPr>
      <w:r w:rsidRPr="004460B5">
        <w:t xml:space="preserve">Рис. 8.3. Иллюстрация модели с одним терминалом </w:t>
      </w:r>
    </w:p>
    <w:p w:rsidR="00194936" w:rsidRPr="004460B5" w:rsidRDefault="001F1C63" w:rsidP="00194936">
      <w:pPr>
        <w:spacing w:before="120"/>
        <w:ind w:firstLine="567"/>
        <w:jc w:val="both"/>
      </w:pPr>
      <w:r>
        <w:pict>
          <v:shape id="_x0000_i1027" type="#_x0000_t75" style="width:431.25pt;height:153.75pt">
            <v:imagedata r:id="rId6" o:title=""/>
          </v:shape>
        </w:pict>
      </w:r>
    </w:p>
    <w:p w:rsidR="00194936" w:rsidRPr="004460B5" w:rsidRDefault="00194936" w:rsidP="00194936">
      <w:pPr>
        <w:spacing w:before="120"/>
        <w:ind w:firstLine="567"/>
        <w:jc w:val="both"/>
      </w:pPr>
      <w:r w:rsidRPr="004460B5">
        <w:t xml:space="preserve">Рис.8.4. Иллюстрация модели с двумя терминалами </w:t>
      </w:r>
    </w:p>
    <w:p w:rsidR="00194936" w:rsidRPr="004460B5" w:rsidRDefault="001F1C63" w:rsidP="00194936">
      <w:pPr>
        <w:spacing w:before="120"/>
        <w:ind w:firstLine="567"/>
        <w:jc w:val="both"/>
      </w:pPr>
      <w:r>
        <w:pict>
          <v:shape id="_x0000_i1028" type="#_x0000_t75" style="width:42.75pt;height:39pt">
            <v:imagedata r:id="rId7" o:title=""/>
          </v:shape>
        </w:pict>
      </w:r>
      <w:r w:rsidR="00194936" w:rsidRPr="004460B5">
        <w:t xml:space="preserve">. (8.29) </w:t>
      </w:r>
    </w:p>
    <w:p w:rsidR="00194936" w:rsidRPr="004460B5" w:rsidRDefault="00194936" w:rsidP="00194936">
      <w:pPr>
        <w:spacing w:before="120"/>
        <w:ind w:firstLine="567"/>
        <w:jc w:val="both"/>
      </w:pPr>
      <w:r w:rsidRPr="004460B5">
        <w:t xml:space="preserve">Для случая, представленного на рис. 8.4, время оборота составит: </w:t>
      </w:r>
    </w:p>
    <w:p w:rsidR="00194936" w:rsidRPr="004460B5" w:rsidRDefault="001F1C63" w:rsidP="00194936">
      <w:pPr>
        <w:spacing w:before="120"/>
        <w:ind w:firstLine="567"/>
        <w:jc w:val="both"/>
      </w:pPr>
      <w:r>
        <w:pict>
          <v:shape id="_x0000_i1029" type="#_x0000_t75" style="width:185.25pt;height:40.5pt">
            <v:imagedata r:id="rId8" o:title=""/>
          </v:shape>
        </w:pict>
      </w:r>
      <w:r w:rsidR="00194936" w:rsidRPr="004460B5">
        <w:t xml:space="preserve">, (8.30) </w:t>
      </w:r>
    </w:p>
    <w:p w:rsidR="00194936" w:rsidRPr="004460B5" w:rsidRDefault="001F1C63" w:rsidP="00194936">
      <w:pPr>
        <w:spacing w:before="120"/>
        <w:ind w:firstLine="567"/>
        <w:jc w:val="both"/>
      </w:pPr>
      <w:r>
        <w:pict>
          <v:shape id="_x0000_i1030" type="#_x0000_t75" style="width:160.5pt;height:40.5pt">
            <v:imagedata r:id="rId9" o:title=""/>
          </v:shape>
        </w:pict>
      </w:r>
      <w:r w:rsidR="00194936" w:rsidRPr="004460B5">
        <w:t xml:space="preserve">. (8.31) </w:t>
      </w:r>
    </w:p>
    <w:p w:rsidR="00194936" w:rsidRPr="004460B5" w:rsidRDefault="00194936" w:rsidP="00194936">
      <w:pPr>
        <w:spacing w:before="120"/>
        <w:ind w:firstLine="567"/>
        <w:jc w:val="both"/>
      </w:pPr>
      <w:r w:rsidRPr="004460B5">
        <w:t xml:space="preserve">Проанализируем эти модели. Начнем с первой. Рассмотрим уравнение (8.29): регулярное обслуживание составов при перевозке соответствующего количества груза предполагается за определенное время. Причем продолжительность перегрузки не оказывает влияния на рабочий ход составов при небольшом их числе, так как интервал между прибытиями tu двух составов достаточно велик, т.е. tu </w:t>
      </w:r>
      <w:r w:rsidR="001F1C63">
        <w:pict>
          <v:shape id="_x0000_i1031" type="#_x0000_t75" style="width:10.5pt;height:12.75pt">
            <v:imagedata r:id="rId10" o:title=""/>
          </v:shape>
        </w:pict>
      </w:r>
      <w:r w:rsidRPr="004460B5">
        <w:t xml:space="preserve">t1. </w:t>
      </w:r>
    </w:p>
    <w:p w:rsidR="00194936" w:rsidRPr="004460B5" w:rsidRDefault="00194936" w:rsidP="00194936">
      <w:pPr>
        <w:spacing w:before="120"/>
        <w:ind w:firstLine="567"/>
        <w:jc w:val="both"/>
      </w:pPr>
      <w:r w:rsidRPr="004460B5">
        <w:t xml:space="preserve">Другими словами, состав не должен прибывать на терминал 1 до тех пор, пока не отойдет предыдущий. При таком положении дел грузоподъемность железнодорожного транспорта возрастает пропорционально увеличению числа занятых составов. </w:t>
      </w:r>
    </w:p>
    <w:p w:rsidR="00194936" w:rsidRPr="004460B5" w:rsidRDefault="00194936" w:rsidP="00194936">
      <w:pPr>
        <w:spacing w:before="120"/>
        <w:ind w:firstLine="567"/>
        <w:jc w:val="both"/>
      </w:pPr>
      <w:r w:rsidRPr="004460B5">
        <w:t xml:space="preserve">Если же временной интервал tu уменьшается до момента, когда tu &lt; t1, то приведенная ситуация теряет смысл, так как следующий состав, прибывающий под погрузку, должен ждать разгрузку предыдущего состава. </w:t>
      </w:r>
    </w:p>
    <w:p w:rsidR="00194936" w:rsidRPr="004460B5" w:rsidRDefault="00194936" w:rsidP="00194936">
      <w:pPr>
        <w:spacing w:before="120"/>
        <w:ind w:firstLine="567"/>
        <w:jc w:val="both"/>
      </w:pPr>
      <w:r w:rsidRPr="004460B5">
        <w:t xml:space="preserve">Поясним данную ситуацию. Если время разгрузки в терминале 1 больше времени разгрузки в терминале 0, т. е. t1 &gt; t0, то в терминале 0 не случается задержек составов. Все составы отходят с равными интервалами t1: </w:t>
      </w:r>
    </w:p>
    <w:p w:rsidR="00194936" w:rsidRPr="004460B5" w:rsidRDefault="00194936" w:rsidP="00194936">
      <w:pPr>
        <w:spacing w:before="120"/>
        <w:ind w:firstLine="567"/>
        <w:jc w:val="both"/>
      </w:pPr>
      <w:r w:rsidRPr="004460B5">
        <w:t xml:space="preserve">В этих обстоятельствах увеличение числа вагонов (nв) в составе, где </w:t>
      </w:r>
      <w:r w:rsidR="001F1C63">
        <w:pict>
          <v:shape id="_x0000_i1032" type="#_x0000_t75" style="width:98.25pt;height:40.5pt">
            <v:imagedata r:id="rId11" o:title=""/>
          </v:shape>
        </w:pict>
      </w:r>
      <w:r w:rsidRPr="004460B5">
        <w:t xml:space="preserve">приведет не к дальнейшему возрастанию производительности системы перевозок (см. точку А на рис. 8.5.), а лишь к созданию резервной мощности МZ1. </w:t>
      </w:r>
    </w:p>
    <w:p w:rsidR="00194936" w:rsidRPr="004460B5" w:rsidRDefault="001F1C63" w:rsidP="00194936">
      <w:pPr>
        <w:spacing w:before="120"/>
        <w:ind w:firstLine="567"/>
        <w:jc w:val="both"/>
      </w:pPr>
      <w:r>
        <w:pict>
          <v:shape id="_x0000_i1033" type="#_x0000_t75" style="width:99.75pt;height:18.75pt">
            <v:imagedata r:id="rId12" o:title=""/>
          </v:shape>
        </w:pict>
      </w:r>
      <w:r w:rsidR="00194936" w:rsidRPr="004460B5">
        <w:t xml:space="preserve">(8.32) </w:t>
      </w:r>
    </w:p>
    <w:p w:rsidR="00194936" w:rsidRPr="004460B5" w:rsidRDefault="00194936" w:rsidP="00194936">
      <w:pPr>
        <w:spacing w:before="120"/>
        <w:ind w:firstLine="567"/>
        <w:jc w:val="both"/>
      </w:pPr>
      <w:r w:rsidRPr="004460B5">
        <w:t xml:space="preserve">где </w:t>
      </w:r>
      <w:r w:rsidR="001F1C63">
        <w:pict>
          <v:shape id="_x0000_i1034" type="#_x0000_t75" style="width:15pt;height:18.75pt">
            <v:imagedata r:id="rId13" o:title=""/>
          </v:shape>
        </w:pict>
      </w:r>
      <w:r w:rsidRPr="004460B5">
        <w:t xml:space="preserve">– число вагонов в составе. </w:t>
      </w:r>
    </w:p>
    <w:p w:rsidR="00194936" w:rsidRPr="004460B5" w:rsidRDefault="00194936" w:rsidP="00194936">
      <w:pPr>
        <w:spacing w:before="120"/>
        <w:ind w:firstLine="567"/>
        <w:jc w:val="both"/>
      </w:pPr>
      <w:r w:rsidRPr="004460B5">
        <w:t xml:space="preserve">Производительность системы перевозок в этих условиях (см. рис. 8.5.) определим по формулам: </w:t>
      </w:r>
    </w:p>
    <w:p w:rsidR="00194936" w:rsidRPr="004460B5" w:rsidRDefault="001F1C63" w:rsidP="00194936">
      <w:pPr>
        <w:spacing w:before="120"/>
        <w:ind w:firstLine="567"/>
        <w:jc w:val="both"/>
      </w:pPr>
      <w:r>
        <w:pict>
          <v:shape id="_x0000_i1035" type="#_x0000_t75" style="width:142.5pt;height:37.5pt">
            <v:imagedata r:id="rId14" o:title=""/>
          </v:shape>
        </w:pict>
      </w:r>
      <w:r w:rsidR="00194936" w:rsidRPr="004460B5">
        <w:t xml:space="preserve">; (8.33) </w:t>
      </w:r>
    </w:p>
    <w:p w:rsidR="00194936" w:rsidRPr="004460B5" w:rsidRDefault="001F1C63" w:rsidP="00194936">
      <w:pPr>
        <w:spacing w:before="120"/>
        <w:ind w:firstLine="567"/>
        <w:jc w:val="both"/>
      </w:pPr>
      <w:r>
        <w:pict>
          <v:shape id="_x0000_i1036" type="#_x0000_t75" style="width:142.5pt;height:37.5pt">
            <v:imagedata r:id="rId15" o:title=""/>
          </v:shape>
        </w:pict>
      </w:r>
      <w:r w:rsidR="00194936" w:rsidRPr="004460B5">
        <w:t xml:space="preserve">. </w:t>
      </w:r>
    </w:p>
    <w:p w:rsidR="00194936" w:rsidRPr="004460B5" w:rsidRDefault="00194936" w:rsidP="00194936">
      <w:pPr>
        <w:spacing w:before="120"/>
        <w:ind w:firstLine="567"/>
        <w:jc w:val="both"/>
      </w:pPr>
      <w:r w:rsidRPr="004460B5">
        <w:t xml:space="preserve">Графическая зависимость производительности системы перевозок от числа транспортных средств в случае модели с одним терминалом показана на рис. 8.5. </w:t>
      </w:r>
    </w:p>
    <w:p w:rsidR="00194936" w:rsidRPr="004460B5" w:rsidRDefault="00194936" w:rsidP="00194936">
      <w:pPr>
        <w:spacing w:before="120"/>
        <w:ind w:firstLine="567"/>
        <w:jc w:val="both"/>
      </w:pPr>
      <w:r w:rsidRPr="004460B5">
        <w:t xml:space="preserve">Точка А на рис. 8.5., в которой кривая достигает горизонтальной поверхности, соответствует ситуации, когда дальнейшее увеличение числа транспортных средств в рамках рассматриваемой системы приведет не к возрастанию объема перевозок, а лишь к возрастанию резервной мощности системы перевозок. </w:t>
      </w:r>
    </w:p>
    <w:p w:rsidR="00194936" w:rsidRPr="004460B5" w:rsidRDefault="00194936" w:rsidP="00194936">
      <w:pPr>
        <w:spacing w:before="120"/>
        <w:ind w:firstLine="567"/>
        <w:jc w:val="both"/>
      </w:pPr>
      <w:r w:rsidRPr="004460B5">
        <w:t xml:space="preserve">Можно сделать вывод, что эффективность перегрузочных операций играет существенную роль с точки зрения общей производительности транспортной системы. </w:t>
      </w:r>
    </w:p>
    <w:p w:rsidR="00194936" w:rsidRPr="004460B5" w:rsidRDefault="00194936" w:rsidP="00194936">
      <w:pPr>
        <w:spacing w:before="120"/>
        <w:ind w:firstLine="567"/>
        <w:jc w:val="both"/>
      </w:pPr>
      <w:r w:rsidRPr="004460B5">
        <w:t xml:space="preserve">Рассмотрим вторую модель – региональный склад с двумя терминалами. Для этого используем числовой пример (см. табл. 8.5) и изобразим графически зависимость производительности системы перевозок от числа транспортных средств в случае модели с двумя терминалами. </w:t>
      </w:r>
    </w:p>
    <w:p w:rsidR="00194936" w:rsidRPr="004460B5" w:rsidRDefault="001F1C63" w:rsidP="00194936">
      <w:pPr>
        <w:spacing w:before="120"/>
        <w:ind w:firstLine="567"/>
        <w:jc w:val="both"/>
      </w:pPr>
      <w:r>
        <w:pict>
          <v:shape id="_x0000_i1037" type="#_x0000_t75" style="width:337.5pt;height:225.75pt">
            <v:imagedata r:id="rId16" o:title=""/>
          </v:shape>
        </w:pict>
      </w:r>
    </w:p>
    <w:p w:rsidR="00194936" w:rsidRPr="004460B5" w:rsidRDefault="00194936" w:rsidP="00194936">
      <w:pPr>
        <w:spacing w:before="120"/>
        <w:ind w:firstLine="567"/>
        <w:jc w:val="both"/>
      </w:pPr>
      <w:r w:rsidRPr="004460B5">
        <w:t xml:space="preserve">Рис. 8.5. График зависимости производительности системы перевозок от числа транспортных средств (составов) в случае модели с одним терминалом </w:t>
      </w:r>
    </w:p>
    <w:p w:rsidR="00194936" w:rsidRPr="004460B5" w:rsidRDefault="00194936" w:rsidP="00194936">
      <w:pPr>
        <w:spacing w:before="120"/>
        <w:ind w:firstLine="567"/>
        <w:jc w:val="both"/>
      </w:pPr>
      <w:r w:rsidRPr="004460B5">
        <w:t xml:space="preserve">Таблица 8.6 </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019"/>
        <w:gridCol w:w="1973"/>
        <w:gridCol w:w="1760"/>
        <w:gridCol w:w="1492"/>
        <w:gridCol w:w="1515"/>
      </w:tblGrid>
      <w:tr w:rsidR="00194936" w:rsidRPr="004460B5" w:rsidTr="002E23B8">
        <w:trPr>
          <w:tblCellSpacing w:w="7" w:type="dxa"/>
        </w:trPr>
        <w:tc>
          <w:tcPr>
            <w:tcW w:w="1538" w:type="pct"/>
            <w:tcBorders>
              <w:top w:val="outset" w:sz="6" w:space="0" w:color="auto"/>
              <w:bottom w:val="outset" w:sz="6" w:space="0" w:color="auto"/>
              <w:right w:val="outset" w:sz="6" w:space="0" w:color="auto"/>
            </w:tcBorders>
            <w:vAlign w:val="center"/>
          </w:tcPr>
          <w:p w:rsidR="00194936" w:rsidRPr="004460B5" w:rsidRDefault="00194936" w:rsidP="002E23B8">
            <w:pPr>
              <w:jc w:val="both"/>
            </w:pPr>
            <w:r w:rsidRPr="004460B5">
              <w:t>Показатель</w:t>
            </w:r>
          </w:p>
        </w:tc>
        <w:tc>
          <w:tcPr>
            <w:tcW w:w="1005"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Условные</w:t>
            </w:r>
          </w:p>
        </w:tc>
        <w:tc>
          <w:tcPr>
            <w:tcW w:w="896"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Единица</w:t>
            </w:r>
          </w:p>
        </w:tc>
        <w:tc>
          <w:tcPr>
            <w:tcW w:w="1526" w:type="pct"/>
            <w:gridSpan w:val="2"/>
            <w:tcBorders>
              <w:top w:val="outset" w:sz="6" w:space="0" w:color="auto"/>
              <w:left w:val="outset" w:sz="6" w:space="0" w:color="auto"/>
              <w:bottom w:val="outset" w:sz="6" w:space="0" w:color="auto"/>
            </w:tcBorders>
            <w:vAlign w:val="center"/>
          </w:tcPr>
          <w:p w:rsidR="00194936" w:rsidRPr="004460B5" w:rsidRDefault="00194936" w:rsidP="002E23B8">
            <w:pPr>
              <w:jc w:val="both"/>
            </w:pPr>
            <w:r w:rsidRPr="004460B5">
              <w:t>Терминалы 0–1,2</w:t>
            </w:r>
          </w:p>
        </w:tc>
      </w:tr>
      <w:tr w:rsidR="00194936" w:rsidRPr="004460B5" w:rsidTr="002E23B8">
        <w:trPr>
          <w:tblCellSpacing w:w="7" w:type="dxa"/>
        </w:trPr>
        <w:tc>
          <w:tcPr>
            <w:tcW w:w="1538" w:type="pct"/>
            <w:tcBorders>
              <w:top w:val="outset" w:sz="6" w:space="0" w:color="auto"/>
              <w:bottom w:val="outset" w:sz="6" w:space="0" w:color="auto"/>
              <w:right w:val="outset" w:sz="6" w:space="0" w:color="auto"/>
            </w:tcBorders>
            <w:vAlign w:val="center"/>
          </w:tcPr>
          <w:p w:rsidR="00194936" w:rsidRPr="004460B5" w:rsidRDefault="00194936" w:rsidP="002E23B8">
            <w:pPr>
              <w:jc w:val="both"/>
            </w:pPr>
            <w:r w:rsidRPr="004460B5">
              <w:t>системы</w:t>
            </w:r>
          </w:p>
        </w:tc>
        <w:tc>
          <w:tcPr>
            <w:tcW w:w="1005"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обозначения</w:t>
            </w:r>
          </w:p>
        </w:tc>
        <w:tc>
          <w:tcPr>
            <w:tcW w:w="896"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измерения</w:t>
            </w:r>
          </w:p>
        </w:tc>
        <w:tc>
          <w:tcPr>
            <w:tcW w:w="759"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система 1</w:t>
            </w:r>
          </w:p>
        </w:tc>
        <w:tc>
          <w:tcPr>
            <w:tcW w:w="759" w:type="pct"/>
            <w:tcBorders>
              <w:top w:val="outset" w:sz="6" w:space="0" w:color="auto"/>
              <w:left w:val="outset" w:sz="6" w:space="0" w:color="auto"/>
              <w:bottom w:val="outset" w:sz="6" w:space="0" w:color="auto"/>
            </w:tcBorders>
            <w:vAlign w:val="center"/>
          </w:tcPr>
          <w:p w:rsidR="00194936" w:rsidRPr="004460B5" w:rsidRDefault="00194936" w:rsidP="002E23B8">
            <w:pPr>
              <w:jc w:val="both"/>
            </w:pPr>
            <w:r w:rsidRPr="004460B5">
              <w:t>система 2</w:t>
            </w:r>
          </w:p>
        </w:tc>
      </w:tr>
      <w:tr w:rsidR="00194936" w:rsidRPr="004460B5" w:rsidTr="002E23B8">
        <w:trPr>
          <w:tblCellSpacing w:w="7" w:type="dxa"/>
        </w:trPr>
        <w:tc>
          <w:tcPr>
            <w:tcW w:w="1538" w:type="pct"/>
            <w:tcBorders>
              <w:top w:val="outset" w:sz="6" w:space="0" w:color="auto"/>
              <w:bottom w:val="outset" w:sz="6" w:space="0" w:color="auto"/>
              <w:right w:val="outset" w:sz="6" w:space="0" w:color="auto"/>
            </w:tcBorders>
            <w:vAlign w:val="center"/>
          </w:tcPr>
          <w:p w:rsidR="00194936" w:rsidRPr="004460B5" w:rsidRDefault="00194936" w:rsidP="002E23B8">
            <w:pPr>
              <w:jc w:val="both"/>
            </w:pPr>
            <w:r w:rsidRPr="004460B5">
              <w:t>1. Грузоподъемность вагона</w:t>
            </w:r>
          </w:p>
        </w:tc>
        <w:tc>
          <w:tcPr>
            <w:tcW w:w="1005"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q</w:t>
            </w:r>
          </w:p>
        </w:tc>
        <w:tc>
          <w:tcPr>
            <w:tcW w:w="896"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Т</w:t>
            </w:r>
          </w:p>
        </w:tc>
        <w:tc>
          <w:tcPr>
            <w:tcW w:w="759"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9</w:t>
            </w:r>
          </w:p>
        </w:tc>
        <w:tc>
          <w:tcPr>
            <w:tcW w:w="759" w:type="pct"/>
            <w:tcBorders>
              <w:top w:val="outset" w:sz="6" w:space="0" w:color="auto"/>
              <w:left w:val="outset" w:sz="6" w:space="0" w:color="auto"/>
              <w:bottom w:val="outset" w:sz="6" w:space="0" w:color="auto"/>
            </w:tcBorders>
            <w:vAlign w:val="center"/>
          </w:tcPr>
          <w:p w:rsidR="00194936" w:rsidRPr="004460B5" w:rsidRDefault="00194936" w:rsidP="002E23B8">
            <w:pPr>
              <w:jc w:val="both"/>
            </w:pPr>
            <w:r w:rsidRPr="004460B5">
              <w:t>9</w:t>
            </w:r>
          </w:p>
        </w:tc>
      </w:tr>
      <w:tr w:rsidR="00194936" w:rsidRPr="004460B5" w:rsidTr="002E23B8">
        <w:trPr>
          <w:tblCellSpacing w:w="7" w:type="dxa"/>
        </w:trPr>
        <w:tc>
          <w:tcPr>
            <w:tcW w:w="1538" w:type="pct"/>
            <w:tcBorders>
              <w:top w:val="outset" w:sz="6" w:space="0" w:color="auto"/>
              <w:bottom w:val="outset" w:sz="6" w:space="0" w:color="auto"/>
              <w:right w:val="outset" w:sz="6" w:space="0" w:color="auto"/>
            </w:tcBorders>
            <w:vAlign w:val="center"/>
          </w:tcPr>
          <w:p w:rsidR="00194936" w:rsidRPr="004460B5" w:rsidRDefault="00194936" w:rsidP="002E23B8">
            <w:pPr>
              <w:jc w:val="both"/>
            </w:pPr>
            <w:r w:rsidRPr="004460B5">
              <w:t>2. Число вагонов в составе</w:t>
            </w:r>
          </w:p>
        </w:tc>
        <w:tc>
          <w:tcPr>
            <w:tcW w:w="1005"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nв</w:t>
            </w:r>
          </w:p>
        </w:tc>
        <w:tc>
          <w:tcPr>
            <w:tcW w:w="896"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ед.</w:t>
            </w:r>
          </w:p>
        </w:tc>
        <w:tc>
          <w:tcPr>
            <w:tcW w:w="759"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5</w:t>
            </w:r>
          </w:p>
        </w:tc>
        <w:tc>
          <w:tcPr>
            <w:tcW w:w="759" w:type="pct"/>
            <w:tcBorders>
              <w:top w:val="outset" w:sz="6" w:space="0" w:color="auto"/>
              <w:left w:val="outset" w:sz="6" w:space="0" w:color="auto"/>
              <w:bottom w:val="outset" w:sz="6" w:space="0" w:color="auto"/>
            </w:tcBorders>
            <w:vAlign w:val="center"/>
          </w:tcPr>
          <w:p w:rsidR="00194936" w:rsidRPr="004460B5" w:rsidRDefault="00194936" w:rsidP="002E23B8">
            <w:pPr>
              <w:jc w:val="both"/>
            </w:pPr>
            <w:r w:rsidRPr="004460B5">
              <w:t>8</w:t>
            </w:r>
          </w:p>
        </w:tc>
      </w:tr>
      <w:tr w:rsidR="00194936" w:rsidRPr="004460B5" w:rsidTr="002E23B8">
        <w:trPr>
          <w:tblCellSpacing w:w="7" w:type="dxa"/>
        </w:trPr>
        <w:tc>
          <w:tcPr>
            <w:tcW w:w="1538" w:type="pct"/>
            <w:tcBorders>
              <w:top w:val="outset" w:sz="6" w:space="0" w:color="auto"/>
              <w:bottom w:val="outset" w:sz="6" w:space="0" w:color="auto"/>
              <w:right w:val="outset" w:sz="6" w:space="0" w:color="auto"/>
            </w:tcBorders>
            <w:vAlign w:val="center"/>
          </w:tcPr>
          <w:p w:rsidR="00194936" w:rsidRPr="004460B5" w:rsidRDefault="00194936" w:rsidP="002E23B8">
            <w:pPr>
              <w:jc w:val="both"/>
            </w:pPr>
            <w:r w:rsidRPr="004460B5">
              <w:t>3. Максимальная грузоподъемность состава</w:t>
            </w:r>
          </w:p>
        </w:tc>
        <w:tc>
          <w:tcPr>
            <w:tcW w:w="1005"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qc</w:t>
            </w:r>
          </w:p>
        </w:tc>
        <w:tc>
          <w:tcPr>
            <w:tcW w:w="896"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т</w:t>
            </w:r>
          </w:p>
        </w:tc>
        <w:tc>
          <w:tcPr>
            <w:tcW w:w="759"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45</w:t>
            </w:r>
          </w:p>
        </w:tc>
        <w:tc>
          <w:tcPr>
            <w:tcW w:w="759" w:type="pct"/>
            <w:tcBorders>
              <w:top w:val="outset" w:sz="6" w:space="0" w:color="auto"/>
              <w:left w:val="outset" w:sz="6" w:space="0" w:color="auto"/>
              <w:bottom w:val="outset" w:sz="6" w:space="0" w:color="auto"/>
            </w:tcBorders>
            <w:vAlign w:val="center"/>
          </w:tcPr>
          <w:p w:rsidR="00194936" w:rsidRPr="004460B5" w:rsidRDefault="00194936" w:rsidP="002E23B8">
            <w:pPr>
              <w:jc w:val="both"/>
            </w:pPr>
            <w:r w:rsidRPr="004460B5">
              <w:t>72</w:t>
            </w:r>
          </w:p>
        </w:tc>
      </w:tr>
      <w:tr w:rsidR="00194936" w:rsidRPr="004460B5" w:rsidTr="002E23B8">
        <w:trPr>
          <w:tblCellSpacing w:w="7" w:type="dxa"/>
        </w:trPr>
        <w:tc>
          <w:tcPr>
            <w:tcW w:w="1538" w:type="pct"/>
            <w:tcBorders>
              <w:top w:val="outset" w:sz="6" w:space="0" w:color="auto"/>
              <w:bottom w:val="outset" w:sz="6" w:space="0" w:color="auto"/>
              <w:right w:val="outset" w:sz="6" w:space="0" w:color="auto"/>
            </w:tcBorders>
            <w:vAlign w:val="center"/>
          </w:tcPr>
          <w:p w:rsidR="00194936" w:rsidRPr="004460B5" w:rsidRDefault="00194936" w:rsidP="002E23B8">
            <w:pPr>
              <w:jc w:val="both"/>
            </w:pPr>
            <w:r w:rsidRPr="004460B5">
              <w:t xml:space="preserve">4. Скорость состава: </w:t>
            </w:r>
          </w:p>
          <w:p w:rsidR="00194936" w:rsidRPr="004460B5" w:rsidRDefault="00194936" w:rsidP="002E23B8">
            <w:pPr>
              <w:jc w:val="both"/>
            </w:pPr>
            <w:r w:rsidRPr="004460B5">
              <w:t xml:space="preserve">груженого </w:t>
            </w:r>
          </w:p>
          <w:p w:rsidR="00194936" w:rsidRPr="004460B5" w:rsidRDefault="00194936" w:rsidP="002E23B8">
            <w:pPr>
              <w:jc w:val="both"/>
            </w:pPr>
            <w:r w:rsidRPr="004460B5">
              <w:t>порожнего</w:t>
            </w:r>
          </w:p>
        </w:tc>
        <w:tc>
          <w:tcPr>
            <w:tcW w:w="1005"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 xml:space="preserve">U </w:t>
            </w:r>
          </w:p>
          <w:p w:rsidR="00194936" w:rsidRPr="004460B5" w:rsidRDefault="00194936" w:rsidP="002E23B8">
            <w:pPr>
              <w:jc w:val="both"/>
            </w:pPr>
            <w:r w:rsidRPr="004460B5">
              <w:t>V</w:t>
            </w:r>
          </w:p>
        </w:tc>
        <w:tc>
          <w:tcPr>
            <w:tcW w:w="896"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 xml:space="preserve">км/ч </w:t>
            </w:r>
          </w:p>
          <w:p w:rsidR="00194936" w:rsidRPr="004460B5" w:rsidRDefault="00194936" w:rsidP="002E23B8">
            <w:pPr>
              <w:jc w:val="both"/>
            </w:pPr>
            <w:r w:rsidRPr="004460B5">
              <w:t>км/ч</w:t>
            </w:r>
          </w:p>
        </w:tc>
        <w:tc>
          <w:tcPr>
            <w:tcW w:w="759"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 xml:space="preserve">40 </w:t>
            </w:r>
          </w:p>
          <w:p w:rsidR="00194936" w:rsidRPr="004460B5" w:rsidRDefault="00194936" w:rsidP="002E23B8">
            <w:pPr>
              <w:jc w:val="both"/>
            </w:pPr>
            <w:r w:rsidRPr="004460B5">
              <w:t>60</w:t>
            </w:r>
          </w:p>
        </w:tc>
        <w:tc>
          <w:tcPr>
            <w:tcW w:w="759" w:type="pct"/>
            <w:tcBorders>
              <w:top w:val="outset" w:sz="6" w:space="0" w:color="auto"/>
              <w:left w:val="outset" w:sz="6" w:space="0" w:color="auto"/>
              <w:bottom w:val="outset" w:sz="6" w:space="0" w:color="auto"/>
            </w:tcBorders>
            <w:vAlign w:val="center"/>
          </w:tcPr>
          <w:p w:rsidR="00194936" w:rsidRPr="004460B5" w:rsidRDefault="00194936" w:rsidP="002E23B8">
            <w:pPr>
              <w:jc w:val="both"/>
            </w:pPr>
            <w:r w:rsidRPr="004460B5">
              <w:t xml:space="preserve">30 </w:t>
            </w:r>
          </w:p>
          <w:p w:rsidR="00194936" w:rsidRPr="004460B5" w:rsidRDefault="00194936" w:rsidP="002E23B8">
            <w:pPr>
              <w:jc w:val="both"/>
            </w:pPr>
            <w:r w:rsidRPr="004460B5">
              <w:t>60</w:t>
            </w:r>
          </w:p>
        </w:tc>
      </w:tr>
      <w:tr w:rsidR="00194936" w:rsidRPr="004460B5" w:rsidTr="002E23B8">
        <w:trPr>
          <w:tblCellSpacing w:w="7" w:type="dxa"/>
        </w:trPr>
        <w:tc>
          <w:tcPr>
            <w:tcW w:w="1538" w:type="pct"/>
            <w:tcBorders>
              <w:top w:val="outset" w:sz="6" w:space="0" w:color="auto"/>
              <w:bottom w:val="outset" w:sz="6" w:space="0" w:color="auto"/>
              <w:right w:val="outset" w:sz="6" w:space="0" w:color="auto"/>
            </w:tcBorders>
            <w:vAlign w:val="center"/>
          </w:tcPr>
          <w:p w:rsidR="00194936" w:rsidRPr="004460B5" w:rsidRDefault="00194936" w:rsidP="002E23B8">
            <w:pPr>
              <w:jc w:val="both"/>
            </w:pPr>
            <w:r w:rsidRPr="004460B5">
              <w:t>5. Расстояние перевозок</w:t>
            </w:r>
          </w:p>
        </w:tc>
        <w:tc>
          <w:tcPr>
            <w:tcW w:w="1005"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l</w:t>
            </w:r>
          </w:p>
        </w:tc>
        <w:tc>
          <w:tcPr>
            <w:tcW w:w="896"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км</w:t>
            </w:r>
          </w:p>
        </w:tc>
        <w:tc>
          <w:tcPr>
            <w:tcW w:w="759"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120</w:t>
            </w:r>
          </w:p>
        </w:tc>
        <w:tc>
          <w:tcPr>
            <w:tcW w:w="759" w:type="pct"/>
            <w:tcBorders>
              <w:top w:val="outset" w:sz="6" w:space="0" w:color="auto"/>
              <w:left w:val="outset" w:sz="6" w:space="0" w:color="auto"/>
              <w:bottom w:val="outset" w:sz="6" w:space="0" w:color="auto"/>
            </w:tcBorders>
            <w:vAlign w:val="center"/>
          </w:tcPr>
          <w:p w:rsidR="00194936" w:rsidRPr="004460B5" w:rsidRDefault="00194936" w:rsidP="002E23B8">
            <w:pPr>
              <w:jc w:val="both"/>
            </w:pPr>
            <w:r w:rsidRPr="004460B5">
              <w:t>240</w:t>
            </w:r>
          </w:p>
        </w:tc>
      </w:tr>
      <w:tr w:rsidR="00194936" w:rsidRPr="004460B5" w:rsidTr="002E23B8">
        <w:trPr>
          <w:tblCellSpacing w:w="7" w:type="dxa"/>
        </w:trPr>
        <w:tc>
          <w:tcPr>
            <w:tcW w:w="1538" w:type="pct"/>
            <w:tcBorders>
              <w:top w:val="outset" w:sz="6" w:space="0" w:color="auto"/>
              <w:bottom w:val="outset" w:sz="6" w:space="0" w:color="auto"/>
              <w:right w:val="outset" w:sz="6" w:space="0" w:color="auto"/>
            </w:tcBorders>
            <w:vAlign w:val="center"/>
          </w:tcPr>
          <w:p w:rsidR="00194936" w:rsidRPr="004460B5" w:rsidRDefault="00194936" w:rsidP="002E23B8">
            <w:pPr>
              <w:jc w:val="both"/>
            </w:pPr>
            <w:r w:rsidRPr="004460B5">
              <w:t xml:space="preserve">6. Продолжительность перегрузки </w:t>
            </w:r>
          </w:p>
          <w:p w:rsidR="00194936" w:rsidRPr="004460B5" w:rsidRDefault="00194936" w:rsidP="002E23B8">
            <w:pPr>
              <w:jc w:val="both"/>
            </w:pPr>
            <w:r w:rsidRPr="004460B5">
              <w:t>в том числе максимальная</w:t>
            </w:r>
          </w:p>
        </w:tc>
        <w:tc>
          <w:tcPr>
            <w:tcW w:w="1005"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 xml:space="preserve">t </w:t>
            </w:r>
          </w:p>
          <w:p w:rsidR="00194936" w:rsidRPr="004460B5" w:rsidRDefault="00194936" w:rsidP="002E23B8">
            <w:pPr>
              <w:jc w:val="both"/>
            </w:pPr>
            <w:r w:rsidRPr="004460B5">
              <w:t>max</w:t>
            </w:r>
          </w:p>
        </w:tc>
        <w:tc>
          <w:tcPr>
            <w:tcW w:w="896"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 xml:space="preserve">ч </w:t>
            </w:r>
          </w:p>
          <w:p w:rsidR="00194936" w:rsidRPr="004460B5" w:rsidRDefault="00194936" w:rsidP="002E23B8">
            <w:pPr>
              <w:jc w:val="both"/>
            </w:pPr>
            <w:r w:rsidRPr="004460B5">
              <w:t>ч</w:t>
            </w:r>
          </w:p>
        </w:tc>
        <w:tc>
          <w:tcPr>
            <w:tcW w:w="759"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 xml:space="preserve">t0=2 </w:t>
            </w:r>
          </w:p>
          <w:p w:rsidR="00194936" w:rsidRPr="004460B5" w:rsidRDefault="00194936" w:rsidP="002E23B8">
            <w:pPr>
              <w:jc w:val="both"/>
            </w:pPr>
            <w:r w:rsidRPr="004460B5">
              <w:t xml:space="preserve">t1-1=2 </w:t>
            </w:r>
          </w:p>
          <w:p w:rsidR="00194936" w:rsidRPr="004460B5" w:rsidRDefault="00194936" w:rsidP="002E23B8">
            <w:pPr>
              <w:jc w:val="both"/>
            </w:pPr>
            <w:r w:rsidRPr="004460B5">
              <w:t>2</w:t>
            </w:r>
          </w:p>
        </w:tc>
        <w:tc>
          <w:tcPr>
            <w:tcW w:w="759" w:type="pct"/>
            <w:tcBorders>
              <w:top w:val="outset" w:sz="6" w:space="0" w:color="auto"/>
              <w:left w:val="outset" w:sz="6" w:space="0" w:color="auto"/>
              <w:bottom w:val="outset" w:sz="6" w:space="0" w:color="auto"/>
            </w:tcBorders>
            <w:vAlign w:val="center"/>
          </w:tcPr>
          <w:p w:rsidR="00194936" w:rsidRPr="004460B5" w:rsidRDefault="00194936" w:rsidP="002E23B8">
            <w:pPr>
              <w:jc w:val="both"/>
            </w:pPr>
            <w:r w:rsidRPr="004460B5">
              <w:t xml:space="preserve">t1,2 = 4 </w:t>
            </w:r>
          </w:p>
          <w:p w:rsidR="00194936" w:rsidRPr="004460B5" w:rsidRDefault="00194936" w:rsidP="002E23B8">
            <w:pPr>
              <w:jc w:val="both"/>
            </w:pPr>
            <w:r w:rsidRPr="004460B5">
              <w:t xml:space="preserve">t2=4 </w:t>
            </w:r>
          </w:p>
          <w:p w:rsidR="00194936" w:rsidRPr="004460B5" w:rsidRDefault="00194936" w:rsidP="002E23B8">
            <w:pPr>
              <w:jc w:val="both"/>
            </w:pPr>
            <w:r w:rsidRPr="004460B5">
              <w:t>3</w:t>
            </w:r>
          </w:p>
        </w:tc>
      </w:tr>
      <w:tr w:rsidR="00194936" w:rsidRPr="004460B5" w:rsidTr="002E23B8">
        <w:trPr>
          <w:tblCellSpacing w:w="7" w:type="dxa"/>
        </w:trPr>
        <w:tc>
          <w:tcPr>
            <w:tcW w:w="1538" w:type="pct"/>
            <w:tcBorders>
              <w:top w:val="outset" w:sz="6" w:space="0" w:color="auto"/>
              <w:bottom w:val="outset" w:sz="6" w:space="0" w:color="auto"/>
              <w:right w:val="outset" w:sz="6" w:space="0" w:color="auto"/>
            </w:tcBorders>
            <w:vAlign w:val="center"/>
          </w:tcPr>
          <w:p w:rsidR="00194936" w:rsidRPr="004460B5" w:rsidRDefault="00194936" w:rsidP="002E23B8">
            <w:pPr>
              <w:jc w:val="both"/>
            </w:pPr>
            <w:r w:rsidRPr="004460B5">
              <w:t>7. Время оборота вагона</w:t>
            </w:r>
          </w:p>
        </w:tc>
        <w:tc>
          <w:tcPr>
            <w:tcW w:w="1005" w:type="pct"/>
            <w:tcBorders>
              <w:top w:val="outset" w:sz="6" w:space="0" w:color="auto"/>
              <w:left w:val="outset" w:sz="6" w:space="0" w:color="auto"/>
              <w:bottom w:val="outset" w:sz="6" w:space="0" w:color="auto"/>
              <w:right w:val="outset" w:sz="6" w:space="0" w:color="auto"/>
            </w:tcBorders>
            <w:vAlign w:val="center"/>
          </w:tcPr>
          <w:p w:rsidR="00194936" w:rsidRPr="004460B5" w:rsidRDefault="001F1C63" w:rsidP="002E23B8">
            <w:pPr>
              <w:jc w:val="both"/>
            </w:pPr>
            <w:r>
              <w:pict>
                <v:shape id="_x0000_i1038" type="#_x0000_t75" style="width:9.75pt;height:15.75pt">
                  <v:imagedata r:id="rId17" o:title=""/>
                </v:shape>
              </w:pict>
            </w:r>
          </w:p>
        </w:tc>
        <w:tc>
          <w:tcPr>
            <w:tcW w:w="896"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ч</w:t>
            </w:r>
          </w:p>
        </w:tc>
        <w:tc>
          <w:tcPr>
            <w:tcW w:w="759"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9</w:t>
            </w:r>
          </w:p>
        </w:tc>
        <w:tc>
          <w:tcPr>
            <w:tcW w:w="759" w:type="pct"/>
            <w:tcBorders>
              <w:top w:val="outset" w:sz="6" w:space="0" w:color="auto"/>
              <w:left w:val="outset" w:sz="6" w:space="0" w:color="auto"/>
              <w:bottom w:val="outset" w:sz="6" w:space="0" w:color="auto"/>
            </w:tcBorders>
            <w:vAlign w:val="center"/>
          </w:tcPr>
          <w:p w:rsidR="00194936" w:rsidRPr="004460B5" w:rsidRDefault="00194936" w:rsidP="002E23B8">
            <w:pPr>
              <w:jc w:val="both"/>
            </w:pPr>
            <w:r w:rsidRPr="004460B5">
              <w:t>19</w:t>
            </w:r>
          </w:p>
        </w:tc>
      </w:tr>
      <w:tr w:rsidR="00194936" w:rsidRPr="004460B5" w:rsidTr="002E23B8">
        <w:trPr>
          <w:tblCellSpacing w:w="7" w:type="dxa"/>
        </w:trPr>
        <w:tc>
          <w:tcPr>
            <w:tcW w:w="1538" w:type="pct"/>
            <w:tcBorders>
              <w:top w:val="outset" w:sz="6" w:space="0" w:color="auto"/>
              <w:bottom w:val="outset" w:sz="6" w:space="0" w:color="auto"/>
              <w:right w:val="outset" w:sz="6" w:space="0" w:color="auto"/>
            </w:tcBorders>
            <w:vAlign w:val="center"/>
          </w:tcPr>
          <w:p w:rsidR="00194936" w:rsidRPr="004460B5" w:rsidRDefault="00194936" w:rsidP="002E23B8">
            <w:pPr>
              <w:jc w:val="both"/>
            </w:pPr>
            <w:r w:rsidRPr="004460B5">
              <w:t>8. Оптимальное количество вагонов</w:t>
            </w:r>
          </w:p>
        </w:tc>
        <w:tc>
          <w:tcPr>
            <w:tcW w:w="1005" w:type="pct"/>
            <w:tcBorders>
              <w:top w:val="outset" w:sz="6" w:space="0" w:color="auto"/>
              <w:left w:val="outset" w:sz="6" w:space="0" w:color="auto"/>
              <w:bottom w:val="outset" w:sz="6" w:space="0" w:color="auto"/>
              <w:right w:val="outset" w:sz="6" w:space="0" w:color="auto"/>
            </w:tcBorders>
            <w:vAlign w:val="center"/>
          </w:tcPr>
          <w:p w:rsidR="00194936" w:rsidRPr="004460B5" w:rsidRDefault="001F1C63" w:rsidP="002E23B8">
            <w:pPr>
              <w:jc w:val="both"/>
            </w:pPr>
            <w:r>
              <w:pict>
                <v:shape id="_x0000_i1039" type="#_x0000_t75" style="width:19.5pt;height:15.75pt">
                  <v:imagedata r:id="rId18" o:title=""/>
                </v:shape>
              </w:pict>
            </w:r>
          </w:p>
        </w:tc>
        <w:tc>
          <w:tcPr>
            <w:tcW w:w="896"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ед.</w:t>
            </w:r>
          </w:p>
        </w:tc>
        <w:tc>
          <w:tcPr>
            <w:tcW w:w="759" w:type="pct"/>
            <w:tcBorders>
              <w:top w:val="outset" w:sz="6" w:space="0" w:color="auto"/>
              <w:left w:val="outset" w:sz="6" w:space="0" w:color="auto"/>
              <w:bottom w:val="outset" w:sz="6" w:space="0" w:color="auto"/>
              <w:right w:val="outset" w:sz="6" w:space="0" w:color="auto"/>
            </w:tcBorders>
            <w:vAlign w:val="center"/>
          </w:tcPr>
          <w:p w:rsidR="00194936" w:rsidRPr="004460B5" w:rsidRDefault="00194936" w:rsidP="002E23B8">
            <w:pPr>
              <w:jc w:val="both"/>
            </w:pPr>
            <w:r w:rsidRPr="004460B5">
              <w:t>4,5</w:t>
            </w:r>
          </w:p>
        </w:tc>
        <w:tc>
          <w:tcPr>
            <w:tcW w:w="759" w:type="pct"/>
            <w:tcBorders>
              <w:top w:val="outset" w:sz="6" w:space="0" w:color="auto"/>
              <w:left w:val="outset" w:sz="6" w:space="0" w:color="auto"/>
              <w:bottom w:val="outset" w:sz="6" w:space="0" w:color="auto"/>
            </w:tcBorders>
            <w:vAlign w:val="center"/>
          </w:tcPr>
          <w:p w:rsidR="00194936" w:rsidRPr="004460B5" w:rsidRDefault="00194936" w:rsidP="002E23B8">
            <w:pPr>
              <w:jc w:val="both"/>
            </w:pPr>
            <w:r w:rsidRPr="004460B5">
              <w:t>6,3</w:t>
            </w:r>
          </w:p>
        </w:tc>
      </w:tr>
    </w:tbl>
    <w:p w:rsidR="00194936" w:rsidRPr="004460B5" w:rsidRDefault="00194936" w:rsidP="00194936">
      <w:pPr>
        <w:spacing w:before="120"/>
        <w:ind w:firstLine="567"/>
        <w:jc w:val="both"/>
      </w:pPr>
      <w:r w:rsidRPr="004460B5">
        <w:t xml:space="preserve">Значения оптимального количества вагонов </w:t>
      </w:r>
      <w:r w:rsidR="001F1C63">
        <w:pict>
          <v:shape id="_x0000_i1040" type="#_x0000_t75" style="width:24pt;height:19.5pt">
            <v:imagedata r:id="rId18" o:title=""/>
          </v:shape>
        </w:pict>
      </w:r>
      <w:r w:rsidRPr="004460B5">
        <w:t xml:space="preserve">, которые отмечены узловыми точками 1 и 2 на рис. 8.3 и 8.4, определяем путем деления времени оборота на максимальную продолжительность перегрузки в каждой системе. </w:t>
      </w:r>
    </w:p>
    <w:p w:rsidR="00194936" w:rsidRPr="004460B5" w:rsidRDefault="00194936" w:rsidP="00194936">
      <w:pPr>
        <w:spacing w:before="120"/>
        <w:ind w:firstLine="567"/>
        <w:jc w:val="both"/>
      </w:pPr>
      <w:r w:rsidRPr="004460B5">
        <w:t xml:space="preserve">Система 1: </w:t>
      </w:r>
      <w:r w:rsidR="001F1C63">
        <w:pict>
          <v:shape id="_x0000_i1041" type="#_x0000_t75" style="width:24pt;height:19.5pt">
            <v:imagedata r:id="rId18" o:title=""/>
          </v:shape>
        </w:pict>
      </w:r>
      <w:r w:rsidRPr="004460B5">
        <w:t xml:space="preserve">= </w:t>
      </w:r>
      <w:r w:rsidR="001F1C63">
        <w:pict>
          <v:shape id="_x0000_i1042" type="#_x0000_t75" style="width:12pt;height:19.5pt">
            <v:imagedata r:id="rId17" o:title=""/>
          </v:shape>
        </w:pict>
      </w:r>
      <w:r w:rsidRPr="004460B5">
        <w:t xml:space="preserve">/ tmax = 9 / 2 = 4,5 вагона. </w:t>
      </w:r>
    </w:p>
    <w:p w:rsidR="00194936" w:rsidRPr="004460B5" w:rsidRDefault="00194936" w:rsidP="00194936">
      <w:pPr>
        <w:spacing w:before="120"/>
        <w:ind w:firstLine="567"/>
        <w:jc w:val="both"/>
      </w:pPr>
      <w:r w:rsidRPr="004460B5">
        <w:t xml:space="preserve">Система 2: </w:t>
      </w:r>
      <w:r w:rsidR="001F1C63">
        <w:pict>
          <v:shape id="_x0000_i1043" type="#_x0000_t75" style="width:24pt;height:19.5pt">
            <v:imagedata r:id="rId18" o:title=""/>
          </v:shape>
        </w:pict>
      </w:r>
      <w:r w:rsidRPr="004460B5">
        <w:t xml:space="preserve">= t1 / tmax = 19 / 3 = 6,3 вагона. </w:t>
      </w:r>
    </w:p>
    <w:p w:rsidR="00194936" w:rsidRPr="004460B5" w:rsidRDefault="00194936" w:rsidP="00194936">
      <w:pPr>
        <w:spacing w:before="120"/>
        <w:ind w:firstLine="567"/>
        <w:jc w:val="both"/>
      </w:pPr>
      <w:r w:rsidRPr="004460B5">
        <w:t xml:space="preserve">Рассмотрим систему, в которой грузы, находящиеся на региональном складе, нужно погрузить в вагоны на терминале 0 (см. рис. 8.4) и доставить на терминал 1, где они должны быть выгружены на платформу (или временное хранение), а затем снова погружены в другие вагоны для транспортировки на терминал 2. На терминале 2 грузы выгружают для окончательной доставки к месту назначения. </w:t>
      </w:r>
    </w:p>
    <w:p w:rsidR="00194936" w:rsidRPr="004460B5" w:rsidRDefault="00194936" w:rsidP="00194936">
      <w:pPr>
        <w:spacing w:before="120"/>
        <w:ind w:firstLine="567"/>
        <w:jc w:val="both"/>
      </w:pPr>
      <w:r w:rsidRPr="004460B5">
        <w:t xml:space="preserve">В другом варианте грузы могут быть выгружены из вагона на терминале 1 и погружены в другие вагоны для отправки к месту назначения. </w:t>
      </w:r>
    </w:p>
    <w:p w:rsidR="00194936" w:rsidRPr="004460B5" w:rsidRDefault="00194936" w:rsidP="00194936">
      <w:pPr>
        <w:spacing w:before="120"/>
        <w:ind w:firstLine="567"/>
        <w:jc w:val="both"/>
      </w:pPr>
      <w:r w:rsidRPr="004460B5">
        <w:t>В табл. 8.5 представлены показатели, характеризующие ту или иную железнодорожную систему, а на рис. 8.6 – необходимое для проведения соответствующих расчетов графическое изображение двух систем по данным табл. 8.5. Оптимальное количество вагонов в первой системе равно 4,5 (t'0</w:t>
      </w:r>
      <w:r>
        <w:t xml:space="preserve"> </w:t>
      </w:r>
      <w:r w:rsidRPr="004460B5">
        <w:t>/</w:t>
      </w:r>
      <w:r>
        <w:t xml:space="preserve"> </w:t>
      </w:r>
      <w:r w:rsidRPr="004460B5">
        <w:t>tmax</w:t>
      </w:r>
      <w:r>
        <w:t xml:space="preserve"> </w:t>
      </w:r>
      <w:r w:rsidRPr="004460B5">
        <w:t xml:space="preserve">= 9 / 2), во второй – 6,3 (19 / 3). Производительность рассчитывается по формуле: </w:t>
      </w:r>
    </w:p>
    <w:p w:rsidR="00194936" w:rsidRPr="004460B5" w:rsidRDefault="001F1C63" w:rsidP="00194936">
      <w:pPr>
        <w:spacing w:before="120"/>
        <w:ind w:firstLine="567"/>
        <w:jc w:val="both"/>
      </w:pPr>
      <w:r>
        <w:pict>
          <v:shape id="_x0000_i1044" type="#_x0000_t75" style="width:39pt;height:37.5pt">
            <v:imagedata r:id="rId19" o:title=""/>
          </v:shape>
        </w:pict>
      </w:r>
      <w:r w:rsidR="00194936" w:rsidRPr="004460B5">
        <w:t xml:space="preserve">. </w:t>
      </w:r>
    </w:p>
    <w:p w:rsidR="00194936" w:rsidRPr="004460B5" w:rsidRDefault="00194936" w:rsidP="00194936">
      <w:pPr>
        <w:spacing w:before="120"/>
        <w:ind w:firstLine="567"/>
        <w:jc w:val="both"/>
      </w:pPr>
      <w:r w:rsidRPr="004460B5">
        <w:t xml:space="preserve">Для первой системы: </w:t>
      </w:r>
      <w:r w:rsidR="001F1C63">
        <w:pict>
          <v:shape id="_x0000_i1045" type="#_x0000_t75" style="width:67.5pt;height:37.5pt">
            <v:imagedata r:id="rId20" o:title=""/>
          </v:shape>
        </w:pict>
      </w:r>
      <w:r w:rsidRPr="004460B5">
        <w:t xml:space="preserve">= 5 т/ч. </w:t>
      </w:r>
    </w:p>
    <w:p w:rsidR="00194936" w:rsidRPr="004460B5" w:rsidRDefault="001F1C63" w:rsidP="00194936">
      <w:pPr>
        <w:spacing w:before="120"/>
        <w:ind w:firstLine="567"/>
        <w:jc w:val="both"/>
      </w:pPr>
      <w:r>
        <w:pict>
          <v:shape id="_x0000_i1046" type="#_x0000_t75" style="width:282pt;height:272.25pt">
            <v:imagedata r:id="rId21" o:title=""/>
          </v:shape>
        </w:pict>
      </w:r>
    </w:p>
    <w:p w:rsidR="00194936" w:rsidRPr="004460B5" w:rsidRDefault="00194936" w:rsidP="00194936">
      <w:pPr>
        <w:spacing w:before="120"/>
        <w:ind w:firstLine="567"/>
        <w:jc w:val="both"/>
      </w:pPr>
      <w:r w:rsidRPr="004460B5">
        <w:t xml:space="preserve">Рис. 8.6. График зависимости производительности системы перевозок от числа транспортных средств в случае с двумя перевалочными пунктами </w:t>
      </w:r>
    </w:p>
    <w:p w:rsidR="00194936" w:rsidRPr="004460B5" w:rsidRDefault="00194936" w:rsidP="00194936">
      <w:pPr>
        <w:spacing w:before="120"/>
        <w:ind w:firstLine="567"/>
        <w:jc w:val="both"/>
      </w:pPr>
      <w:r w:rsidRPr="004460B5">
        <w:t xml:space="preserve">Производительность в точке Е : Z * </w:t>
      </w:r>
      <w:r w:rsidR="001F1C63">
        <w:pict>
          <v:shape id="_x0000_i1047" type="#_x0000_t75" style="width:22.5pt;height:18.75pt">
            <v:imagedata r:id="rId22" o:title=""/>
          </v:shape>
        </w:pict>
      </w:r>
      <w:r w:rsidRPr="004460B5">
        <w:t xml:space="preserve">= 5 * 4,5 = 22,5 т в час; в точке P1: 5 * 4 = 20 т в час. </w:t>
      </w:r>
    </w:p>
    <w:p w:rsidR="00194936" w:rsidRPr="004460B5" w:rsidRDefault="00194936" w:rsidP="00194936">
      <w:pPr>
        <w:spacing w:before="120"/>
        <w:ind w:firstLine="567"/>
        <w:jc w:val="both"/>
      </w:pPr>
      <w:r w:rsidRPr="004460B5">
        <w:t xml:space="preserve">Для второй системы: </w:t>
      </w:r>
      <w:r w:rsidR="001F1C63">
        <w:pict>
          <v:shape id="_x0000_i1048" type="#_x0000_t75" style="width:69pt;height:37.5pt">
            <v:imagedata r:id="rId23" o:title=""/>
          </v:shape>
        </w:pict>
      </w:r>
      <w:r w:rsidRPr="004460B5">
        <w:t xml:space="preserve">=3,8 т в час; </w:t>
      </w:r>
    </w:p>
    <w:p w:rsidR="00194936" w:rsidRPr="004460B5" w:rsidRDefault="00194936" w:rsidP="00194936">
      <w:pPr>
        <w:spacing w:before="120"/>
        <w:ind w:firstLine="567"/>
        <w:jc w:val="both"/>
      </w:pPr>
      <w:r w:rsidRPr="004460B5">
        <w:t xml:space="preserve">в точке S: 3,8 * 6,3 = 23,9 т в час; </w:t>
      </w:r>
    </w:p>
    <w:p w:rsidR="00194936" w:rsidRPr="004460B5" w:rsidRDefault="00194936" w:rsidP="00194936">
      <w:pPr>
        <w:spacing w:before="120"/>
        <w:ind w:firstLine="567"/>
        <w:jc w:val="both"/>
      </w:pPr>
      <w:r w:rsidRPr="004460B5">
        <w:t xml:space="preserve">в точке Q1: 3,8 * 3 = 11,4 т в час; </w:t>
      </w:r>
    </w:p>
    <w:p w:rsidR="00194936" w:rsidRPr="004460B5" w:rsidRDefault="00194936" w:rsidP="00194936">
      <w:pPr>
        <w:spacing w:before="120"/>
        <w:ind w:firstLine="567"/>
        <w:jc w:val="both"/>
      </w:pPr>
      <w:r w:rsidRPr="004460B5">
        <w:t xml:space="preserve">в точке Q2: 3,8 * 4 = 15,2 т в час; </w:t>
      </w:r>
    </w:p>
    <w:p w:rsidR="00194936" w:rsidRPr="004460B5" w:rsidRDefault="00194936" w:rsidP="00194936">
      <w:pPr>
        <w:spacing w:before="120"/>
        <w:ind w:firstLine="567"/>
        <w:jc w:val="both"/>
      </w:pPr>
      <w:r w:rsidRPr="004460B5">
        <w:t xml:space="preserve">в точке Q3: 3,5 * 5 = 17,5 т в час и т.д. </w:t>
      </w:r>
    </w:p>
    <w:p w:rsidR="00194936" w:rsidRPr="004460B5" w:rsidRDefault="00194936" w:rsidP="00194936">
      <w:pPr>
        <w:spacing w:before="120"/>
        <w:ind w:firstLine="567"/>
        <w:jc w:val="both"/>
      </w:pPr>
      <w:r w:rsidRPr="004460B5">
        <w:t xml:space="preserve">Из расчетов видно, что для первой системы оптимальная производительность составит 22,5 т, а для второй – 23,9 т. Все точки, размещенные на кривой 1 справа от точки Е, представляющие пять и более вагонов для системы 1, будут давать производительность выше 22,5 т, но рассматривать их не будем, так как это считается резервной мощностью. </w:t>
      </w:r>
    </w:p>
    <w:p w:rsidR="00194936" w:rsidRPr="004460B5" w:rsidRDefault="00194936" w:rsidP="00194936">
      <w:pPr>
        <w:spacing w:before="120"/>
        <w:ind w:firstLine="567"/>
        <w:jc w:val="both"/>
      </w:pPr>
      <w:r w:rsidRPr="004460B5">
        <w:t xml:space="preserve">Чтобы использовать резервную мощность, необходимо пересмотреть время перегрузочных операций и интервал поступления составов между терминалами. Производительность перегрузочных операций можно уменьшить улучшением организации труда, сверхурочными работами, заменой непроизводительного перегрузочного оборудования производительным, повышением механизации работ и т.д. </w:t>
      </w:r>
    </w:p>
    <w:p w:rsidR="00194936" w:rsidRPr="004460B5" w:rsidRDefault="00194936" w:rsidP="00194936">
      <w:pPr>
        <w:spacing w:before="120"/>
        <w:ind w:firstLine="567"/>
        <w:jc w:val="both"/>
      </w:pPr>
      <w:r w:rsidRPr="004460B5">
        <w:t xml:space="preserve">Например, в системе 1 продолжительность перегрузки на терминале 1 (t11) уменьшим с 2 до 1 ч, а в системе 2 (t12) – с 3 ч до 2 ч. Соответственно и оборот вагонов уменьшится с 9 до 8 ч в первом случае и с 19 до 18 ч – во втором. Тогда оптимальное количество вагонов будет 8 (8 / 1) вместо 4,5 и 9 вместо 6,3 (t'2 / tmax = 18 / 2). Изменилась и оптимальная производительность: в системе 1 с 22,5 т в час до 44,8 т в час. </w:t>
      </w:r>
      <w:r w:rsidR="001F1C63">
        <w:pict>
          <v:shape id="_x0000_i1049" type="#_x0000_t75" style="width:104.25pt;height:40.5pt">
            <v:imagedata r:id="rId24" o:title=""/>
          </v:shape>
        </w:pict>
      </w:r>
      <w:r w:rsidRPr="004460B5">
        <w:t xml:space="preserve">; в системе 2: с 36 т в час </w:t>
      </w:r>
      <w:r w:rsidR="001F1C63">
        <w:pict>
          <v:shape id="_x0000_i1050" type="#_x0000_t75" style="width:103.5pt;height:39pt">
            <v:imagedata r:id="rId25" o:title=""/>
          </v:shape>
        </w:pict>
      </w:r>
      <w:r w:rsidRPr="004460B5">
        <w:t xml:space="preserve">до 23,9 т в час. </w:t>
      </w:r>
    </w:p>
    <w:p w:rsidR="00194936" w:rsidRPr="004460B5" w:rsidRDefault="00194936" w:rsidP="00194936">
      <w:pPr>
        <w:spacing w:before="120"/>
        <w:ind w:firstLine="567"/>
        <w:jc w:val="both"/>
      </w:pPr>
      <w:r w:rsidRPr="004460B5">
        <w:t xml:space="preserve">Следовательно, производительность всей системы зависит от двух факторов: уровня использования транспортных средств и эффективности перегрузочных операций.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936"/>
    <w:rsid w:val="00002B5A"/>
    <w:rsid w:val="0010437E"/>
    <w:rsid w:val="00194936"/>
    <w:rsid w:val="001F1C63"/>
    <w:rsid w:val="002E23B8"/>
    <w:rsid w:val="004460B5"/>
    <w:rsid w:val="00531391"/>
    <w:rsid w:val="00616072"/>
    <w:rsid w:val="0065067A"/>
    <w:rsid w:val="006A5004"/>
    <w:rsid w:val="00710178"/>
    <w:rsid w:val="008B35EE"/>
    <w:rsid w:val="00905CC1"/>
    <w:rsid w:val="00B42C45"/>
    <w:rsid w:val="00B47B6A"/>
    <w:rsid w:val="00D066E6"/>
    <w:rsid w:val="00D81C3D"/>
    <w:rsid w:val="00DB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F94D7E0F-FD48-46EB-A7C6-54B7A90E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Стратегии обеспечения материальными ресурсами различных предприятий </vt:lpstr>
    </vt:vector>
  </TitlesOfParts>
  <Company>Home</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обеспечения материальными ресурсами различных предприятий </dc:title>
  <dc:subject/>
  <dc:creator>User</dc:creator>
  <cp:keywords/>
  <dc:description/>
  <cp:lastModifiedBy>admin</cp:lastModifiedBy>
  <cp:revision>2</cp:revision>
  <dcterms:created xsi:type="dcterms:W3CDTF">2014-02-15T04:33:00Z</dcterms:created>
  <dcterms:modified xsi:type="dcterms:W3CDTF">2014-02-15T04:33:00Z</dcterms:modified>
</cp:coreProperties>
</file>