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9F" w:rsidRDefault="0072219F">
      <w:pPr>
        <w:pStyle w:val="a7"/>
        <w:rPr>
          <w:sz w:val="24"/>
          <w:szCs w:val="24"/>
        </w:rPr>
      </w:pPr>
      <w:r>
        <w:rPr>
          <w:sz w:val="24"/>
          <w:szCs w:val="24"/>
        </w:rPr>
        <w:t>Министерство образования РФ</w:t>
      </w:r>
    </w:p>
    <w:p w:rsidR="0072219F" w:rsidRDefault="0072219F">
      <w:pPr>
        <w:jc w:val="center"/>
        <w:rPr>
          <w:b/>
          <w:bCs/>
        </w:rPr>
      </w:pPr>
    </w:p>
    <w:p w:rsidR="0072219F" w:rsidRDefault="0072219F">
      <w:pPr>
        <w:jc w:val="center"/>
        <w:rPr>
          <w:b/>
          <w:bCs/>
        </w:rPr>
      </w:pPr>
      <w:r>
        <w:rPr>
          <w:b/>
          <w:bCs/>
        </w:rPr>
        <w:t>Норильский индустриальный институт</w:t>
      </w:r>
    </w:p>
    <w:p w:rsidR="0072219F" w:rsidRDefault="0072219F">
      <w:pPr>
        <w:jc w:val="center"/>
        <w:rPr>
          <w:b/>
          <w:bCs/>
        </w:rPr>
      </w:pPr>
    </w:p>
    <w:p w:rsidR="0072219F" w:rsidRDefault="0072219F">
      <w:pPr>
        <w:jc w:val="center"/>
        <w:rPr>
          <w:b/>
          <w:bCs/>
        </w:rPr>
      </w:pPr>
      <w:r>
        <w:rPr>
          <w:b/>
          <w:bCs/>
        </w:rPr>
        <w:t>кафедра бухгалтерского учёта и финансов.</w:t>
      </w:r>
    </w:p>
    <w:p w:rsidR="0072219F" w:rsidRDefault="0072219F">
      <w:pPr>
        <w:jc w:val="center"/>
        <w:rPr>
          <w:b/>
          <w:bCs/>
          <w:sz w:val="28"/>
        </w:rPr>
      </w:pPr>
    </w:p>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Pr>
        <w:jc w:val="center"/>
        <w:rPr>
          <w:b/>
          <w:sz w:val="52"/>
          <w:szCs w:val="52"/>
        </w:rPr>
      </w:pPr>
      <w:r>
        <w:rPr>
          <w:b/>
          <w:sz w:val="52"/>
          <w:szCs w:val="52"/>
        </w:rPr>
        <w:t>Контрольная Работа</w:t>
      </w:r>
    </w:p>
    <w:p w:rsidR="0072219F" w:rsidRDefault="0072219F">
      <w:pPr>
        <w:jc w:val="center"/>
        <w:rPr>
          <w:b/>
          <w:sz w:val="52"/>
          <w:szCs w:val="52"/>
        </w:rPr>
      </w:pPr>
    </w:p>
    <w:p w:rsidR="0072219F" w:rsidRDefault="0072219F">
      <w:pPr>
        <w:jc w:val="center"/>
        <w:rPr>
          <w:b/>
          <w:sz w:val="36"/>
          <w:szCs w:val="36"/>
        </w:rPr>
      </w:pPr>
      <w:r>
        <w:rPr>
          <w:b/>
          <w:sz w:val="36"/>
          <w:szCs w:val="36"/>
        </w:rPr>
        <w:t xml:space="preserve">по дисциплине “Биржевое Дело” </w:t>
      </w:r>
    </w:p>
    <w:p w:rsidR="0072219F" w:rsidRDefault="0072219F">
      <w:pPr>
        <w:jc w:val="center"/>
        <w:rPr>
          <w:b/>
          <w:sz w:val="36"/>
          <w:szCs w:val="36"/>
        </w:rPr>
      </w:pPr>
    </w:p>
    <w:p w:rsidR="0072219F" w:rsidRDefault="0072219F">
      <w:pPr>
        <w:pStyle w:val="1"/>
      </w:pPr>
      <w:r>
        <w:t>Тема</w:t>
      </w:r>
    </w:p>
    <w:p w:rsidR="0072219F" w:rsidRDefault="0072219F">
      <w:pPr>
        <w:jc w:val="center"/>
        <w:rPr>
          <w:b/>
          <w:sz w:val="36"/>
          <w:szCs w:val="36"/>
        </w:rPr>
      </w:pPr>
      <w:r>
        <w:rPr>
          <w:b/>
          <w:sz w:val="36"/>
          <w:szCs w:val="36"/>
        </w:rPr>
        <w:t>“Стратегия и управление хеджированием”</w:t>
      </w:r>
    </w:p>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 w:rsidR="0072219F" w:rsidRDefault="0072219F">
      <w:pPr>
        <w:pStyle w:val="a6"/>
        <w:jc w:val="right"/>
      </w:pPr>
      <w:r>
        <w:t>Разработал студент  Скляренко А.А</w:t>
      </w:r>
    </w:p>
    <w:p w:rsidR="0072219F" w:rsidRDefault="0072219F">
      <w:pPr>
        <w:pStyle w:val="a6"/>
        <w:jc w:val="right"/>
      </w:pPr>
    </w:p>
    <w:p w:rsidR="0072219F" w:rsidRDefault="0072219F">
      <w:pPr>
        <w:pStyle w:val="a6"/>
        <w:jc w:val="right"/>
      </w:pPr>
      <w:r>
        <w:t>Группа    5ЭКС   № зачётной книжки  899079</w:t>
      </w:r>
    </w:p>
    <w:p w:rsidR="0072219F" w:rsidRDefault="0072219F">
      <w:pPr>
        <w:pStyle w:val="a6"/>
        <w:jc w:val="right"/>
      </w:pPr>
    </w:p>
    <w:p w:rsidR="0072219F" w:rsidRDefault="0072219F">
      <w:pPr>
        <w:pStyle w:val="a6"/>
        <w:jc w:val="right"/>
      </w:pPr>
      <w:r>
        <w:t>Руководитель:  Эльканов Р.Д</w:t>
      </w:r>
      <w:r>
        <w:br/>
      </w:r>
    </w:p>
    <w:p w:rsidR="0072219F" w:rsidRDefault="0072219F">
      <w:pPr>
        <w:pStyle w:val="a6"/>
        <w:jc w:val="right"/>
      </w:pPr>
    </w:p>
    <w:p w:rsidR="0072219F" w:rsidRDefault="0072219F">
      <w:pPr>
        <w:pStyle w:val="a6"/>
        <w:jc w:val="right"/>
      </w:pPr>
      <w:r>
        <w:t>Дата проверки___________</w:t>
      </w:r>
    </w:p>
    <w:p w:rsidR="0072219F" w:rsidRDefault="0072219F">
      <w:pPr>
        <w:pStyle w:val="a6"/>
        <w:jc w:val="right"/>
      </w:pPr>
      <w:r>
        <w:t>Дата защиты____________</w:t>
      </w:r>
    </w:p>
    <w:p w:rsidR="0072219F" w:rsidRDefault="0072219F">
      <w:pPr>
        <w:pStyle w:val="a6"/>
        <w:jc w:val="right"/>
      </w:pPr>
      <w:r>
        <w:t>Оценка______отл___________</w:t>
      </w:r>
    </w:p>
    <w:p w:rsidR="0072219F" w:rsidRDefault="0072219F">
      <w:pPr>
        <w:pStyle w:val="a6"/>
        <w:jc w:val="right"/>
      </w:pPr>
    </w:p>
    <w:p w:rsidR="0072219F" w:rsidRDefault="0072219F">
      <w:pPr>
        <w:pStyle w:val="a6"/>
        <w:jc w:val="center"/>
        <w:rPr>
          <w:b/>
        </w:rPr>
      </w:pPr>
    </w:p>
    <w:p w:rsidR="0072219F" w:rsidRDefault="0072219F">
      <w:pPr>
        <w:pStyle w:val="a6"/>
        <w:jc w:val="center"/>
        <w:rPr>
          <w:b/>
        </w:rPr>
      </w:pPr>
    </w:p>
    <w:p w:rsidR="0072219F" w:rsidRDefault="0072219F">
      <w:pPr>
        <w:pStyle w:val="a6"/>
        <w:rPr>
          <w:b/>
          <w:sz w:val="18"/>
        </w:rPr>
      </w:pPr>
      <w:r>
        <w:rPr>
          <w:b/>
        </w:rPr>
        <w:t xml:space="preserve">                                                                      Норильск 2003</w:t>
      </w:r>
    </w:p>
    <w:p w:rsidR="0072219F" w:rsidRDefault="0072219F">
      <w:pPr>
        <w:pStyle w:val="4"/>
        <w:ind w:left="100" w:right="100"/>
        <w:jc w:val="center"/>
        <w:rPr>
          <w:rFonts w:ascii="Verdana" w:hAnsi="Verdana"/>
          <w:color w:val="000000"/>
          <w:sz w:val="28"/>
        </w:rPr>
      </w:pPr>
      <w:r>
        <w:rPr>
          <w:rFonts w:ascii="Verdana" w:hAnsi="Verdana"/>
          <w:color w:val="000000"/>
          <w:sz w:val="28"/>
        </w:rPr>
        <w:t>План</w:t>
      </w: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jc w:val="center"/>
        <w:rPr>
          <w:rFonts w:ascii="Verdana" w:hAnsi="Verdana"/>
          <w:color w:val="000000"/>
          <w:sz w:val="18"/>
        </w:rPr>
      </w:pPr>
    </w:p>
    <w:p w:rsidR="0072219F" w:rsidRDefault="0072219F">
      <w:pPr>
        <w:pStyle w:val="4"/>
        <w:ind w:left="100" w:right="100"/>
        <w:rPr>
          <w:rFonts w:ascii="Verdana" w:hAnsi="Verdana"/>
          <w:b w:val="0"/>
          <w:color w:val="000000"/>
          <w:sz w:val="20"/>
        </w:rPr>
      </w:pPr>
      <w:r>
        <w:rPr>
          <w:rFonts w:ascii="Verdana" w:hAnsi="Verdana"/>
          <w:b w:val="0"/>
          <w:color w:val="000000"/>
          <w:sz w:val="20"/>
        </w:rPr>
        <w:t>1.Введение………………………………………………………………………………………..стр.3</w:t>
      </w:r>
    </w:p>
    <w:p w:rsidR="0072219F" w:rsidRDefault="0072219F">
      <w:pPr>
        <w:pStyle w:val="4"/>
        <w:ind w:left="100" w:right="100"/>
        <w:rPr>
          <w:rFonts w:ascii="Verdana" w:hAnsi="Verdana"/>
          <w:b w:val="0"/>
          <w:color w:val="000000"/>
          <w:sz w:val="20"/>
        </w:rPr>
      </w:pPr>
      <w:r>
        <w:rPr>
          <w:rFonts w:ascii="Verdana" w:hAnsi="Verdana"/>
          <w:b w:val="0"/>
          <w:color w:val="000000"/>
          <w:sz w:val="20"/>
        </w:rPr>
        <w:t>2.Что такое хеджирование?……………………………………………………………стр.3</w:t>
      </w:r>
    </w:p>
    <w:p w:rsidR="0072219F" w:rsidRDefault="0072219F">
      <w:pPr>
        <w:pStyle w:val="4"/>
        <w:ind w:left="100" w:right="100"/>
        <w:rPr>
          <w:rFonts w:ascii="Verdana" w:hAnsi="Verdana"/>
          <w:b w:val="0"/>
          <w:color w:val="000000"/>
          <w:sz w:val="20"/>
        </w:rPr>
      </w:pPr>
      <w:r>
        <w:rPr>
          <w:rFonts w:ascii="Verdana" w:hAnsi="Verdana"/>
          <w:b w:val="0"/>
          <w:color w:val="000000"/>
          <w:sz w:val="20"/>
        </w:rPr>
        <w:t>3.Основные инструменты хеджирования………………………………………..стр.6</w:t>
      </w:r>
    </w:p>
    <w:p w:rsidR="0072219F" w:rsidRDefault="0072219F">
      <w:pPr>
        <w:pStyle w:val="4"/>
        <w:ind w:left="100" w:right="100"/>
        <w:rPr>
          <w:rFonts w:ascii="Verdana" w:hAnsi="Verdana"/>
          <w:b w:val="0"/>
          <w:color w:val="000000"/>
          <w:sz w:val="20"/>
        </w:rPr>
      </w:pPr>
      <w:r>
        <w:rPr>
          <w:rFonts w:ascii="Verdana" w:hAnsi="Verdana"/>
          <w:b w:val="0"/>
          <w:color w:val="000000"/>
          <w:sz w:val="20"/>
        </w:rPr>
        <w:t>4. Стратегии хеджирования……………….……………………………………………стр.7</w:t>
      </w:r>
    </w:p>
    <w:p w:rsidR="0072219F" w:rsidRDefault="0072219F">
      <w:pPr>
        <w:pStyle w:val="4"/>
        <w:ind w:left="100" w:right="100"/>
        <w:rPr>
          <w:rFonts w:ascii="Verdana" w:hAnsi="Verdana"/>
          <w:b w:val="0"/>
          <w:color w:val="000000"/>
          <w:sz w:val="20"/>
        </w:rPr>
      </w:pPr>
      <w:r>
        <w:rPr>
          <w:rFonts w:ascii="Verdana" w:hAnsi="Verdana"/>
          <w:b w:val="0"/>
          <w:color w:val="000000"/>
          <w:sz w:val="20"/>
        </w:rPr>
        <w:t>5.Основные принципы хеджирования……………………………………….…..стр.9</w:t>
      </w:r>
    </w:p>
    <w:p w:rsidR="0072219F" w:rsidRDefault="0072219F">
      <w:pPr>
        <w:pStyle w:val="4"/>
        <w:ind w:left="100" w:right="100"/>
        <w:rPr>
          <w:rFonts w:ascii="Verdana" w:hAnsi="Verdana"/>
          <w:b w:val="0"/>
          <w:color w:val="000000"/>
          <w:sz w:val="20"/>
        </w:rPr>
      </w:pPr>
      <w:r>
        <w:rPr>
          <w:rFonts w:ascii="Verdana" w:hAnsi="Verdana"/>
          <w:b w:val="0"/>
          <w:color w:val="000000"/>
          <w:sz w:val="20"/>
        </w:rPr>
        <w:t>6.Ошибки в управлении хэджирование………………………………………….стр.10</w:t>
      </w:r>
    </w:p>
    <w:p w:rsidR="0072219F" w:rsidRDefault="0072219F">
      <w:pPr>
        <w:pStyle w:val="4"/>
        <w:ind w:left="100" w:right="100"/>
        <w:rPr>
          <w:rFonts w:ascii="Verdana" w:hAnsi="Verdana"/>
          <w:b w:val="0"/>
          <w:color w:val="000000"/>
          <w:sz w:val="20"/>
        </w:rPr>
      </w:pPr>
      <w:r>
        <w:rPr>
          <w:rFonts w:ascii="Verdana" w:hAnsi="Verdana"/>
          <w:b w:val="0"/>
          <w:color w:val="000000"/>
          <w:sz w:val="20"/>
        </w:rPr>
        <w:t>7.Способы измерения волатильности……………………………………………стр.20</w:t>
      </w:r>
    </w:p>
    <w:p w:rsidR="0072219F" w:rsidRDefault="0072219F">
      <w:pPr>
        <w:pStyle w:val="a3"/>
        <w:ind w:right="100"/>
        <w:rPr>
          <w:color w:val="000000"/>
          <w:sz w:val="20"/>
        </w:rPr>
      </w:pPr>
      <w:r>
        <w:rPr>
          <w:rFonts w:ascii="Verdana" w:hAnsi="Verdana"/>
          <w:color w:val="000000"/>
          <w:sz w:val="20"/>
        </w:rPr>
        <w:t xml:space="preserve">  8.Список использованной литературы…………………………………………..стр.28</w:t>
      </w:r>
    </w:p>
    <w:p w:rsidR="0072219F" w:rsidRDefault="0072219F">
      <w:pPr>
        <w:pStyle w:val="a3"/>
        <w:ind w:right="100"/>
        <w:rPr>
          <w:rFonts w:ascii="Verdana" w:hAnsi="Verdana"/>
          <w:b/>
          <w:sz w:val="18"/>
          <w:szCs w:val="20"/>
        </w:rPr>
      </w:pPr>
      <w:r>
        <w:rPr>
          <w:rFonts w:ascii="Verdana" w:hAnsi="Verdana"/>
          <w:b/>
          <w:sz w:val="18"/>
          <w:szCs w:val="20"/>
        </w:rPr>
        <w:t xml:space="preserve">                                             </w:t>
      </w:r>
    </w:p>
    <w:p w:rsidR="0072219F" w:rsidRDefault="0072219F">
      <w:pPr>
        <w:pStyle w:val="4"/>
        <w:ind w:left="100" w:right="100"/>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left="100" w:right="100"/>
        <w:jc w:val="center"/>
        <w:rPr>
          <w:rFonts w:ascii="Verdana" w:hAnsi="Verdana"/>
          <w:sz w:val="18"/>
        </w:rPr>
      </w:pPr>
    </w:p>
    <w:p w:rsidR="0072219F" w:rsidRDefault="0072219F">
      <w:pPr>
        <w:pStyle w:val="4"/>
        <w:ind w:right="100"/>
        <w:rPr>
          <w:rFonts w:ascii="Verdana" w:hAnsi="Verdana"/>
          <w:sz w:val="18"/>
        </w:rPr>
      </w:pPr>
    </w:p>
    <w:p w:rsidR="0072219F" w:rsidRDefault="0072219F">
      <w:pPr>
        <w:pStyle w:val="4"/>
        <w:ind w:left="100" w:right="100"/>
        <w:rPr>
          <w:rFonts w:ascii="Verdana" w:hAnsi="Verdana"/>
          <w:color w:val="000000"/>
          <w:sz w:val="18"/>
        </w:rPr>
      </w:pPr>
      <w:r>
        <w:rPr>
          <w:rFonts w:ascii="Verdana" w:hAnsi="Verdana"/>
          <w:sz w:val="18"/>
        </w:rPr>
        <w:t xml:space="preserve"> </w:t>
      </w:r>
      <w:r>
        <w:rPr>
          <w:rFonts w:ascii="Verdana" w:hAnsi="Verdana"/>
          <w:color w:val="000000"/>
          <w:sz w:val="18"/>
          <w:lang w:val="en-US"/>
        </w:rPr>
        <w:t>1.</w:t>
      </w:r>
      <w:r>
        <w:rPr>
          <w:rFonts w:ascii="Verdana" w:hAnsi="Verdana"/>
          <w:color w:val="000000"/>
          <w:sz w:val="18"/>
        </w:rPr>
        <w:t>Введение</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Каждый инвестор должен понимать, что риск – это часть инвестирования. Но это понимание не упрощает дела. Не поможет это и для снижения риска. Чтобы управлять риском в портфеле, нужно представлять себе более обширную картину. В этом Вам может помочь данное издание, особенно, если Вы занимаетесь долгосрочным инвестированием.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Издание начинается с обсуждения шести наиболее распространенных ошибок, совершаемых инвесторами по отношению к риску. Далее, Вам предлагается информация для более глубокого понимания риска с точки зрения конкретно Вашей инвестиционной ситуации. И, наконец, информация обеспечивает несколько практических стратегий управления риском долгосрочного инвестиционного портфеля. Используя эти стратегии, Вы с большей легкостью сможете снизить общий уровень инвестиционного риска по мере управления портфеля. </w:t>
      </w:r>
    </w:p>
    <w:p w:rsidR="0072219F" w:rsidRDefault="0072219F">
      <w:pPr>
        <w:spacing w:before="75" w:after="75"/>
        <w:ind w:left="75" w:right="75" w:firstLine="612"/>
        <w:rPr>
          <w:rFonts w:ascii="Verdana" w:hAnsi="Verdana"/>
          <w:color w:val="000000"/>
          <w:sz w:val="18"/>
        </w:rPr>
      </w:pPr>
      <w:r>
        <w:rPr>
          <w:rFonts w:ascii="Verdana" w:hAnsi="Verdana"/>
          <w:b/>
          <w:bCs/>
          <w:color w:val="000000"/>
          <w:sz w:val="18"/>
        </w:rPr>
        <w:t>2.Что такое хеджирование ?</w:t>
      </w:r>
    </w:p>
    <w:p w:rsidR="0072219F" w:rsidRDefault="0072219F">
      <w:pPr>
        <w:spacing w:after="75"/>
        <w:ind w:left="75" w:right="75" w:firstLine="612"/>
        <w:jc w:val="center"/>
        <w:rPr>
          <w:rFonts w:ascii="Verdana" w:hAnsi="Verdana"/>
          <w:color w:val="000000"/>
          <w:sz w:val="18"/>
        </w:rPr>
      </w:pPr>
    </w:p>
    <w:p w:rsidR="0072219F" w:rsidRDefault="0072219F">
      <w:pPr>
        <w:pStyle w:val="5"/>
        <w:ind w:left="75" w:right="75" w:firstLine="612"/>
        <w:rPr>
          <w:rFonts w:ascii="Verdana" w:hAnsi="Verdana"/>
          <w:color w:val="000000"/>
          <w:sz w:val="18"/>
        </w:rPr>
      </w:pPr>
      <w:r>
        <w:rPr>
          <w:rFonts w:ascii="Verdana" w:hAnsi="Verdana"/>
          <w:color w:val="000000"/>
          <w:sz w:val="18"/>
        </w:rPr>
        <w:t>Определение и примеры</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Хеджирование - использование одного инструмента для снижения риска, связанного с неблагоприятным влиянием рыночных факторов на цену другого, связанного с первым инструмента, или на генерируемые им денежные потоки. </w:t>
      </w:r>
    </w:p>
    <w:p w:rsidR="0072219F" w:rsidRDefault="0072219F">
      <w:pPr>
        <w:pStyle w:val="a3"/>
        <w:ind w:left="75" w:right="75" w:firstLine="612"/>
        <w:rPr>
          <w:rFonts w:ascii="Verdana" w:hAnsi="Verdana"/>
          <w:color w:val="000000"/>
          <w:sz w:val="18"/>
          <w:szCs w:val="20"/>
          <w:lang w:val="en-US"/>
        </w:rPr>
      </w:pPr>
      <w:r>
        <w:rPr>
          <w:rFonts w:ascii="Verdana" w:hAnsi="Verdana"/>
          <w:color w:val="000000"/>
          <w:sz w:val="18"/>
          <w:szCs w:val="20"/>
        </w:rPr>
        <w:t xml:space="preserve">В качестве хеджируемого актива может выступать товар или финансовый актив, имеющийся в наличии или планируемый к приобретению или производству. Инструмент хеджирования выбирается таким образом, чтобы неблагоприятные изменения цены хеджируемого актива или связанных с ним денежных потоков компенсировались изменением соответствующих параметров хеджирующего актива. </w:t>
      </w:r>
    </w:p>
    <w:p w:rsidR="0072219F" w:rsidRDefault="0072219F">
      <w:pPr>
        <w:spacing w:before="100" w:after="100"/>
        <w:ind w:left="100" w:right="100" w:firstLine="612"/>
        <w:rPr>
          <w:rFonts w:ascii="Verdana" w:hAnsi="Verdana"/>
          <w:color w:val="000000"/>
          <w:sz w:val="18"/>
          <w:lang w:val="en-US"/>
        </w:rPr>
      </w:pPr>
      <w:r>
        <w:rPr>
          <w:rFonts w:ascii="Verdana" w:hAnsi="Verdana"/>
          <w:b/>
          <w:bCs/>
          <w:color w:val="000000"/>
          <w:sz w:val="18"/>
        </w:rPr>
        <w:t xml:space="preserve">Основы хеджирования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Страхование рисков, связанных с изменением цен сырьевых товаров, курсов валют и процентных ставок стало нормой среди западных компаний, и становится все более популярно среди российских. Собственно говоря, в предоставлении данной возможности и есть экономический смысл существования мирового рынка фьючерсов и опционов. Хеджирование рыночного риска вносит элемент стабильности в деятельность компании, снижает неопределенность будущих финансовых потоков и обеспечивает более эффективный финансовый менеджмент. В результате уменьшаются колебания прибыли, и улучшается управляемость производством.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Не хеджировавшим цены на свою продукцию производителям цветных металлов, в условиях нынешнего падения цен, приходится затягивать пояса и даже уменьшать зарплату персоналу, как сделала недавно одна крупная российская алюминиевая компания. С учетом особенностей роли нашей страны на мировом рынке наиболее интересными для российских компаний являются контракты на нефть, цветные и драгоценные металлы, сахар, кофе, пшеницу и кукурузу. Объемы контрактов не очень велики, и возможно их использовать даже при небольшом объеме операций - 100 тройских унций золота, 50 тонн сахара, 25 тонн меди и т. д.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Стратегии хеджирования весьма разнообразны, и должны определяться специалистами в зависимости от конкретной ситуации. При желании, возможно частичное страхование. Согласно данным Singapore Airlines Ltd. (авиаперевозчик номер три в Азии), эта компания хеджирует около половины объема потребляемого авиационного топлива посредством фьючерсных контрактов в Сингапуре. Эти операции позволили авиакомпании сэкономить 140 млн. сингапурских долларов в прошлом финансовом году и 66 млн. в позапрошлом. Статистика говорит, что авиакомпании в развитых странах хеджируют от 30 до 60 процентов потребляемого топлива.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 цивилизованной рыночной экономике, хеджирование выпускаемой продукции зачастую является неотъемлемой частью бизнес-плана. Например, если берется кредит на разработку месторождения, например, золота, нужно доказать банку, что деньги будут возвращены в срок независимо от будущей конъюнктуры на рынке. С помощью фьючерсов и опционов можно зафиксировать цену реализации золота на несколько лет вперед, либо гарантировать себе минимальную цену реализации, не расставаясь с возможностью заработка в случае роста цен. Поскольку такой заемщик становится очень надежным, может рассчитывать на низкие ставки по кредиту.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Страхование валютных рисков важно для компаний, осуществляющих экспортно-импортные операции, в особенности, если расчетной валютой не является доллар США. Например, вполне логично застраховать экспортную выручку по контракту в немецких марках или евро, если финансисты предприятия хотят иметь ясный доход в будущем периоде, выраженный в долларах.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Хеджирование интересно, в случае если бизнес фирмы состоит в покупке некоего сырья в России или странах СНГ и последующей его перепродаже в дальнем зарубежье. За сырье надо расплатиться немедленно, а транспортировка его на Запад занимает время, за которое цена на рынке может измениться, потенциальная прибыль может сильно уменьшиться и даже превратиться в убыток. Чтобы исключить такой вариант развития событий и спать спокойно, необходимо хеджирование. Частным вариантом может быть продажа фьючерсных контрактов сопоставимого объема в момент покупки сырья, и их закрытие в момент его продажи. В результате, изменение рыночной цены за время транспортировки товара будет скомпенсировано фьючерсными контрактами.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Производители драгоценных металлов могут извлечь из срочного рынка дополнительную прибыль. Золотодобывающая компания может взять на свободном рынке в кредит физическое золото, скажем, на год под 1% годовых. То есть, взять на год сто килограммов золота, с обязательством вернуть сто один. Это золото продается, а вырученные денежные средства вкладываются в надежные корпоративные облигации, под ставку 5% годовых. Фактически безрисковой дополнительной прибылью компании становится разница между процентными ставками. Когда приходит срок возврата товарного кредита, используется золото, добытое за год.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Штат Техас в США накопил уникальный опыт хеджирования налоговых поступлений в бюджет, что весьма актуально для многих российских регионов и федерального бюджета в целом. Постоянно раздаются голоса, как плохо всем будет, если нефть упадет ниже определенного уровня. Казна Техаса зависит от налоговых поступлений с нефтяных компаний на четверть, что меньше, чем аналогичный показатель в российском бюджете. После падения цен на нефть в середине восьмидесятых годов до 11 долларов за баррель, бюджет штата недосчитался $3.5 млрд., что было весьма болезненно. Для того, чтобы такая ситуация не повторилась в будущем, была разработана программа хеджирования налоговых поступлений с помощью опционов на нью-йоркской бирже NYMEX. Программа была составлена таким образом, что фиксировалась минимальная цена нефти ($21.5 за баррель), а при росте цен на нефть штат получал дополнительные поступления в полном объеме.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Конечно, хеджирование имеет свои издержки. Нельзя обезопасить себя от убытков при падении цены, оставив в неизменности потенциал прибыли в случае ее роста. Смысл хеджирования состоит именно в стабилизации финансовых потоков, делая их менее зависимыми от колебаний цен на товарных рынках. Кстати, возможность получения прибыли в случае роста цен, равно как и их падения, имеет вполне четко выраженную денежную оценку. Например, золотодобывающая компания путем продажи опциона может дополнительно получить 11 долларов на тройскую унцию к цене рынка с немедленной поставкой, если на период в полгода откажется от прибыли, возможной в случае роста цены.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Основной проблемой при хеджировании является отвлечение некоторой части оборотных средств. Залог за фьючерсный контракт составляет около пяти процентов от его объема в денежном выражении, и является минимальным объемом средств, которые должны быть на счете для гарантирования исполнения обязательства. Сказать, что поддержание залогов является абсолютным замораживанием средств нельзя, так как их можно разместить в высоконадежных облигациях правительства США. Ежедневно по котировочной цене, в зависимости от фьючерсной позиции и движения цены, на счет начисляются или с него списываются денежные средства. В случае, если цена на производимый в России товар понижается, то на фьючерсный счет начисляются деньги, и проблем никаких нет. Если же цена растет, то приходится платить отрицательную вариационную маржу, что компенсируется подорожанием физического товара. Возникает разрыв между необходимостью немедленно проплатить убытки на фьючерсном счете и временем реализации подорожавшего актива. Если оборотных средств немного, или так требует стратегия хеджирования, можно использовать опционы. Покупатель опциона получает страховку от неблагоприятного движения цены и платит за нее единовременно. Залоговые средства в таком случае не требуются.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Для осуществления операций на западном рынке фьючерсов и опционов, заинтересованное лицо должно открыть счет у брокера и перечислить на него денежные средства, которые будут использоваться в качестве залога. Системные риски в данном случае весьма незначительные, вне зависимости от того, услуги какого брокера используются - по законодательству США и Великобритании клиентские деньги находятся на сегрегированных счетах в банках и не могут быть использованы брокером в каких-либо своих целях. При банкротстве брокера такие средства не попадают в общую конкурсную массу и возвращаются клиентам. Но банкротства среди брокеров - явление крайне редкое. Регулирующие органы, CFTC и FSA, ведут пристальный мониторинг их финансового состояния и достаточности собственного капитала. При наступлении потенциально опасной ситуации брокера ставят перед выбором - прекратить бизнес, либо слиться с другой, более мощной компанией. Так случилось с одним из крупнейших розничных американских розничных брокеров на срочном рынке - LFG. Компания была поглощена Refco, и при этом некоторые клиенты, наверно, вообще ничего не заметили, кроме смены платежных реквизитов.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В России есть несколько представителей крупных западных брокеров, в том числе и компания, в которой я работаю. Такие представители действуют на основании договора "представляющего брокера". Этот договор подразумевает разделение функций, в результате чего российские компании и физические лица получают возможность вести торговлю через западного брокера, используя аналитические и технические возможности их представителей в Москве. Комиссионные сборы при этом не возрастают, если представляющий брокер не отличается особой жадностью. Следует отметить, что при существующем валютном законодательстве российским юридическим лицам затруднительно иметь собственные счета, и зачастую используются офшорные компании. Физическим лицам проще, так как согласно новому российскому законодательству, они имеет право по собственному желанию переводить за границу до $75 тыс. ежегодно для осуществления операций на финансовых рынках других стран.</w:t>
      </w:r>
    </w:p>
    <w:p w:rsidR="0072219F" w:rsidRDefault="0072219F">
      <w:pPr>
        <w:pStyle w:val="5"/>
        <w:ind w:left="75" w:right="75" w:firstLine="612"/>
        <w:rPr>
          <w:rFonts w:ascii="Verdana" w:hAnsi="Verdana"/>
          <w:color w:val="000000"/>
          <w:sz w:val="18"/>
        </w:rPr>
      </w:pPr>
      <w:r>
        <w:rPr>
          <w:rFonts w:ascii="Verdana" w:hAnsi="Verdana"/>
          <w:color w:val="000000"/>
          <w:sz w:val="18"/>
        </w:rPr>
        <w:t>Источники ценового риска</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Прежде, чем ответить на ключевой вопрос "хеджировать или не хеджировать", компания должна оценить степень своей подверженности ценовому риску. Эта подверженность имеет место при выполнении следующих условий: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1. Цены на исходные материалы (услуги) или на выходную продукцию не являются постоянными.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2. Компания не может по своему усмотрению устанавливать цены на исходные материалы (услуги).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3. Компания не может свободно устанавливать цены на выходную продукцию, сохраняя при этом объем реализации (в натуральном выражении).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Теперь остановимся на основных источниках риска, связанного с возможным изменениям цен: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1. Нереализованные запасы готовой продукции.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2. Непроизведенная продукция или будущий урожай.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3. Заключенные форвардные контракты. </w:t>
      </w:r>
    </w:p>
    <w:p w:rsidR="0072219F" w:rsidRDefault="0072219F">
      <w:pPr>
        <w:pStyle w:val="a3"/>
        <w:ind w:left="75" w:right="75" w:firstLine="612"/>
        <w:rPr>
          <w:rFonts w:ascii="Verdana" w:hAnsi="Verdana"/>
          <w:color w:val="000000"/>
          <w:sz w:val="18"/>
          <w:szCs w:val="20"/>
        </w:rPr>
      </w:pPr>
    </w:p>
    <w:p w:rsidR="0072219F" w:rsidRDefault="0072219F">
      <w:pPr>
        <w:pStyle w:val="a3"/>
        <w:ind w:left="75" w:right="75" w:firstLine="612"/>
        <w:rPr>
          <w:rFonts w:ascii="Verdana" w:hAnsi="Verdana"/>
          <w:color w:val="000000"/>
          <w:sz w:val="18"/>
          <w:szCs w:val="20"/>
        </w:rPr>
      </w:pPr>
    </w:p>
    <w:p w:rsidR="0072219F" w:rsidRDefault="0072219F">
      <w:pPr>
        <w:pStyle w:val="a3"/>
        <w:ind w:left="75" w:right="75" w:firstLine="612"/>
        <w:rPr>
          <w:rFonts w:ascii="Verdana" w:hAnsi="Verdana"/>
          <w:color w:val="000000"/>
          <w:sz w:val="18"/>
          <w:szCs w:val="20"/>
        </w:rPr>
      </w:pPr>
    </w:p>
    <w:p w:rsidR="0072219F" w:rsidRDefault="0072219F">
      <w:pPr>
        <w:pStyle w:val="a3"/>
        <w:ind w:left="75" w:right="75" w:firstLine="612"/>
        <w:rPr>
          <w:rFonts w:ascii="Verdana" w:hAnsi="Verdana"/>
          <w:color w:val="000000"/>
          <w:sz w:val="18"/>
          <w:szCs w:val="20"/>
        </w:rPr>
      </w:pPr>
    </w:p>
    <w:p w:rsidR="0072219F" w:rsidRDefault="0072219F">
      <w:pPr>
        <w:pStyle w:val="5"/>
        <w:ind w:left="75" w:right="75" w:firstLine="612"/>
        <w:rPr>
          <w:rFonts w:ascii="Verdana" w:hAnsi="Verdana"/>
          <w:color w:val="000000"/>
          <w:sz w:val="18"/>
        </w:rPr>
      </w:pPr>
      <w:r>
        <w:rPr>
          <w:rFonts w:ascii="Verdana" w:hAnsi="Verdana"/>
          <w:color w:val="000000"/>
          <w:sz w:val="18"/>
        </w:rPr>
        <w:t>3.Основные инструменты хеджирования</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Прежде, чем говорить о конкретных инструментах, необходимо отметить, что когда мы употребляем термин "хеджирование", то имеем в виду, прежде всего, цель сделки, а не применяемые средства. Одни и те же инструменты используются и хеджером и спекулянтом; разница только их назначении. Хеджер заключает сделку с целью снижения риска, связанного с возможным движением цены; спекулянт сознательно принимает на себя этот риск, рассчитывая на благоприятный исход.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В зависимости от формы организации торговли, все инструменты хеджирования можно разделить на биржевые и внебиржевые.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Внебиржевые инструменты хеджирования - это, в первую очередь, форвардные контракты и товарные свопы. Сделки этих типов заключаются напрямую между контрагентами или при посредничестве дилера (например, дилера по свопам).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Биржевые инструменты хеджирования - это товарные фьючерсы и опционы на них. Торговля этими инструментами производится на специализированных торговых площадках (биржах); существенным моментом при этом является то, что одной из сторон в каждой сделке купли-продажи является Расчетная палата биржи, гарантирующая выполнение как продавцом, так и покупателем, своих обязательств. Основным требованием к биржевым товарам является возможность их стандартизации. К стандартизируемым товарам относятся, в первую очередь, нефть и нефтепродукты, газ, цветные и драгоценные металлы, а также продовольственные товары (зерновые, мясо, сахар, какао и т.п.).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Теперь кратко перечислим основные достоинства и недостатки биржевых и внебиржевых инструментов хеджирования: </w:t>
      </w:r>
    </w:p>
    <w:p w:rsidR="0072219F" w:rsidRDefault="0072219F">
      <w:pPr>
        <w:pStyle w:val="5"/>
        <w:ind w:left="75" w:right="75" w:firstLine="612"/>
        <w:rPr>
          <w:rFonts w:ascii="Verdana" w:hAnsi="Verdana"/>
          <w:color w:val="000000"/>
          <w:sz w:val="18"/>
        </w:rPr>
      </w:pPr>
      <w:r>
        <w:rPr>
          <w:rFonts w:ascii="Verdana" w:hAnsi="Verdana"/>
          <w:color w:val="000000"/>
          <w:sz w:val="18"/>
        </w:rPr>
        <w:t>Внебиржевые инструменты:</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Достоинства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в максимальной степени учитывают требования конкретного клиента на тип товара, размер партии и условия поставки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Недостатки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низкая ликвидность - расторжение ранее заключенной сделкой сопряжено, как правило, со значительными материальными издержками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относительно высокие накладные расходы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существенные ограничения на минимальный размер партии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сложности поиска контрагента;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в случае заключения прямых сделок между продавцом и покупателем возникает риск невыполнения сторонами своих обязательств. </w:t>
      </w:r>
    </w:p>
    <w:p w:rsidR="0072219F" w:rsidRDefault="0072219F">
      <w:pPr>
        <w:pStyle w:val="5"/>
        <w:ind w:left="75" w:right="75" w:firstLine="612"/>
        <w:rPr>
          <w:rFonts w:ascii="Verdana" w:hAnsi="Verdana"/>
          <w:color w:val="000000"/>
          <w:sz w:val="18"/>
        </w:rPr>
      </w:pPr>
      <w:r>
        <w:rPr>
          <w:rFonts w:ascii="Verdana" w:hAnsi="Verdana"/>
          <w:color w:val="000000"/>
          <w:sz w:val="18"/>
        </w:rPr>
        <w:t>Биржевые инструменты:</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Достоинства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высокая ликвидность рынка (позиция может быть открыта и ликвидирована в любой момент)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высокая надежность - контрагентом по каждой сделке выступает расчетная палата биржи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сравнительно низкие накладные расходы на совершение сделки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доступность - с помощью средств телекоммуникации торговля на большинстве бирж может вестись из любой точки планеты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Недостатки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весьма жесткие ограничения на тип товара, размеры партии, условия и срок поставки </w:t>
      </w:r>
    </w:p>
    <w:p w:rsidR="0072219F" w:rsidRDefault="0072219F">
      <w:pPr>
        <w:pStyle w:val="5"/>
        <w:ind w:left="75" w:right="75" w:firstLine="612"/>
        <w:rPr>
          <w:rFonts w:ascii="Verdana" w:hAnsi="Verdana"/>
          <w:color w:val="000000"/>
          <w:sz w:val="18"/>
        </w:rPr>
      </w:pPr>
    </w:p>
    <w:p w:rsidR="0072219F" w:rsidRDefault="0072219F">
      <w:pPr>
        <w:pStyle w:val="5"/>
        <w:ind w:left="75" w:right="75" w:firstLine="612"/>
        <w:rPr>
          <w:rFonts w:ascii="Verdana" w:hAnsi="Verdana"/>
          <w:color w:val="000000"/>
          <w:sz w:val="18"/>
        </w:rPr>
      </w:pPr>
    </w:p>
    <w:p w:rsidR="0072219F" w:rsidRDefault="0072219F">
      <w:pPr>
        <w:pStyle w:val="5"/>
        <w:ind w:left="75" w:right="75" w:firstLine="612"/>
        <w:rPr>
          <w:rFonts w:ascii="Verdana" w:hAnsi="Verdana"/>
          <w:color w:val="000000"/>
          <w:sz w:val="18"/>
        </w:rPr>
      </w:pPr>
      <w:r>
        <w:rPr>
          <w:rFonts w:ascii="Verdana" w:hAnsi="Verdana"/>
          <w:color w:val="000000"/>
          <w:sz w:val="18"/>
        </w:rPr>
        <w:t>Фьючерсная цена</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Использование срочных биржевых инструментов для хеджирования сделок с реальным товаром основано на том, что фьючерсная цена товара и его цена на спот-рынке изменяются в значительной мере параллельно. Если бы это было не так, то существовала бы возможность арбитражных операций между наличным и срочным рынками.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Например, если фьючерсная цена значительно превышает цену "спот", то существует следующая возможность: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1. Взять кредит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2. Купить партию товара на спот-рынке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3. Продать фьючерсный контракт на срочном рынке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4. По закрытию срочного контракта выполнить поставку реального товара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5. Рассчитаться по полученному кредиту.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Т.о., разница между фьючерсной ценой и ценой "спот" отражает такие факторы, как стоимость заемного капитала (т.е., текущий уровень процентных ставок) и стоимость хранения данного вида товара. Эта разница называется базисом. Базис может быть как положительным (для товаров, хранение которых сопряжено с издержками, например, нефть и цветные металлы), так и отрицательным (для товаров, владение которыми до срока поставки приносит дополнительную выгоду, например, драгоценные металлы).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Величина базиса не является постоянной; она подвержена как систематическим, так и случайным изменениям. Общей закономерностью является уменьшение абсолютной величины базиса с приближением срока поставки по фьючерсному контракту.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Следует отметить что при наличии ажиотажного спроса на наличный товар рынок может перейти в "перевернутое" состояние, когда наличные цены превышают фьючерсные, причем это превышение может быть весьма значительным. </w:t>
      </w:r>
    </w:p>
    <w:p w:rsidR="0072219F" w:rsidRDefault="0072219F">
      <w:pPr>
        <w:pStyle w:val="5"/>
        <w:ind w:left="75" w:right="75" w:firstLine="612"/>
        <w:rPr>
          <w:rFonts w:ascii="Verdana" w:hAnsi="Verdana"/>
          <w:color w:val="000000"/>
          <w:sz w:val="18"/>
        </w:rPr>
      </w:pPr>
      <w:r>
        <w:rPr>
          <w:rFonts w:ascii="Verdana" w:hAnsi="Verdana"/>
          <w:color w:val="000000"/>
          <w:sz w:val="18"/>
        </w:rPr>
        <w:t>5.Стратегии хеджирования</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Стратегия хеджирования - это совокупность конкретных инструментов хеджирования и способов их применения для уменьшения ценовых рисков.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Все стратегии хеджирования основаны на параллельном движении цены "спот" и фьючерсной цены, результатом которого является возможность возместить на срочном рынке убытки, понесенные на рынке реального товара. Однако, как мы уже отмечали, это сходство не является совершенным. Изменчивость базиса влечет за собой остаточный риск, не устраняемый с помощью хеджирования.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Существует 2 основных типа хеджирования - хедж покупателя и хедж продавца.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Хедж покупателя используется в случаях, когда предприниматель планирует купить в будущем партию товара и стремится уменьшить риск, связанный с возможным ростом его цены. Базовыми способами хеджирования будущей цены приобретения товара является покупка на срочном рынке фьючерсного контракта, покупка опциона типа "колл" или продажа опциона типа "пут".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Хедж продавца применяется в противоположной ситуации, т.е., при необходимости ограничить риски, связанные с возможным снижением цены товара. Способами такого хеджирования являются продажа фьючерсного контракта, покупка опциона типа "пут" или продажа опциона типа "колл".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Рассмотрим основные способы хеджирования на примере хеджа продавца.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u w:val="single"/>
        </w:rPr>
        <w:t>1. Хеджирование продажей фьючерсных контрактов.</w:t>
      </w:r>
      <w:r>
        <w:rPr>
          <w:rFonts w:ascii="Verdana" w:hAnsi="Verdana"/>
          <w:color w:val="000000"/>
          <w:sz w:val="18"/>
          <w:szCs w:val="20"/>
        </w:rPr>
        <w:t xml:space="preserve"> Эта стратегия заключается в продаже на срочном рынке фьючерсных контрактов в количестве, соответствующем объему хеджируемой партии реального товара (полный хедж) или в меньшем (частичный хедж).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Сделка на срочном рынке обычно заключается в момент времени, когда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1. продавец может с большой долей уверенности прогнозировать себестоимость реализуемой партии товара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2. на срочном рынке сложился уровень цен, обеспечивающий приемлемую прибыль.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Например, если производитель бензина хочет хеджировать будущую цену его продажи, и издержки на переработку нефти могут быть оценены в момент ее закупки, то в этот же момент осуществляется вход в хедж, т.е. открываются позиции на срочном рынке.</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Хеджирование с помощью фьючерсных контрактов фиксирует цену будущей поставки товара; при этом в случае снижения цен на рынке "спот" недополученная прибыль будет компенсирована доходом по проданным срочным контрактам (при снижении фьючерсной цены проданный фьючерс приносит прибыль). Однако, оборотной стороной медали является невозможность воспользоваться ростом цен на реальном рынке - дополнительная прибыль на рынке "спот" в этом случае, будет "съедена" убытками по проданным фьючерсам.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Другим недостатком этого способа хеджирования является необходимость постоянно поддерживать определенный размер гарантийного обеспечения открытых срочных позиций. При падения цены "спот" на реальный товар, поддержание минимального размера гарантийного обеспечения не является критическим условием, т.к. в этом случае биржевой счет продавца пополняется вариационной маржой по проданным фьючерсным контрактам; однако, при росте цены "спот" (а вместе с ней - и фьючерсной цены) вариационная маржа по открытым срочным позициям уходит с биржевого счета, и может потребоваться внесение дополнительных средств.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u w:val="single"/>
        </w:rPr>
        <w:t>2. Хеджирование покупкой опциона типа "пут".</w:t>
      </w:r>
      <w:r>
        <w:rPr>
          <w:rFonts w:ascii="Verdana" w:hAnsi="Verdana"/>
          <w:color w:val="000000"/>
          <w:sz w:val="18"/>
          <w:szCs w:val="20"/>
        </w:rPr>
        <w:t xml:space="preserve"> Владелец американского опциона типа "пут" имеет право (но не обязан) в любой момент времени продать фьючерсный контракт по фиксированной цене (цене исполнения опциона). Купив опцион этого типа, продавец товара фиксирует минимальную цену продажи, сохранив за собой возможность воспользоваться благоприятным для него повышением цены. При снижении фьючерсной цены ниже цены исполнения опциона, владелец исполняет его (или продает), компенсируя потери на рынке реального товара; при повышении цены, он отказывается от своего права исполнить опцион и продает товар по максимально возможной цене. Однако, в отличие от фьючерсного контракта, при покупке опциона выплачивается премия, которая пропадает при отказе от исполнения.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Гарантийного обеспечения купленный опцион не требует.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Т.о., хеджирование покупкой опциона типа "пут" аналогично традиционному страхованию: страхователь получает возмещение при неблагоприятном для него развитии событий (при наступлении страхового случая) и теряет страховую премию при нормальном развитии ситуации.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u w:val="single"/>
        </w:rPr>
        <w:t>3. Хеджирование продажей опциона типа "колл".</w:t>
      </w:r>
      <w:r>
        <w:rPr>
          <w:rFonts w:ascii="Verdana" w:hAnsi="Verdana"/>
          <w:color w:val="000000"/>
          <w:sz w:val="18"/>
          <w:szCs w:val="20"/>
        </w:rPr>
        <w:t xml:space="preserve"> Владелец американского опциона типа "колл" имеет право (но не обязан) в любой момент времени купить фьючерсный контракт по фиксированной цене (цене исполнения опциона). Т.о., владелец опциона может исполнить его, если текущая фьючерсная цена больше цены исполнения. Для продавца опциона ситуация обратная - за полученную при продаже опциона премию он берет на себя обязанность продать по требованию покупателя опциона фьючерсный контракт по цене исполнения.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Гарантийный депозит по проданному опциону типа "колл", рассчитывается аналогично гарантийному депозиту на проданный фьючерсный контракт. Т.о., эти две стратегии во многом схожи; отличие их заключается в том, что получаемая продавцом опциона премии ограничивает его доход по срочной позиции; в результате, проданный опцион компенсирует снижение цены товара на величину, не большую, чем полученная им премия.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u w:val="single"/>
        </w:rPr>
        <w:t>4. Другие инструменты хеджирования.</w:t>
      </w:r>
      <w:r>
        <w:rPr>
          <w:rFonts w:ascii="Verdana" w:hAnsi="Verdana"/>
          <w:color w:val="000000"/>
          <w:sz w:val="18"/>
          <w:szCs w:val="20"/>
        </w:rPr>
        <w:t xml:space="preserve"> Разработано значительное количество других способов хеджирования на основе опционов (например, продажа опциона типа "колл" и использование полученной премии для покупки опциона типа "пут" с меньшей ценой исполнения и опциона типа "колл" с большей ценой исполнения).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Выбор конкретных инструментов хеджирования должен осуществляться только после детального анализа потребностей бизнеса хеджера, экономической ситуации и перспектив отрасли, а также экономики в целом.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Самым простым с точки зрения реализации является полное краткосрочное хеджирование единичной партии товара. В этом случае хеджер открывает на срочном рынке позицию, объем которой как можно более точно соответствует объему реализуемой партии реального товара, а срок исполнения фьючерсного контракта выбирается близком к сроку исполнения реальной сделки. Закрываются позиции на срочном рынке в момент исполнения сделки на рынке "спот".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Однако, не всегда реальные потребности бизнеса можно удовлетворить с помощью такой простой схемы.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1. При необходимости хеджировать долгосрочные сделки (более 1 года), обычно не удается подобрать срочный контракт с соответствующим сроком исполнения и обладающий достаточной ликвидностью. В этом случае прибегают к практике, получившей название "перекат" (roll-over). Она заключается в том, что сначала открывается позиция по более близкому контракту (например, со сроком исполнения через 6 месяцев), а по мере улучшения ликвидности по более дальним срокам поставки, позиции по ближним месяцам закрываются, и открываются позиции по далеким.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2. Более сложным оказывается также осуществление хеджирования при непрерывном или близком к непрерывному цикле производства. В этом случае на срочном рынке постоянно имеются открытые позиции с различными сроками поставки. Управление такой постоянно меняющейся "налично-срочной" позицией может оказаться непростой задачей.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3. Не всегда удается подобрать биржевой товар, точно соответствующий объекту реальной сделки. В этих случаях приходится проводить дополнительный анализ для того, чтобы выяснить, какой биржевой товар или, возможно, группа товаров, наилучшим образом подходят для хеджирования товарной позиции на реальном рынке.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4. В некоторых случаях при изменении цен изменяются, также, потенциальные объема сбыта. При этом вышеперечисленные схемы хеджирования оказываются неэффективными, т.к. возникает ситуация "недохеджирования" (объем хеджа меньше объема реальной позиции) или "перехеджирования" (объем хеджа больше объема реальной позиции). В обеих ситуациях риск увеличивается. Выходом является динамическое хеджирование, когда происходит постоянный анализ соответствия размера срочной позиции ситуации на реальном рынке и, если необходимо, изменение этого размера.</w:t>
      </w:r>
    </w:p>
    <w:p w:rsidR="0072219F" w:rsidRDefault="0072219F">
      <w:pPr>
        <w:pStyle w:val="5"/>
        <w:ind w:left="75" w:right="75" w:firstLine="612"/>
        <w:rPr>
          <w:rFonts w:ascii="Verdana" w:hAnsi="Verdana"/>
          <w:color w:val="000000"/>
          <w:sz w:val="18"/>
        </w:rPr>
      </w:pPr>
      <w:r>
        <w:rPr>
          <w:rFonts w:ascii="Verdana" w:hAnsi="Verdana"/>
          <w:color w:val="000000"/>
          <w:sz w:val="18"/>
        </w:rPr>
        <w:t>6.Основные принципы хеджирования</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1. Эффективная программа хеджирования не ставит целью полностью устранить риск; она разрабатывается для того, чтобы трансформировать риск из неприемлемых форм в приемлемые. Целью хеджирования является достижение оптимальной структуры риска, т.е., соотношения между преимуществами хеджирования и его стоимостью.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2. При принятии решения о хеджировании важно оценить величину потенциальных потерь, которые компания может понести в случае отказа от хеджа. Если потенциальные потери несущественны (например, мало влияют на доходы фирмы), выгоды от хеджирования могут оказаться меньше, чем затраты на его осуществление; в этом случае компании лучше воздержаться от хеджирования.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3. Как и любая другая финансовая деятельность, программа хеджирования требует разработки внутренней системы правил и процедур.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4. Эффективность хеджирования может быть оценена только в контексте (бессмысленно говорить о доходности операции хеджирования или об убытках по операции хеджирования в отрыве от основной деятельности на спот-рынке) </w:t>
      </w:r>
    </w:p>
    <w:p w:rsidR="0072219F" w:rsidRDefault="0072219F">
      <w:pPr>
        <w:pStyle w:val="5"/>
        <w:ind w:left="75" w:right="75" w:firstLine="612"/>
        <w:rPr>
          <w:rFonts w:ascii="Verdana" w:hAnsi="Verdana"/>
          <w:color w:val="000000"/>
          <w:sz w:val="18"/>
        </w:rPr>
      </w:pPr>
      <w:r>
        <w:rPr>
          <w:rFonts w:ascii="Verdana" w:hAnsi="Verdana"/>
          <w:color w:val="000000"/>
          <w:sz w:val="18"/>
        </w:rPr>
        <w:t>Что дает хеджирование</w:t>
      </w:r>
    </w:p>
    <w:p w:rsidR="0072219F" w:rsidRDefault="0072219F">
      <w:pPr>
        <w:ind w:left="75" w:right="75" w:firstLine="612"/>
        <w:rPr>
          <w:rFonts w:ascii="Verdana" w:hAnsi="Verdana"/>
          <w:color w:val="000000"/>
          <w:sz w:val="18"/>
          <w:szCs w:val="20"/>
        </w:rPr>
      </w:pPr>
      <w:r>
        <w:rPr>
          <w:rFonts w:ascii="Verdana" w:hAnsi="Verdana"/>
          <w:color w:val="000000"/>
          <w:sz w:val="18"/>
          <w:szCs w:val="20"/>
        </w:rPr>
        <w:t xml:space="preserve">Несмотря на издержки, связанные с хеджированием, и многочисленные трудности, с которыми компания может встретиться при разработке и реализации стратегии хеджирования, его роль в обеспечении стабильного развития очень велика: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Происходит существенное снижение ценового риска, связанного с закупками сырья и поставкой готовой продукции; хеджирование процентных ставок и обменных курсов снижает неопределенности будущих финансовых потоков и обеспечивает более эффективный финансовый менеджмент. В результате уменьшаются колебания прибыли и улучшается управляемость производством.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Хорошо построенная программа хеджирования уменьшает как риск, так и затраты. Хеджирование высвобождает ресурсы компании и помогает управленческому персоналу сосредоточиться на аспектах бизнеса, в которых компания имеет конкурентное преимущество, минимизируя риски, не являющимися центральными. В конечном итоге, хеджирование увеличивает капитал, уменьшая стоимость использования средств и стабилизируя доходы.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Хедж не пересекается с обычными хозяйственными операциями и позволяет обеспечить постоянную защиту цены без необходимости менять политику запасов или заключать долгосрочные форвардные контракты. </w:t>
      </w:r>
    </w:p>
    <w:p w:rsidR="0072219F" w:rsidRDefault="0072219F">
      <w:pPr>
        <w:ind w:left="75" w:right="75"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Во многих случаях хедж облегчает привлечение кредитных ресурсов: банки учитывают захеджированные залоги по более высокой ставке; это же относится к контрактам на поставку готовой продукции. </w:t>
      </w:r>
    </w:p>
    <w:p w:rsidR="0072219F" w:rsidRDefault="0072219F">
      <w:pPr>
        <w:pStyle w:val="a3"/>
        <w:ind w:left="75" w:right="75" w:firstLine="612"/>
        <w:rPr>
          <w:rFonts w:ascii="Verdana" w:hAnsi="Verdana"/>
          <w:color w:val="000000"/>
          <w:sz w:val="18"/>
          <w:szCs w:val="20"/>
        </w:rPr>
      </w:pPr>
      <w:r>
        <w:rPr>
          <w:rFonts w:ascii="Verdana" w:hAnsi="Verdana"/>
          <w:color w:val="000000"/>
          <w:sz w:val="18"/>
          <w:szCs w:val="20"/>
        </w:rPr>
        <w:t xml:space="preserve">Еще раз отметим - хеджирование не ставит своей непосредственной задачей повышение прибыли; источником прибыли является основная производственная деятельность. </w:t>
      </w:r>
    </w:p>
    <w:p w:rsidR="0072219F" w:rsidRDefault="0072219F">
      <w:pPr>
        <w:pStyle w:val="a3"/>
        <w:ind w:left="75" w:right="75" w:firstLine="612"/>
        <w:rPr>
          <w:rFonts w:ascii="Verdana" w:hAnsi="Verdana"/>
          <w:color w:val="000000"/>
          <w:sz w:val="18"/>
          <w:szCs w:val="20"/>
        </w:rPr>
      </w:pPr>
    </w:p>
    <w:p w:rsidR="0072219F" w:rsidRDefault="0072219F">
      <w:pPr>
        <w:pStyle w:val="4"/>
        <w:ind w:left="100" w:right="100" w:firstLine="612"/>
        <w:rPr>
          <w:rFonts w:ascii="Verdana" w:hAnsi="Verdana"/>
          <w:color w:val="000000"/>
          <w:sz w:val="18"/>
        </w:rPr>
      </w:pPr>
      <w:r>
        <w:rPr>
          <w:rFonts w:ascii="Verdana" w:hAnsi="Verdana"/>
          <w:color w:val="000000"/>
          <w:sz w:val="18"/>
        </w:rPr>
        <w:t>7.Ошибки в управлении хэджирование</w:t>
      </w:r>
    </w:p>
    <w:p w:rsidR="0072219F" w:rsidRDefault="0072219F">
      <w:pPr>
        <w:pStyle w:val="4"/>
        <w:ind w:left="100" w:right="100" w:firstLine="612"/>
        <w:rPr>
          <w:rFonts w:ascii="Verdana" w:hAnsi="Verdana"/>
          <w:color w:val="000000"/>
          <w:sz w:val="18"/>
        </w:rPr>
      </w:pPr>
      <w:r>
        <w:rPr>
          <w:rFonts w:ascii="Verdana" w:hAnsi="Verdana"/>
          <w:color w:val="000000"/>
          <w:sz w:val="18"/>
        </w:rPr>
        <w:t>Шесть наиболее распространенных ошибок управления риском</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Вы вероятно знакомы с основными принципами долгосрочного инвестирования: время – деньги, инвестирование в различные отрасли, а не в одну, исключение попыток рассчитывать на рынок по времени. Несмотря на это, даже те инвесторы, которые знают об этих принципах, иногда не следуют им, особенно когда рынок становится волатильным. Ниже Вы найдете шесть обычных ошибок инвесторов. Дальше, информация предлагает несколько стратегий, которые помогут Вам избежать этих ошибок. </w:t>
      </w:r>
    </w:p>
    <w:p w:rsidR="0072219F" w:rsidRDefault="0072219F">
      <w:pPr>
        <w:ind w:left="100" w:right="100"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Ошибка #1: беспокойство о волатильности, наряду с пренебрежением остальным риском </w:t>
      </w:r>
    </w:p>
    <w:p w:rsidR="0072219F" w:rsidRDefault="0072219F">
      <w:pPr>
        <w:ind w:left="100" w:right="100"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Ошибка #2: попытки найти способ инвестирования с наименьшим риском </w:t>
      </w:r>
    </w:p>
    <w:p w:rsidR="0072219F" w:rsidRDefault="0072219F">
      <w:pPr>
        <w:ind w:left="100" w:right="100"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Ошибка #3: попытки выбора времени для операций на рынке </w:t>
      </w:r>
    </w:p>
    <w:p w:rsidR="0072219F" w:rsidRDefault="0072219F">
      <w:pPr>
        <w:ind w:left="100" w:right="100"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Ошибка #4: продажа на медвежьем рынке </w:t>
      </w:r>
    </w:p>
    <w:p w:rsidR="0072219F" w:rsidRDefault="0072219F">
      <w:pPr>
        <w:ind w:left="100" w:right="100"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Ошибка #5: покупка “горячего капитала” </w:t>
      </w:r>
    </w:p>
    <w:p w:rsidR="0072219F" w:rsidRDefault="0072219F">
      <w:pPr>
        <w:pStyle w:val="a3"/>
        <w:ind w:left="100" w:right="100" w:firstLine="612"/>
        <w:rPr>
          <w:rFonts w:ascii="Verdana" w:hAnsi="Verdana"/>
          <w:color w:val="000000"/>
          <w:sz w:val="18"/>
          <w:szCs w:val="20"/>
        </w:rPr>
      </w:pPr>
      <w:r>
        <w:rPr>
          <w:rFonts w:ascii="Verdana" w:hAnsi="Symbol"/>
          <w:color w:val="000000"/>
          <w:sz w:val="18"/>
          <w:szCs w:val="20"/>
        </w:rPr>
        <w:t></w:t>
      </w:r>
      <w:r>
        <w:rPr>
          <w:rFonts w:ascii="Verdana" w:hAnsi="Verdana"/>
          <w:color w:val="000000"/>
          <w:sz w:val="18"/>
          <w:szCs w:val="20"/>
        </w:rPr>
        <w:t xml:space="preserve">  Ошибка #6: уверенность в том, что рынок валют и депозитных сертификатов не волатильный.</w:t>
      </w:r>
    </w:p>
    <w:p w:rsidR="0072219F" w:rsidRDefault="0072219F">
      <w:pPr>
        <w:pStyle w:val="5"/>
        <w:ind w:left="100" w:right="100" w:firstLine="612"/>
        <w:rPr>
          <w:rFonts w:ascii="Verdana" w:hAnsi="Verdana"/>
          <w:color w:val="000000"/>
          <w:sz w:val="18"/>
        </w:rPr>
      </w:pPr>
      <w:r>
        <w:rPr>
          <w:rFonts w:ascii="Verdana" w:hAnsi="Verdana"/>
          <w:color w:val="000000"/>
          <w:sz w:val="18"/>
        </w:rPr>
        <w:t>Ошибка #1: Беспокойство о волатильности, наряду с пренебрежением остальным риском</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 большинстве случаев, когда говорят об инвестиционном риске, имеют в виду волатильность. Конечно, волатильность – часть инвестирования, и необходимо это понимать. Но если Вы долгосрочный инвестор, волатильность может быть самым маловажным риском, о котором Вам следовало бы волноваться. Волатильность не должна быть главным фактором при долгосрочном инвестировании, потому что, как показано на графике, она уменьшается со временем. Волатильность не является показателем инвестирования – волатильное инвестирование может быть как удачным, так и не удачным – она показывает насколько изменилась производительность инвестирования. Как долгосрочный инвестор, Вы хотите точно знать о долгосрочных тенденциях, а не о кратковременных колебаниях. Если Вы следите исключительно за волатильностью, Вы смотрите на движение рынков с точки зрения краткосрочного инвестирования – знаете Вы это или нет.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03.25pt">
            <v:imagedata r:id="rId7" o:title=""/>
          </v:shape>
        </w:pict>
      </w: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График 1: показывает как исторический возврат капитала различных активов, особенно акций, стал значительно менее волатильным за долгий период времени (волатильность может уменьшиться со временем).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Вместо того чтобы беспокоится о краткосрочной волатильности, долгосрочному инвестору нужно сфокусироваться на риске, который едва ли заметен: риск потери контроля над долгосрочными целями из-за чрезмерного внимания, уделяемого краткосрочной волатильности. Консервативное инвестирование, для избежания волатильности, или переключение инвестиций из-за волатильности могут увеличить риск того, что Ваши инвестиции не принесут желаемого результата и не достигнут долгосрочных целей, поставленных Вами. </w:t>
      </w:r>
    </w:p>
    <w:p w:rsidR="0072219F" w:rsidRDefault="0072219F">
      <w:pPr>
        <w:pStyle w:val="5"/>
        <w:ind w:left="100" w:right="100" w:firstLine="612"/>
        <w:rPr>
          <w:rFonts w:ascii="Verdana" w:hAnsi="Verdana"/>
          <w:color w:val="000000"/>
          <w:sz w:val="18"/>
        </w:rPr>
      </w:pPr>
      <w:r>
        <w:rPr>
          <w:rFonts w:ascii="Verdana" w:hAnsi="Verdana"/>
          <w:color w:val="000000"/>
          <w:sz w:val="18"/>
        </w:rPr>
        <w:t>Ошибка #2: Попытки найти способ инвестирования с наименьшим риском</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Каждый желает работать с наименьшим риском, не так ли? Да, но это зависит от вида риска. Вопрос, «какой вид инвестирования предполагает наименьший риск?» похож на вопрос, «какой вид взаимного фонда наилучший?» Ответ полностью зависит от того, что именно Вам нужно.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Например, как Вы видите из предыдущей дискуссии о волатильности, уменьшение краткосрочного риска волатильности – не самый важный фактор для долгосрочного инвестора, если только при уменьшении краткосрочной волатильности Вы будете стремиться выбрать инвестиции, которые бы увеличили риск при инфляции. При конфронтационном риске, Вы будете пожинать свои плоды.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Причиной, по которой большинство экспертов рекомендует акции долгосрочным инвесторам, как показано на графике (2), является то, что акции последовательно были наилучшим инструментом долгосрочного инвестирования с точки зрения исторических данных . Однако, для извлечения долгосрочного потенциала роста акций, Вам необходимо учитывать связанную с ними краткосрочную волатильность.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26" type="#_x0000_t75" style="width:225pt;height:230.25pt">
            <v:imagedata r:id="rId8"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График 2: показывает годовой возврат капитала данной ценной бумаги за лучший и худший 10-ти-летний период времени между 1926 и 1995 годами. Другими словами, здесь показан общий возврат капитала, который бы Вы имели ежегодно, если бы инвестировали во время лучших и худших 10-ти лет.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Чтобы узнать результаты действия инвестиции за данный промежуток времени, Вам необходимо знать Вашу общую прибыль/потерю после налогов и инфляции. Инвестиция, которая выглядит довольно прибыльной, может оказаться совершенно другой после учета налогов и инфляции, как показано на графике: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27" type="#_x0000_t75" style="width:300pt;height:181.5pt">
            <v:imagedata r:id="rId9" o:title=""/>
          </v:shape>
        </w:pict>
      </w: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График 3. Согласование прибыли с налогами и инфляцией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Этот график показывает гипотетический возврат капитала инвестора по трем типам инвестиций после учета налогов и инфляции. Если Вы являетесь долгосрочным инвестором, Вам необходимо учитывать долгосрочные эффекты инфляции и налоги. Здесь предполагается 31% процентная налоговая ставка и используется 3.1% исторический уровень инфляции за период с 1926 до 1995 года. Предполагается, что простые акции продаются каждые пять лет. Высчитываются прибыли и потери и покупаются новые акции по текущей цене с выручкой уже после налогообложения. </w:t>
      </w:r>
    </w:p>
    <w:p w:rsidR="0072219F" w:rsidRDefault="0072219F">
      <w:pPr>
        <w:pStyle w:val="a3"/>
        <w:ind w:left="100" w:right="100" w:firstLine="612"/>
        <w:rPr>
          <w:rFonts w:ascii="Verdana" w:hAnsi="Verdana"/>
          <w:color w:val="000000"/>
          <w:sz w:val="18"/>
          <w:szCs w:val="20"/>
        </w:rPr>
      </w:pPr>
    </w:p>
    <w:p w:rsidR="0072219F" w:rsidRDefault="0072219F">
      <w:pPr>
        <w:pStyle w:val="5"/>
        <w:ind w:left="100" w:right="100" w:firstLine="612"/>
        <w:rPr>
          <w:rFonts w:ascii="Verdana" w:hAnsi="Verdana"/>
          <w:color w:val="000000"/>
          <w:sz w:val="18"/>
        </w:rPr>
      </w:pPr>
      <w:r>
        <w:rPr>
          <w:rFonts w:ascii="Verdana" w:hAnsi="Verdana"/>
          <w:color w:val="000000"/>
          <w:sz w:val="18"/>
        </w:rPr>
        <w:t>Ошибка #3: Попытки выбора времени для операций на рынке</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Большинство инвесторов знает, что выбор времени для операций на рынке – не очень хорошее решение. Большинство знает, что даже эксперты Wall Street не могут последовательно предугадать движение рынка. Несмотря на это, многие инвесторы пытаются предугадать «удачный» момент на рынке – часто без какого либо осознания.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Интенсивное движение акций и долговых обязательств в преддверии понижения – одна из обычных форм поведения при выборе времени для операций на рынке. К этому относится и удерживание от внедрения инвестиционного плана пока рынок не «успокоится», или прекращение получения средних данных во время волатильного рынка.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Для выбора времени необходимы два точных предположения: правильное время для покупки и правильное время для продажи. Стоит упустить одно из них, и Вы можете упустить весь рынок. Большинство прибыли на рынке можно получить во время нескольких активных непредсказуемых торговых дней. Для использования долгосрочной производительности рынка, необходимо находится на рынке в эти дни, как показывает график (2).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Вы часто слышали, что инвестирование – это наука. Частью этой науки является определение стоящего финансового плана, который бы соответствовал Вашим целям и срокам. Другая часть науки – и, часто, самая сложная – обучение вхождению на рынок.</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28" type="#_x0000_t75" style="width:300pt;height:231pt">
            <v:imagedata r:id="rId10"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График 4. Этот график показывает, что за последние 10 лет, если бы вы не владели акциями на рынке во время лучших 10-ти месяцев, возврат капитала был бы незначительно больше, чем, если бы Вы владели казначейскими билетами. </w:t>
      </w:r>
    </w:p>
    <w:p w:rsidR="0072219F" w:rsidRDefault="0072219F">
      <w:pPr>
        <w:pStyle w:val="5"/>
        <w:ind w:left="100" w:right="100" w:firstLine="612"/>
        <w:rPr>
          <w:rFonts w:ascii="Verdana" w:hAnsi="Verdana"/>
          <w:color w:val="000000"/>
          <w:sz w:val="18"/>
        </w:rPr>
      </w:pPr>
      <w:r>
        <w:rPr>
          <w:rFonts w:ascii="Verdana" w:hAnsi="Verdana"/>
          <w:color w:val="000000"/>
          <w:sz w:val="18"/>
        </w:rPr>
        <w:t>Рыночная тенденция к понижению: как часто, насколько долго и плохо?</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При оценке продуктивности инвестиций рынка акций, необходимо помнить об этих статистических данных: </w:t>
      </w:r>
    </w:p>
    <w:p w:rsidR="0072219F" w:rsidRDefault="0072219F">
      <w:pPr>
        <w:numPr>
          <w:ilvl w:val="0"/>
          <w:numId w:val="1"/>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Рынок «падал» на 10% в 86 случаях за последние 80 лет </w:t>
      </w:r>
    </w:p>
    <w:p w:rsidR="0072219F" w:rsidRDefault="0072219F">
      <w:pPr>
        <w:numPr>
          <w:ilvl w:val="0"/>
          <w:numId w:val="1"/>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Самое большое дневное падение составило 22% в октябре 1987 года </w:t>
      </w:r>
    </w:p>
    <w:p w:rsidR="0072219F" w:rsidRDefault="0072219F">
      <w:pPr>
        <w:numPr>
          <w:ilvl w:val="0"/>
          <w:numId w:val="1"/>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В среднем, инвесторы рынка акций пережили: </w:t>
      </w:r>
    </w:p>
    <w:p w:rsidR="0072219F" w:rsidRDefault="0072219F">
      <w:pPr>
        <w:numPr>
          <w:ilvl w:val="1"/>
          <w:numId w:val="1"/>
        </w:numPr>
        <w:spacing w:before="100" w:beforeAutospacing="1" w:after="100" w:afterAutospacing="1"/>
        <w:ind w:left="1540" w:right="100"/>
        <w:rPr>
          <w:rFonts w:ascii="Verdana" w:hAnsi="Verdana"/>
          <w:color w:val="000000"/>
          <w:sz w:val="18"/>
          <w:szCs w:val="20"/>
        </w:rPr>
      </w:pPr>
      <w:r>
        <w:rPr>
          <w:rFonts w:ascii="Verdana" w:hAnsi="Verdana"/>
          <w:color w:val="000000"/>
          <w:sz w:val="18"/>
          <w:szCs w:val="20"/>
        </w:rPr>
        <w:t xml:space="preserve">5% падение более чем 2 раза в год </w:t>
      </w:r>
    </w:p>
    <w:p w:rsidR="0072219F" w:rsidRDefault="0072219F">
      <w:pPr>
        <w:numPr>
          <w:ilvl w:val="1"/>
          <w:numId w:val="1"/>
        </w:numPr>
        <w:spacing w:before="100" w:beforeAutospacing="1" w:after="100" w:afterAutospacing="1"/>
        <w:ind w:left="1540" w:right="100"/>
        <w:rPr>
          <w:rFonts w:ascii="Verdana" w:hAnsi="Verdana"/>
          <w:color w:val="000000"/>
          <w:sz w:val="18"/>
          <w:szCs w:val="20"/>
        </w:rPr>
      </w:pPr>
      <w:r>
        <w:rPr>
          <w:rFonts w:ascii="Verdana" w:hAnsi="Verdana"/>
          <w:color w:val="000000"/>
          <w:sz w:val="18"/>
          <w:szCs w:val="20"/>
        </w:rPr>
        <w:t xml:space="preserve">15% падение раз в три года </w:t>
      </w:r>
    </w:p>
    <w:p w:rsidR="0072219F" w:rsidRDefault="0072219F">
      <w:pPr>
        <w:numPr>
          <w:ilvl w:val="1"/>
          <w:numId w:val="1"/>
        </w:numPr>
        <w:spacing w:before="100" w:beforeAutospacing="1" w:after="100" w:afterAutospacing="1"/>
        <w:ind w:left="1540" w:right="100"/>
        <w:rPr>
          <w:rFonts w:ascii="Verdana" w:hAnsi="Verdana"/>
          <w:color w:val="000000"/>
          <w:sz w:val="18"/>
          <w:szCs w:val="20"/>
        </w:rPr>
      </w:pPr>
      <w:r>
        <w:rPr>
          <w:rFonts w:ascii="Verdana" w:hAnsi="Verdana"/>
          <w:color w:val="000000"/>
          <w:sz w:val="18"/>
          <w:szCs w:val="20"/>
        </w:rPr>
        <w:t xml:space="preserve">медвежий рынок (20% понижение) каждые пять лет </w:t>
      </w:r>
    </w:p>
    <w:p w:rsidR="0072219F" w:rsidRDefault="0072219F">
      <w:pPr>
        <w:numPr>
          <w:ilvl w:val="0"/>
          <w:numId w:val="1"/>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в среднем, рынок имел тенденцию на повышение почти два года из трех лет </w:t>
      </w:r>
    </w:p>
    <w:p w:rsidR="0072219F" w:rsidRDefault="0072219F">
      <w:pPr>
        <w:numPr>
          <w:ilvl w:val="0"/>
          <w:numId w:val="1"/>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средний рыночный оборот с 1926 года составлял 10.5% в год </w:t>
      </w:r>
    </w:p>
    <w:p w:rsidR="0072219F" w:rsidRDefault="0072219F">
      <w:pPr>
        <w:pStyle w:val="5"/>
        <w:ind w:left="100" w:right="100" w:firstLine="612"/>
        <w:rPr>
          <w:rFonts w:ascii="Verdana" w:hAnsi="Verdana"/>
          <w:color w:val="000000"/>
          <w:sz w:val="18"/>
        </w:rPr>
      </w:pPr>
      <w:r>
        <w:rPr>
          <w:rFonts w:ascii="Verdana" w:hAnsi="Verdana"/>
          <w:color w:val="000000"/>
          <w:sz w:val="18"/>
        </w:rPr>
        <w:t>Ошибка #4: продажа на медвежьем рынке</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Здравый смысл подсказывает, что за внезапным погружением в финансовые рынки последует результат. Но если вы будете дожидаться внезапного падения стоимости Вашей инвестиции, для того чтобы продать, то все что Вы делаете это замыкание в собственных убытках. А как только деньги утеряны, Вы теряете все возможности извлечения прибыли от дальнейших движений рынка, которые, основываясь на статистике, всегда были направлены вверх пи долгосрочной оценке. График внизу показывает, что произошло с инвесторами рынка акций, которые продали во время падения рынка в 1987 году, по отношению к тем, кто воздержался от продажи.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Подобным образом, такая техника, как высчитывание средних стоимости доллара может сработать только в том случае, если Вы продолжаете, как и планировалось, покупать акции, даже если рынок понижается. Так как это не очень логично вкладывать деньги в рынок в период волатильности, Вы можете сейчас заплатить меньше за акции которые покупаете, чем ждать пока рынок стабилизируется. </w:t>
      </w:r>
    </w:p>
    <w:p w:rsidR="0072219F" w:rsidRDefault="0072219F">
      <w:pPr>
        <w:pStyle w:val="5"/>
        <w:ind w:left="100" w:right="100" w:firstLine="612"/>
        <w:rPr>
          <w:rFonts w:ascii="Verdana" w:hAnsi="Verdana"/>
          <w:color w:val="000000"/>
          <w:sz w:val="18"/>
        </w:rPr>
      </w:pPr>
      <w:r>
        <w:rPr>
          <w:rFonts w:ascii="Verdana" w:hAnsi="Verdana"/>
          <w:color w:val="000000"/>
          <w:sz w:val="18"/>
        </w:rPr>
        <w:t>Результаты продажи в медвежьем рынке</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Ниже следуют результаты от 12/31/95 различных гипотетических инвестиционных стратегий во время обвала 1987 года. Предположим, что все 4 инвестора купили акций на сумму $10,000 6/30/83 (дата, используемая для подсчета возвратов розничного инвестора разнообразных взаимных фондов) и что инвесторы 1,2 и 3 продали акции во время обвала (17 октября 1987 года), купили государственные облигации и снова купили акции в указанные дни. Результаты показывают, что стратегия «купить и подержать» принесла наибольший средний годовой возврат.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432"/>
        <w:gridCol w:w="1701"/>
        <w:gridCol w:w="1235"/>
        <w:gridCol w:w="1194"/>
        <w:gridCol w:w="1208"/>
        <w:gridCol w:w="1605"/>
      </w:tblGrid>
      <w:tr w:rsidR="007221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hAnsi="Symbol"/>
                <w:color w:val="000000"/>
                <w:sz w:val="18"/>
              </w:rPr>
              <w:t></w:t>
            </w:r>
            <w:r>
              <w:rPr>
                <w:color w:val="000000"/>
                <w:sz w:val="18"/>
              </w:rPr>
              <w:t xml:space="preserve">  </w:t>
            </w:r>
            <w:r>
              <w:rPr>
                <w:rFonts w:ascii="Verdana" w:hAnsi="Verdana"/>
                <w:b/>
                <w:bCs/>
                <w:color w:val="000000"/>
                <w:sz w:val="18"/>
                <w:szCs w:val="20"/>
              </w:rPr>
              <w:t xml:space="preserve">Тип </w:t>
            </w:r>
            <w:r>
              <w:rPr>
                <w:rFonts w:ascii="Verdana" w:hAnsi="Verdana"/>
                <w:b/>
                <w:bCs/>
                <w:color w:val="000000"/>
                <w:sz w:val="18"/>
                <w:szCs w:val="20"/>
              </w:rPr>
              <w:br/>
              <w:t>Инвестора</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Покупка гос. облигаций</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Покупка акций</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Стоимость</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Общий возврат</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Средний годовой возврат</w:t>
            </w:r>
          </w:p>
        </w:tc>
      </w:tr>
      <w:tr w:rsidR="007221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Покупка и придержка</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$56,159</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461,59%</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14,80%</w:t>
            </w:r>
          </w:p>
        </w:tc>
      </w:tr>
      <w:tr w:rsidR="0072219F">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Инвестор 1</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10/30/87</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6/30/90</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$43,385</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333.85%</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12,46%</w:t>
            </w:r>
          </w:p>
        </w:tc>
      </w:tr>
      <w:tr w:rsidR="0072219F">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Инвестор 2</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10/30/87</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6/30/91</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$43,169</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331.69%</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12,41%</w:t>
            </w:r>
          </w:p>
        </w:tc>
      </w:tr>
      <w:tr w:rsidR="0072219F">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Инвестор 3</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10/30/87</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szCs w:val="20"/>
              </w:rPr>
              <w:t>6/30/92</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$39,785</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297.85%</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11,68%</w:t>
            </w:r>
          </w:p>
        </w:tc>
      </w:tr>
    </w:tbl>
    <w:p w:rsidR="0072219F" w:rsidRDefault="0072219F">
      <w:pPr>
        <w:pStyle w:val="a3"/>
        <w:ind w:left="100" w:right="100" w:firstLine="612"/>
        <w:rPr>
          <w:rFonts w:ascii="Verdana" w:hAnsi="Verdana"/>
          <w:color w:val="000000"/>
          <w:sz w:val="18"/>
          <w:szCs w:val="20"/>
        </w:rPr>
      </w:pPr>
    </w:p>
    <w:p w:rsidR="0072219F" w:rsidRDefault="0072219F">
      <w:pPr>
        <w:pStyle w:val="5"/>
        <w:ind w:left="100" w:right="100" w:firstLine="612"/>
        <w:rPr>
          <w:rFonts w:ascii="Verdana" w:hAnsi="Verdana"/>
          <w:color w:val="000000"/>
          <w:sz w:val="18"/>
        </w:rPr>
      </w:pPr>
      <w:r>
        <w:rPr>
          <w:rFonts w:ascii="Verdana" w:hAnsi="Verdana"/>
          <w:color w:val="000000"/>
          <w:sz w:val="18"/>
        </w:rPr>
        <w:t>Ошибка #5: Покупка “горячего капитала”</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Если бы выбор наиболее продуктивных фондов было таким же простым делом, как оценка краткосрочных инвестиций, то услуги инвестиционных экспертов предлагались бы почти задаром. Однако очень небольшое количество фондов последовательно значатся как наиболее продуктивные, особенно если Вы учитываете только краткосрочную продуктивность.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Почему? Одной из причин является то, что как только «горячий фонд» определен, он может быть завален наличкой инвесторов, что может привести к тому, что фонд добавит множество новых ценных бумаг в свой портфель за короткий промежуток времени. Другим фактором являются сдвиги на самом рынке. Условия, благоприятно влияющие на любой данный вид фонда за краткосрочный период времени, обычно временные и, скорее всего, изменятся гораздо быстрее, чем фонд найдет возможность их удержать.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Несложно понять, почему так много инвесторов приобретают ценные бумаги фондов, которые отличались высокой прибыльностью в предыдущем году: почти каждый финансовый журнал издает список наиболее прибыльных фондов, который обычно основывается на деятельности фондов в предыдущем году. Многие фондовые компании рекламируют свои фонды на основе текущей деятельности – как никак кто захочет купить малоперспективный фонд? Но строя решения на основе текущей деятельности, Вы оцениваете долгосрочное инвестирование на основе краткосрочных критериев, и, следовательно, ограничиваете свои шансы на успех. </w:t>
      </w:r>
    </w:p>
    <w:p w:rsidR="0072219F" w:rsidRDefault="0072219F">
      <w:pPr>
        <w:pStyle w:val="a3"/>
        <w:ind w:left="100" w:right="100" w:firstLine="612"/>
        <w:rPr>
          <w:rFonts w:ascii="Verdana" w:hAnsi="Verdana"/>
          <w:color w:val="000000"/>
          <w:sz w:val="18"/>
          <w:szCs w:val="20"/>
        </w:rPr>
      </w:pPr>
    </w:p>
    <w:p w:rsidR="0072219F" w:rsidRDefault="0072219F">
      <w:pPr>
        <w:pStyle w:val="5"/>
        <w:ind w:left="100" w:right="100" w:firstLine="612"/>
        <w:rPr>
          <w:rFonts w:ascii="Verdana" w:hAnsi="Verdana"/>
          <w:color w:val="000000"/>
          <w:sz w:val="18"/>
        </w:rPr>
      </w:pPr>
      <w:r>
        <w:rPr>
          <w:rFonts w:ascii="Verdana" w:hAnsi="Verdana"/>
          <w:color w:val="000000"/>
          <w:sz w:val="18"/>
        </w:rPr>
        <w:t>Как насчет оценки фондов?</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Многие инвесторы используют независимые оценки, такие как Morningstar, для приобретения фондов. Запомните, что организация использует свои собственные критерии оценки фонда. Например, рейтинговая система фирмы может предоставить данные о низкой волатильности расходов. Если Вы используете оценки для определения стоимости и общей оценки фондов, удостоверьтесь, что критерии, охватывающие оценку, являются теми же критериями, которые вы используете для оценки своих собственных инвестиций. </w:t>
      </w:r>
    </w:p>
    <w:p w:rsidR="0072219F" w:rsidRDefault="0072219F">
      <w:pPr>
        <w:pStyle w:val="5"/>
        <w:ind w:left="100" w:right="100" w:firstLine="612"/>
        <w:rPr>
          <w:rFonts w:ascii="Verdana" w:hAnsi="Verdana"/>
          <w:color w:val="000000"/>
          <w:sz w:val="18"/>
        </w:rPr>
      </w:pPr>
      <w:r>
        <w:rPr>
          <w:rFonts w:ascii="Verdana" w:hAnsi="Verdana"/>
          <w:color w:val="000000"/>
          <w:sz w:val="18"/>
        </w:rPr>
        <w:t>Ошибка #6: уверенность в том, что рынок валют и депозитных сертификатов не волатильный</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Депозитные сертификаты (CD), фонды валютного рынка и другие сберегательные и инвестиционные инструменты с фиксированной суммой могут уберечь Ваш капитал от волатильности и, с точки зрения общего возврата менее волатильны, чем акции и облигации. Но это не означает, что Ваш доход – не волатильный.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Многие инвесторы научились этому в начале 90-х, когда срок депозитных сертификатов с оценкой в 15 % истекал, в то время как процентные ставки были около 4 %. Инвесторы, которые думали, что они в «безопасности», обнаружили, что их доходы уменьшились на 50 % и более.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Не имеет значения, какой инструмент Вы выбираете, все равно Вы не будете застрахованы от колебаний в Вашем доходе.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29" type="#_x0000_t75" style="width:300pt;height:204.75pt">
            <v:imagedata r:id="rId11"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График 5: график показывает средний доход от годовых депозитных сертификатов, взаимных фондов валютного рынка и счетов валютного рынка, используемых банком за период с 1985 по 1995 год. </w:t>
      </w:r>
    </w:p>
    <w:p w:rsidR="0072219F" w:rsidRDefault="0072219F">
      <w:pPr>
        <w:pStyle w:val="4"/>
        <w:ind w:left="100" w:right="100" w:firstLine="612"/>
        <w:rPr>
          <w:rFonts w:ascii="Verdana" w:hAnsi="Verdana"/>
          <w:color w:val="000000"/>
          <w:sz w:val="18"/>
        </w:rPr>
      </w:pPr>
      <w:r>
        <w:rPr>
          <w:rFonts w:ascii="Verdana" w:hAnsi="Verdana"/>
          <w:color w:val="000000"/>
          <w:sz w:val="18"/>
        </w:rPr>
        <w:t>Развитие Ваших перспектив в управлении риском</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Как вы увидели из предыдущего раздела, большинство ошибок появляется, когда инвесторы фокусируют свое внимание на одном из элементов риска и пренебрегают общей картиной, особенно картиной их собственной ситуации. Как, тогда, инвестор может четко представить себе эту общую картину? Лучше всего было бы начать с рассмотрения некоторых основных элементов, используемых Вами при развитии инвестиционного плана: Вашей цели и временного фактора. </w:t>
      </w:r>
    </w:p>
    <w:p w:rsidR="0072219F" w:rsidRDefault="0072219F">
      <w:pPr>
        <w:pStyle w:val="5"/>
        <w:ind w:left="100" w:right="100" w:firstLine="612"/>
        <w:rPr>
          <w:rFonts w:ascii="Verdana" w:hAnsi="Verdana"/>
          <w:color w:val="000000"/>
          <w:sz w:val="18"/>
        </w:rPr>
      </w:pPr>
      <w:r>
        <w:rPr>
          <w:rFonts w:ascii="Verdana" w:hAnsi="Verdana"/>
          <w:color w:val="000000"/>
          <w:sz w:val="18"/>
        </w:rPr>
        <w:t>Что такое риск?</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Одной из причин, по которой риск является столь проблематичным фактором для инвесторов, является то, что его трудно охарактеризовать. По сути, что-либо, что влияет на Ваш капитал не в том направлении, которое Вы планировали, называется риском. Он включает факторы, которые уменьшают его значение, а, также, факторы, которые могли бы предотвратить его увеличения для достижения Ваших целей.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А как измерить степень риска? Волатильностью, определенной оценкой с помощью пяти-бальной системы? Проблема заключается в том, что риск не измеряется ни в каких единицах.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Несмотря на это, существует несколько видов риска: </w:t>
      </w:r>
    </w:p>
    <w:p w:rsidR="0072219F" w:rsidRDefault="0072219F">
      <w:pPr>
        <w:numPr>
          <w:ilvl w:val="0"/>
          <w:numId w:val="2"/>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рыночный риск – это риск, что цена ценной бумаги повысится или упадет под влиянием меняющихся экономических, политических или рыночных условий, либо из-за индивидуальной ситуации компании </w:t>
      </w:r>
    </w:p>
    <w:p w:rsidR="0072219F" w:rsidRDefault="0072219F">
      <w:pPr>
        <w:numPr>
          <w:ilvl w:val="0"/>
          <w:numId w:val="2"/>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инфляционный риск – это риск, что Ваш возвратный капитал будет меньше или будет отличаться от ожидаемого из-за общего эффекта инфляции </w:t>
      </w:r>
    </w:p>
    <w:p w:rsidR="0072219F" w:rsidRDefault="0072219F">
      <w:pPr>
        <w:numPr>
          <w:ilvl w:val="0"/>
          <w:numId w:val="2"/>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кредитный риск – это риск, что эмитент облигаций может изменить основную сумму ценной бумаги или процентные выплаты </w:t>
      </w:r>
    </w:p>
    <w:p w:rsidR="0072219F" w:rsidRDefault="0072219F">
      <w:pPr>
        <w:numPr>
          <w:ilvl w:val="0"/>
          <w:numId w:val="2"/>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валютный риск – это риск, что движения на биржах могут изменить стоимость в долларах ваших внешних инвестиций </w:t>
      </w:r>
    </w:p>
    <w:p w:rsidR="0072219F" w:rsidRDefault="0072219F">
      <w:pPr>
        <w:numPr>
          <w:ilvl w:val="0"/>
          <w:numId w:val="2"/>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риск процентных ставок – это риск, что процентные ставки повысятся, и цены на облигации понизятся, понижая стоимость ваших инвестиций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Если у Вас долгосрочные цели, Вы хотите, чтобы Ваш капитал рос. Если вы используете краткосрочные инвестиции, Вы, вероятно, хотите убедится, что не проиграли в стоимости того, что имеете. При инвестировании дохода Вам необходимо убедится, что Ваши деньги обеспечат адекватный доход так долго, как Вам понадобится. Каждая из этих стратегий чувствительна к разным видам риска. Рассматривая виды риска в Вашей инвестиционной ситуации, Вы можете начать улавливать то, как следует управлять этим риском по мере того, как Вы создаете свой инвестиционный портфель и управляете им.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Первый шаг – это принятие во внимание четырех главных факторов при развитии персональных перспектив управления риском: </w:t>
      </w:r>
    </w:p>
    <w:p w:rsidR="0072219F" w:rsidRDefault="0072219F">
      <w:pPr>
        <w:numPr>
          <w:ilvl w:val="0"/>
          <w:numId w:val="3"/>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Временная чувствительность: насколько решающим является приобретение инструментов в ограниченный и конкретный отрезок времени </w:t>
      </w:r>
    </w:p>
    <w:p w:rsidR="0072219F" w:rsidRDefault="0072219F">
      <w:pPr>
        <w:numPr>
          <w:ilvl w:val="0"/>
          <w:numId w:val="3"/>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Целевая чувствительность: степень уверенности в Ваших инвестициях для достижения цели </w:t>
      </w:r>
    </w:p>
    <w:p w:rsidR="0072219F" w:rsidRDefault="0072219F">
      <w:pPr>
        <w:numPr>
          <w:ilvl w:val="0"/>
          <w:numId w:val="3"/>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Финансовая чувствительность: Ваша уязвимость по отношению к финансовым стрессам в течение инвестиционного периода </w:t>
      </w:r>
    </w:p>
    <w:p w:rsidR="0072219F" w:rsidRDefault="0072219F">
      <w:pPr>
        <w:numPr>
          <w:ilvl w:val="0"/>
          <w:numId w:val="3"/>
        </w:numPr>
        <w:spacing w:before="100" w:beforeAutospacing="1" w:after="100" w:afterAutospacing="1"/>
        <w:ind w:left="820" w:right="100"/>
        <w:rPr>
          <w:rFonts w:ascii="Verdana" w:hAnsi="Verdana"/>
          <w:color w:val="000000"/>
          <w:sz w:val="18"/>
          <w:szCs w:val="20"/>
        </w:rPr>
      </w:pPr>
      <w:r>
        <w:rPr>
          <w:rFonts w:ascii="Verdana" w:hAnsi="Verdana"/>
          <w:color w:val="000000"/>
          <w:sz w:val="18"/>
          <w:szCs w:val="20"/>
        </w:rPr>
        <w:t xml:space="preserve">Психологическая чувствительность: Ваше личное отношение к риску и вознаграждению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Вы, вероятно, заметили, как это относится к выбору инвестиций, но это также стоит изучения с точки зрения риска.</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0" type="#_x0000_t75" style="width:375pt;height:138.75pt">
            <v:imagedata r:id="rId12"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Временная чувствительность основана на выбранном Вами промежутке времени. У инвесторов с долгосрочными инвестициями временная чувствительность меньше, так как у них больше возможностей получения прибыли. При этом не имеет значения, как колебалась стоимость их портфеля за установленный промежуток времени.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Краткосрочные инвесторы больше подвержены временной чувствительности, так как им нужны инвестиции, которые были бы более предсказуемы и стабильны за ограниченный промежуток времени.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Целевая чувствительность это когда Вы задаете себе вопрос, «Каким образом и насколько достижение цели зависит от капитала?» Например, если Вы инвестируете для получения дополнительного дохода для отставки, в то время как он уже вполне обеспечен пенсией и другими ресурсами, то у Вас низкий уровень целевой чувствительности. Деньги, которые Вы инвестируете, изменяют качество Вашей отставки, но не определяют, уйдете Вы в отставку или нет. С другой стороны, если Вы рассчитываете, что инвестиции покроют большую часть расходов, когда Вы будете в отставке, становится очень важным то, как Вы распределите инвестиции. Первоначально, вы можете подумать, что чем больше Ваша целевая чувствительность, тем больше консервативным Вам следует быть в выборе инвестиций. Но это является правдой, только если Ваш финансовый план строится на консервативных инвестициях. В общем, целевая чувствительность должна быть индикатором важности соответствия инвестиций с целями и временным периодом. Если Вы действительно рассчитываете на финансовую поддержку сбережений, и это является Вашей целью, то Вы непременно захотите убедиться, что правильно распределили инвестиции.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Финансовая чувствительность определяет насколько сильный финансовый стресс пережила Ваша семья перед тем, как Вы начали вкладывать сбережения. Финансовую чувствительность трудно измерить, но можно нарисовать ее общую картину посредством изучения нескольких факторов. Большие долговые обязательства (такие как закладные и долговые платежи) могут увеличить Вашу чувствительность по отношению к доходу, а также, колебания в зарплате, неопределенные ожидания будущего дохода, недостаток адекватных фондов на случай необходимости. Число зависящих факторов также может влиять на чувствительность.</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1" type="#_x0000_t75" style="width:375pt;height:186pt">
            <v:imagedata r:id="rId13"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График 6: показывает влияние прерывания долгосрочного инвестирования для удовлетворения незапланированных потребностей (оплата обучения в колледже). Оба гипотетические инвесторы первоначально вложили $10,000 на период 30 лет, и оба получали $2,000 ежегодно.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Неуверенность и непредсказуемость потребностей – это не единственная причина финансовой чувствительности. Отсутствие четкого финансового плана может привести к неожиданному появлению ожидаемых расходов и разрушить финансовую безопасность. График 6 показывает обычный пример: родители помогают заплатить ребенку за обучение из своих сбережений. В связи с этим возникают три проблемы: активы сбережений родителей уменьшаются, их план ухода в отставку нарушен, и они вынуждены преждевременно ликвидировать долгосрочные инвестиции, что может означать их продажу на рынке в неблагоприятное время. Таким образом, принимая решение об инвестициях, необходимо смотреть на полную картину, чтобы знать о своих слабых моментах.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Психологическая чувствительность, или «неохота принятие риска», часто является самым сложным элементом при оценке. У каждого свое отношение к риску; ключевым моментом является определение соответствия Вашего отношения к реальности. </w:t>
      </w: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95"/>
        <w:gridCol w:w="1408"/>
        <w:gridCol w:w="1412"/>
        <w:gridCol w:w="1713"/>
        <w:gridCol w:w="1587"/>
        <w:gridCol w:w="1460"/>
      </w:tblGrid>
      <w:tr w:rsidR="0072219F">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hAnsi="Symbol"/>
                <w:color w:val="000000"/>
                <w:sz w:val="18"/>
              </w:rPr>
              <w:t></w:t>
            </w:r>
            <w:r>
              <w:rPr>
                <w:color w:val="000000"/>
                <w:sz w:val="18"/>
              </w:rPr>
              <w:t xml:space="preserve">  </w:t>
            </w:r>
            <w:r>
              <w:rPr>
                <w:rFonts w:ascii="Verdana" w:hAnsi="Verdana"/>
                <w:b/>
                <w:bCs/>
                <w:color w:val="000000"/>
                <w:sz w:val="18"/>
                <w:szCs w:val="20"/>
              </w:rPr>
              <w:t xml:space="preserve">Как работали акции, государственные облигации и </w:t>
            </w:r>
            <w:r>
              <w:rPr>
                <w:rFonts w:ascii="Verdana" w:hAnsi="Verdana"/>
                <w:b/>
                <w:bCs/>
                <w:color w:val="000000"/>
                <w:sz w:val="18"/>
                <w:szCs w:val="20"/>
              </w:rPr>
              <w:br/>
              <w:t>казначейские билеты</w:t>
            </w:r>
          </w:p>
        </w:tc>
      </w:tr>
      <w:tr w:rsidR="007221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color w:val="000000"/>
                <w:sz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Худший годовой возврат</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Лучший годовой возврат</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Количество худших годов</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Средняя потеря за худший год</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center"/>
              <w:rPr>
                <w:rFonts w:ascii="Verdana" w:hAnsi="Verdana"/>
                <w:color w:val="000000"/>
                <w:sz w:val="18"/>
              </w:rPr>
            </w:pPr>
            <w:r>
              <w:rPr>
                <w:rFonts w:ascii="Verdana" w:hAnsi="Verdana"/>
                <w:b/>
                <w:bCs/>
                <w:color w:val="000000"/>
                <w:sz w:val="18"/>
                <w:szCs w:val="20"/>
              </w:rPr>
              <w:t xml:space="preserve">Средний годовой возврат </w:t>
            </w:r>
          </w:p>
        </w:tc>
      </w:tr>
      <w:tr w:rsidR="007221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Акции</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-43.3</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54.0</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 xml:space="preserve">-12.3 </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 xml:space="preserve">10.5 </w:t>
            </w:r>
          </w:p>
        </w:tc>
      </w:tr>
      <w:tr w:rsidR="007221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Гос. Облигации</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-9.2</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40.4</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-3.2</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 xml:space="preserve">5.2 </w:t>
            </w:r>
          </w:p>
        </w:tc>
      </w:tr>
      <w:tr w:rsidR="007221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rPr>
                <w:rFonts w:ascii="Verdana" w:hAnsi="Verdana"/>
                <w:color w:val="000000"/>
                <w:sz w:val="18"/>
              </w:rPr>
            </w:pPr>
            <w:r>
              <w:rPr>
                <w:rFonts w:ascii="Verdana" w:hAnsi="Verdana"/>
                <w:b/>
                <w:bCs/>
                <w:color w:val="000000"/>
                <w:sz w:val="18"/>
                <w:szCs w:val="20"/>
              </w:rPr>
              <w:t>Казначейские билеты</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0</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14.7</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rPr>
            </w:pPr>
            <w:r>
              <w:rPr>
                <w:rFonts w:ascii="Verdana" w:hAnsi="Verdana"/>
                <w:color w:val="000000"/>
                <w:sz w:val="18"/>
                <w:szCs w:val="20"/>
              </w:rPr>
              <w:t>0</w:t>
            </w:r>
          </w:p>
        </w:tc>
        <w:tc>
          <w:tcPr>
            <w:tcW w:w="0" w:type="auto"/>
            <w:tcBorders>
              <w:top w:val="outset" w:sz="6" w:space="0" w:color="auto"/>
              <w:left w:val="outset" w:sz="6" w:space="0" w:color="auto"/>
              <w:bottom w:val="outset" w:sz="6" w:space="0" w:color="auto"/>
              <w:right w:val="outset" w:sz="6" w:space="0" w:color="auto"/>
            </w:tcBorders>
            <w:vAlign w:val="center"/>
          </w:tcPr>
          <w:p w:rsidR="0072219F" w:rsidRDefault="0072219F">
            <w:pPr>
              <w:jc w:val="right"/>
              <w:rPr>
                <w:rFonts w:ascii="Verdana" w:hAnsi="Verdana"/>
                <w:color w:val="000000"/>
                <w:sz w:val="18"/>
                <w:szCs w:val="20"/>
              </w:rPr>
            </w:pPr>
            <w:r>
              <w:rPr>
                <w:rFonts w:ascii="Verdana" w:hAnsi="Verdana"/>
                <w:color w:val="000000"/>
                <w:sz w:val="18"/>
                <w:szCs w:val="20"/>
              </w:rPr>
              <w:t xml:space="preserve">3.7 </w:t>
            </w:r>
          </w:p>
        </w:tc>
      </w:tr>
    </w:tbl>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Эта таблица показывает историческое поведение акций, государственных облигаций, обязательств и американских казначейских билетов за период с 1926 по 1995 год. Прошлые данные не гарантируют похожих результатов в будущем.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Исследование инвестиционной компании показывает, что чем лучше проинформированы инвесторы, тем более агрессивно они пытаются инвестировать, даже при нормальной волатильности рынка – частично из-за того, что они ожидают волатильность.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Таблица показывает реальность риска и возвратов трех основных активов.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Если вы видите, что Выше отношение к риску заставляет Вас подводить долгосрочное инвестирование под краткосрочные стандарты, пришло время переоценить Ваши взгляды, вместо того, чтобы просто следовать им. </w:t>
      </w:r>
    </w:p>
    <w:p w:rsidR="0072219F" w:rsidRDefault="0072219F">
      <w:pPr>
        <w:pStyle w:val="5"/>
        <w:ind w:left="100" w:right="100" w:firstLine="612"/>
        <w:rPr>
          <w:rFonts w:ascii="Verdana" w:hAnsi="Verdana"/>
          <w:color w:val="000000"/>
          <w:sz w:val="18"/>
        </w:rPr>
      </w:pPr>
      <w:r>
        <w:rPr>
          <w:rFonts w:ascii="Verdana" w:hAnsi="Verdana"/>
          <w:color w:val="000000"/>
          <w:sz w:val="18"/>
        </w:rPr>
        <w:t>Суммирование всех факторов одновременно</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Принимая во внимания четыре фактора, описанные в этом разделе, и применяя их к своей ситуации, Вы можете выбрать перспективу риска, которая поможет Вам решить какие шаги в управлении риском являются наиболее подходящими.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Для начала Вам следует обратить внимание на временную и целевую чувствительность. Эти факторы являются самыми важными в общей картине управления риском. У большинства людей очень относительная свобода действий при планировке таких событий как отставка, оплата обучения ребенка, и очень небольшая возможность снизить связанные с этим затраты без негативных последствий. Отнеситесь к этим факторам с наибольшим вниманием.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Ваша временная чувствительность может указать насколько агрессивным или консервативным должен быть Ваш инвестиционный портфель. Ваша целевая чувствительность может указать на важность следования за определенным типом портфеля.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Затем, обратите внимание на менее важные факторы: финансовую и психологическую чувствительность. Если уровень одной из них высокий, Вы, возможно, решите немного отклонится от запланированного портфеля. Таким образом, если Вам придется вернуть денежные ресурсы раньше, чем планировалось Вы сможете изъять их из более консервативных инвестиций портфеля. А если Вы сталкиваетесь с периодом рыночной волатильности, которая выводит Вас из психологического равновесия, консервативные инвестиции способствуют смягчению общего эффекта на Ваш портфель. </w:t>
      </w:r>
    </w:p>
    <w:p w:rsidR="0072219F" w:rsidRDefault="0072219F">
      <w:pPr>
        <w:pStyle w:val="5"/>
        <w:ind w:left="100" w:right="100" w:firstLine="612"/>
        <w:rPr>
          <w:rFonts w:ascii="Verdana" w:hAnsi="Verdana"/>
          <w:color w:val="000000"/>
          <w:sz w:val="18"/>
        </w:rPr>
      </w:pPr>
      <w:r>
        <w:rPr>
          <w:rFonts w:ascii="Verdana" w:hAnsi="Verdana"/>
          <w:color w:val="000000"/>
          <w:sz w:val="18"/>
        </w:rPr>
        <w:t>«Как я могу следовать плану, если в этом году я уже потерял 7%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Понятие о том, что волатильность является фактором не первой важности, выходит за пределы здравого смысла. В общем, трудно принять то, что вы находитесь на правильном пути, если Вы потеряли 7 % за последние 12 месяцев.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Может оказаться очень полезным, если Вы рассмотрите свою ситуацию в разрезе путешествий. Если Ваша цель добраться из точки А в точку Б, то кратчайший путь – прямая линия. Но обычно, дорога от А до Б – не прямая линия. Могут быть даже такие моменты, когда дорога ведет в совершенно противоположную сторону. Однако именно такой маршрут – самый быстрый способ добраться до Б.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Возможно, если бы Вы шли пешком, Вы бы могли следовать прямому курсу. В этом случае Вы бы знали, что каждый сделанный шаг ведет Вас в верном направлении. Но доберетесь ли Вы до назначенного места также быстро? Нет, если только это не короткое расстояние. </w:t>
      </w:r>
    </w:p>
    <w:p w:rsidR="0072219F" w:rsidRDefault="0072219F">
      <w:pPr>
        <w:pStyle w:val="5"/>
        <w:ind w:left="100" w:right="100" w:firstLine="612"/>
        <w:rPr>
          <w:rFonts w:ascii="Verdana" w:hAnsi="Verdana"/>
          <w:color w:val="000000"/>
          <w:sz w:val="18"/>
        </w:rPr>
      </w:pPr>
      <w:r>
        <w:rPr>
          <w:rFonts w:ascii="Verdana" w:hAnsi="Verdana"/>
          <w:color w:val="000000"/>
          <w:sz w:val="18"/>
        </w:rPr>
        <w:t>Когда наступает время менять инвестиции?</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Каждому инвестору знакомо чувство непреодолимого желания изменить набор инвестиций. Часто, это возникает при появлении волатильности, подробно здесь описанной. Однако волатильность сама по себе не является стоящей причиной перемен, как Вы увидите дальше. Решение продавать должно быть проанализировано также тщательно, как и решение покупать.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Далее следуют три случая, при которых советуется изменить инвестиции: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1. Плохие или низкие результаты.</w:t>
      </w:r>
      <w:r>
        <w:rPr>
          <w:rFonts w:ascii="Verdana" w:hAnsi="Verdana"/>
          <w:color w:val="000000"/>
          <w:sz w:val="18"/>
          <w:szCs w:val="20"/>
        </w:rPr>
        <w:t xml:space="preserve"> Определение степени качества результатов зависит от контекста инвестиций.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Если основная причина волатильность, проверьте, соответствует ли она ожидаемой. (Стандартное и бета отклонение – два способа проверки краткосрочной волатильности. Для получения более подробной информации, смотрите следующие разделы). Так как более высокий уровень беспокойства в рамках краткосрочного периода в основном связан с более высокими прибылями в долгосрочный период, убедитесь, что Вы не продаете потенциально прибыльные инструменты просто потому, что они связаны с ожидаемой волатильностью.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Затем, сравните результаты инвестирования с изменениями на соответствующем рынке. Широкомасштабный акционерный фонд, упавший на 6%, в то время как рынок упал на 5 % не обязательно показывает плохие результаты, особенно если в среднем он поднимается на 6 % когда рынок поднимается на 5 %. Более консервативный акционерный фонд может упасть только на 3 % при идентичных условиях, но, в то же время, вряд ли «переиграет» рынок сверху.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Третий шаг – это сравнение результатов однородных инвестиций. Принесло ли большинство остальных ценных бумаг или взаимных фондов больше прибыли, или меньше убытка? Произошло ли это за значительный период времени (для акционерного фонда, чем больше лет, тем лучше)? Если у Вас инвестиция, которая приносила желательные результаты в своей категории три года подряд, то, несомненно, стоит торговать ею и в дальнейшем. Но если Вы не можете найти закономерность в прибыльности инвестиции, то вам лучше не заниматься ею вообще.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Часть проблемы с волатильностью заключается в том, что многие инвесторы не знают чего им ожидать. Хотя волатильность непросто измерить, стандартное и бета отклонение – два способа измерения краткосрочной волатильности применительно к акционерным фондам. Любой из этих способов помогают при реальной проверке оценки инвестирования рынка акций.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2. Изменение ситуации/целей.</w:t>
      </w:r>
      <w:r>
        <w:rPr>
          <w:rFonts w:ascii="Verdana" w:hAnsi="Verdana"/>
          <w:color w:val="000000"/>
          <w:sz w:val="18"/>
          <w:szCs w:val="20"/>
        </w:rPr>
        <w:t xml:space="preserve"> Этот пункт включает в себя изменение Вашей текущей финансовой или налоговой безопасности, изменениях в расходах, или вообще любые изменения, связанные со временем. Например, со временем, агрессивные инвестиции Вашего портфеля могут расти быстрее, чем консервативные, нарушая баланс Вашего портфеля. Также, двигаясь к намеченной цели, может сокращаться срок инвестирования и Вы, возможно, захотите иметь более консервативный набор инвестиций.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Очевидным является то, что изменения хороши, когда они упорядочены. Постарайтесь не допустить того, чтобы коррекции на рынке акций были толчком резкого сдвига в распределении Ваших активов. Правда рынок может пойти вниз и дальше, и Вы сможете предотвратить уменьшение в Ваших активах. Но он также может и стабилизироваться: при этом Вы останетесь в проигрыше.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Что касается достижения цели, рассчитывайте на сдвиги в активах связанные с более агрессивными инвестициями, а не с более консервативными. При такой долгосрочной цели как отставка, Вы, возможно, захотите начать на 15 лет раньше даты Вашей отставки. Одной из техник балансирования портфеля – «чехарда», или ликвидация наиболее агрессивных инвестиций и вкладывание денег в новые, более консервативный. Это позволяет Вам добиться максимального сдвига в балансе при минимальном проценте измененных активов.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Другая техника – «направленное распределение»: вместо того, чтобы реинвестировать каждое распределение, вызванное соответствующей инвестицией, используйте его для покупки акций более консервативных инструментов. Это постепенно приведет к сдвигу нагрузки в более консервативную сторону.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3. Беспокойство.</w:t>
      </w:r>
      <w:r>
        <w:rPr>
          <w:rFonts w:ascii="Verdana" w:hAnsi="Verdana"/>
          <w:color w:val="000000"/>
          <w:sz w:val="18"/>
          <w:szCs w:val="20"/>
        </w:rPr>
        <w:t xml:space="preserve"> Если инвестиция вызывает у Вас нежелательный дискомфорт, то, возможно, правильнее будет продать ее. Не пытайтесь навесить на себя слишком много – в любом портфеле, за определенный промежуток времени, всегда найдется инвестиция, которая принесла больше прибыли, чем остальные, и инвестиция, которая принесла убытки. Запомните эффект изменения инвестиций на общий баланс Вашего портфеля. Обдумайте решение, пересмотрите факты, и сделайте ход. В конце концов, каждому инвестору необходимо полное удовлетворение набором инвестиционного портфеля. </w:t>
      </w:r>
    </w:p>
    <w:p w:rsidR="0072219F" w:rsidRDefault="0072219F">
      <w:pPr>
        <w:pStyle w:val="5"/>
        <w:ind w:left="100" w:right="100" w:firstLine="612"/>
        <w:rPr>
          <w:rFonts w:ascii="Verdana" w:hAnsi="Verdana"/>
          <w:color w:val="000000"/>
          <w:sz w:val="18"/>
        </w:rPr>
      </w:pPr>
      <w:r>
        <w:rPr>
          <w:rFonts w:ascii="Verdana" w:hAnsi="Verdana"/>
          <w:color w:val="000000"/>
          <w:sz w:val="18"/>
        </w:rPr>
        <w:t>7.Способы измерения волатильности</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Бета отклонение – это один из способов измерения чувствительности Вашего портфеля к движениям рынка. Другими словами, для данной инвестиции, бета отклонение отвечает на вопрос, «Насколько изменились результаты этой инвестиции с движением на рынке?» Бета отклонение – это коэффициент колебаний предыдущей цены портфеля по сравнению с колебаниями контрольной точки индекса. Бета отклонение может быть подсчитано с помощью результативных данных за любой промежуток времени. Например, бета отклонения взаимного фонда может быть рассчитана на основе возвратов за последние 36 месяцев. Бета отклонения контрольной точки индекса , S&amp;P 500 или какого-либо другого индекса, принимается за 1.0. бета отклонения фонда меньше чем 1.0 указывает на то, что портфель менее чувствителен к колебаниям на рынке относительно индекса, в то время как бета больше 1.0 указывает на более высокую чувствительность портфеля к изменениям на рынке.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Каждое бета отклонение имеет свою цифру R2 означающую: измерение того, насколько близко результаты портфеля соответствуют результатам контрольной точки индекса. Значение R2 равное 1.00 означает полное соответствие, что означает, что все колебания фонда объясняются колебаниями индекса, в то время как значение R2 равное 0.00 означает полное несоответствие. Очевидно, что чем ниже R2, тем сильнее меняются результаты фонда, связанные с любыми факторами, кроме рыночных.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Среднеквадратичное отклонение – это статистическая оценка того, насколько месячный возврат фонда отклонился от среднего возврата за определенный период времени. Другими словами, среднеквадратичное отклонение измеряет дисперсию периодических возвратов фонда (часто основанную на вариации месячных возвратов за период 36 месяцев). Чем шире дисперсия, тем больше стандартное отклонение. Так как среднеквадратичное отклонение не связано с индексами, оно является независимым измерением волатильности.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Как пример, предположим, что у двух фондов одинаковый средний месячный возврат равный 5.0 %, среднеквадратичное отклонение фонда А – 3.0, а фонда Б – 5.0. Как Вы видите из иллюстрации, диапазон возвратов фонда А оставался в пределах 2.0 % – 8.0 % большую часть времени, а месячные возвраты фонда Б колебались от 0.0 % до 10.0 % большую часть времени. У фонда с более высоким средним квадратичным отклонением (фонда Б) колебания были значительно больше за тот же период времени.</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2" type="#_x0000_t75" style="width:187.5pt;height:143.25pt">
            <v:imagedata r:id="rId14"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Для того чтобы определить степень отклонения реальных возвратов от средних, мы уделяем основное внимание той области, в которой произошла основная часть возвратов. В соответствии с законами статистики, шанс того, что возвраты фонда за данный месяц будут отличаться от его среднего месячного возврата плюс-минус одно стандартное отклонение, равен 67%; в 95% случаев отличие будет равно двум отклонениям. Другими словами, в 67% случаев возврат фонда А падал в диапазоне 2.0% – 8.0% (5.0% ? 3.0%), а в 95% случаев он падал в диапазоне от –1% до 11% (5.0% ? 6.0%).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Среднее квадратичное, или стандартное, отклонение является индикатором вероятности, а не экономического прогноза. Однако, изучая историческое среднее квадратичное отклонение наряду с историческими возвратами, Вы можете определить, будет ли волатильность приемлемой для Вас принимая во внимания возвраты фонда.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Вы можете найти значения бета и стандартного отклонения в отчете взаимных фондов, составляемом независимым аналитиком, таким как Morningstar или в аналитических отчетах, предлагаемых компанией Lipper. Вы, возможно не найдете данных по фондам, которые просуществовали небольшой отрезок времени, или слишком незначительны для специального анализа аналитическими фирмами. </w:t>
      </w:r>
    </w:p>
    <w:p w:rsidR="0072219F" w:rsidRDefault="0072219F">
      <w:pPr>
        <w:pStyle w:val="5"/>
        <w:ind w:left="100" w:right="100" w:firstLine="612"/>
        <w:rPr>
          <w:rFonts w:ascii="Verdana" w:hAnsi="Verdana"/>
          <w:color w:val="000000"/>
          <w:sz w:val="18"/>
        </w:rPr>
      </w:pPr>
      <w:r>
        <w:rPr>
          <w:rFonts w:ascii="Verdana" w:hAnsi="Verdana"/>
          <w:color w:val="000000"/>
          <w:sz w:val="18"/>
        </w:rPr>
        <w:t>Ограничения использования бета и стандартного отклонения</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бета и стандартное отклонение основаны на измерении результатов в прошлом, они не определяют результаты или волатильность в будущем.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И бета и стандартное отклонение измеряют волатильность фонда за определенный промежуток времени (например, годовая ежемесячная волатильность за 3-х годовой период). Краткосрочная волатильность не является значащим показателем риска или стоящим индикатором более долгосрочной волатильности. К тому же, если Вы будете использовать годовую ежемесячную волатильность для сравнения с годовыми результатами фонда, то полученный Вами результат может переоценить годовую волатильность фонда.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бета отклонение измеряет чувствительность фонда относительно контрольной точки, то если фонд не очень соответствует этой точке (низкое значение R2) пригодность значения и ценность сравнения заметно снижаются. Например, у фонда может быть низкое бета отклонение относительно S&amp;P 500 из-за того, что на фонд больше влияют другие рынки. Важно также отметить, что сравнение бета отклонений с различными контрольными точками может привести к ложным выводам.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среднее квадратичное отклонение измеряет производительность фонда относительно самого себя, оно не сравнивает результаты деятельности фонда с контрольными показателями (хотя Вы можете сравнить стандартное отклонение фонда с соответствующим контрольным значением индекса). К тому же, фонды с одинаковым стандартным отклонением могут результировать совершенно по-разному. Также, фонд с последовательной производительностью (положительной или отрицательной) будет показывать более низкое стандартное отклонение, чем фонд с более разнообразными положительными результатами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у бета и стандартного отклонения есть свои ограничения, некоторые инвесторы пользуются ими для сравнения волатильности одного фонда с другим, а также для создания общей статистической картины (но не для экономических прогнозов) ожидаемого диапазона волатильности в будущем. </w:t>
      </w:r>
    </w:p>
    <w:p w:rsidR="0072219F" w:rsidRDefault="0072219F">
      <w:pPr>
        <w:pStyle w:val="5"/>
        <w:ind w:left="100" w:right="100" w:firstLine="612"/>
        <w:rPr>
          <w:rFonts w:ascii="Verdana" w:hAnsi="Verdana"/>
          <w:color w:val="000000"/>
          <w:sz w:val="18"/>
        </w:rPr>
      </w:pPr>
      <w:r>
        <w:rPr>
          <w:rFonts w:ascii="Verdana" w:hAnsi="Verdana"/>
          <w:color w:val="000000"/>
          <w:sz w:val="18"/>
        </w:rPr>
        <w:t>Ограничения использования бета и стандартного отклонения</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бета и стандартное отклонение основаны на измерении результатов в прошлом, они не определяют результаты или волатильность в будущем.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И бета и стандартное отклонение измеряют волатильность фонда за определенный промежуток времени (например, годовая ежемесячная волатильность за 3-х годовой период). Краткосрочная волатильность не является значащим показателем риска или стоящим индикатором более долгосрочной волатильности. К тому же, если Вы будете использовать годовую ежемесячную волатильность для сравнения с годовыми результатами фонда, то полученный Вами результат может переоценить годовую волатильность фонда.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бета отклонение измеряет чувствительность фонда относительно контрольной точки, то если фонд не очень соответствует этой точке (низкое значение R2) пригодность значения и ценность сравнения заметно снижаются. Например, у фонда может быть низкое бета отклонение относительно S&amp;P 500 из-за того, что на фонд больше влияют другие рынки. Важно также отметить, что сравнение бета отклонений с различными контрольными точками может привести к ложным выводам.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среднее квадратичное отклонение измеряет производительность фонда относительно самого себя, оно не сравнивает результаты деятельности фонда с контрольными показателями (хотя Вы можете сравнить стандартное отклонение фонда с соответствующим контрольным значением индекса). К тому же, фонды с одинаковым стандартным отклонением могут результировать совершенно по-разному. Также, фонд с последовательной производительностью (положительной или отрицательной) будет показывать более низкое стандартное отклонение, чем фонд с более разнообразными положительными результатами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у бета и стандартного отклонения есть свои ограничения, некоторые инвесторы пользуются ими для сравнения волатильности одного фонда с другим, а также для создания общей статистической картины (но не для экономических прогнозов) ожидаемого диапазона волатильности в будущем. </w:t>
      </w:r>
    </w:p>
    <w:p w:rsidR="0072219F" w:rsidRDefault="0072219F">
      <w:pPr>
        <w:pStyle w:val="4"/>
        <w:ind w:left="100" w:right="100" w:firstLine="612"/>
        <w:rPr>
          <w:rFonts w:ascii="Verdana" w:hAnsi="Verdana"/>
          <w:color w:val="000000"/>
          <w:sz w:val="18"/>
        </w:rPr>
      </w:pPr>
      <w:r>
        <w:rPr>
          <w:rFonts w:ascii="Verdana" w:hAnsi="Verdana"/>
          <w:color w:val="000000"/>
          <w:sz w:val="18"/>
        </w:rPr>
        <w:t>Стратегии управления риском</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Управление риском включает в себя два главных шага: определение перспектив риска на основании конкретной ситуации и затем составление стоящего финансового плана, который бы указывал на соответствующий набор инвестиций. Таким образом, управление риском связано с Вашим финансовым планированием, подбором и управлением портфеля. Это вполне логично – не можете же Вы вложить одни и те же средства в инвестиции и риск. Далее описаны несколько довольно эффективных стратегий управления риском: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1. Убедитесь в том, что Ваши перспективы совпадают со сроками.</w:t>
      </w:r>
      <w:r>
        <w:rPr>
          <w:rFonts w:ascii="Verdana" w:hAnsi="Verdana"/>
          <w:color w:val="000000"/>
          <w:sz w:val="18"/>
          <w:szCs w:val="20"/>
        </w:rPr>
        <w:t xml:space="preserve"> Это может показаться очевидным, но, как Вы могли заметить, многие инвесторы это опускают. Если у Вас долгосрочные цели, вам следует сфокусироваться на риске, возникающем при долгосрочном инвестировании: риск того, что Вы не достигнете своих целей из-за инфляции или незапланированных изменений набора инвестиций. Не подводите долгосрочные цели под краткосрочные критерии, волнуясь по поводу краткосрочной волатильности или приобретая текущие наиболее производительные фонды.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2. Используйте принципы распределения активов.</w:t>
      </w:r>
      <w:r>
        <w:rPr>
          <w:rFonts w:ascii="Verdana" w:hAnsi="Verdana"/>
          <w:color w:val="000000"/>
          <w:sz w:val="18"/>
          <w:szCs w:val="20"/>
        </w:rPr>
        <w:t xml:space="preserve"> При проектировании портфеля, распределение активов может быть важной стратегической частью. Это означает планирование Вашего портфеля наперед – определение, какую порцию Вы хотите задействовать в долгосрочное инвестирование, какую порцию в облигации и какую -- в акции. Разделяя портфель на три основные вида активов, вы понижаете свою подверженность риску со стороны любого из этих видов.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Выбранный Вами набор активов зависит от вашей чувствительности к риску и от периода времени. Чем дальше вы от намеченной цели, чем большую степень краткосрочного риска Вы принимаете, тем больший акцент Вам следует сделать на акции. Чем ближе Вы к цели, или чем меньшую степень риска Вы можете принять, тем больше внимание Вам следует уделить таким консервативным краткосрочным инструментам как облигации, депозитные сертификаты или инвестирование валютного рынка. Эта стратегия основана на предположении о том, что долгосрочная относительная производительность акций, облигаций и других краткосрочных инструментов не изменится и в будущем. </w:t>
      </w: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Далее вы увидите иллюстрации с примерами стратегий распределения активов при данных целях и временных рамках. Не забывайте, что эти примеры основаны на среднем человеке с указанными целями и временными периодами. Ваше собственное распределение активов может варьировать в зависимости от вашей индивидуальной ситуации, потребностей, целей и отношению к риску.</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3" type="#_x0000_t75" style="width:187.5pt;height:156pt">
            <v:imagedata r:id="rId15"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Портфель текущего дохода создается для тех инвесторов, главной целью которых является сохранение капитала. Он также подходит тем инвесторам, которым может понадобится доступ к инвестициям в ближайшие два года или которые не желают подвергать себя риску краткосрочных колебаний в стоимости.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Такой портфель планируется для стабильности и сохранения основной суммы вкладов в краткосрочные инвестиции. В конечном итоге, он не предусматривает эффекты инфляции.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4" type="#_x0000_t75" style="width:187.5pt;height:179.25pt">
            <v:imagedata r:id="rId16"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Портфель сохранения капитала создается для тех инвесторов, главной целью которых является сохранение капитала и защита от эффектов инфляции. Он наиболее подходит тем, кто располагает сроком от 2-х до 4-х лет или не может подвергать себя риску краткосрочных колебаний в стоимости.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Основная часть портфеля относится к краткосрочным инструментам для стабильности и сохранения основной суммы вкладов в краткосрочные инвестиции. Компонент облигаций предоставляет возможность более высокой прибыли, чем просто краткосрочные инвестиции, а инвестирование акций обеспечивает потенциал роста и готовность к темпам инфляции.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5" type="#_x0000_t75" style="width:187.5pt;height:171pt">
            <v:imagedata r:id="rId17"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Портфель умеренного роста подходит тем инвесторам, которые стремятся к балансу стабильности и роста наряду с защитой от инфляции. Он подойдет тем, кто располагает сроком от 4-х до 7-ми лет и может подвергать себя некоторому риску краткосрочных колебаний в стоимости.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Часть портфеля, занимаемая акциями, гарантирует потенциал роста более быстрый, чем рост уровня инфляции со временем, но включает некоторые краткосрочные колебания в стоимости. Часть портфеля, занимаемая облигациями и краткосрочными ценными бумагами, обеспечивает сглаживание таких скачков и падений.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6" type="#_x0000_t75" style="width:187.5pt;height:167.25pt">
            <v:imagedata r:id="rId18"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Портфель приумножения капитала подходит для инвесторов с долгосрочными целями, которые стремятся увеличить стоимость сбережений со временем и защитить капитал от эффектов инфляции. Он подойдет тем, кто располагает сроком от 7-ми до 10-ти лет и может принять краткосрочные колебания в стоимости. </w:t>
      </w: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он фокусируется на акциях, то его потенциал роста более быстрый, чем рост уровня инфляции со временем. Однако общая стоимость портфеля может колебаться в краткосрочных периодах. Часть, занимаемая облигациями, обеспечивает сглаживание этих скачков и падений. </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7" type="#_x0000_t75" style="width:187.5pt;height:134.25pt">
            <v:imagedata r:id="rId19"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Портфель агрессивного роста подходит для инвесторов с долгосрочными целями, которые стремятся максимизировать потенциал роста капитала со временем и защитить его от эффектов инфляции. Он подойдет тем, кто располагает сроком от 10-ти и более лет и может принять значительные краткосрочные колебания в стоимости.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Так как он фокусируется исключительно на акциях, то его потенциал роста более быстрый, чем рост уровня инфляции со временем. Однако общая стоимость портфеля может колебаться в краткосрочных периодах, так что инвесторы должны учитывать этот риск.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3. Используйте диверсификацию на всех уровнях.</w:t>
      </w:r>
      <w:r>
        <w:rPr>
          <w:rFonts w:ascii="Verdana" w:hAnsi="Verdana"/>
          <w:color w:val="000000"/>
          <w:sz w:val="18"/>
          <w:szCs w:val="20"/>
        </w:rPr>
        <w:t xml:space="preserve"> Одним из видов диверсификации является распределение активов, но вы также можете использовать диверсификацию внутри одного класса активов.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Запомните, что за диверсификацией стоит принцип, заключающийся в том, что на разные виды ценных бумаг влияют разные факторы, так что диверсификация внутри одного класса активов означает инвестирование различных видов ценных бумаг одного класса. Например, вместо того, чтобы подгонять все инвестиции акций под один акционерный фонд умеренного риска, Вы можете распределить их между фондом, требующим небольшого капитала и фондом, в который Вы вложили большой капитал. Или же Вы можете распределить их между фондом, который делает основное ударение на потенциал роста и фондом, который придает основное значение стоимости.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Учтите добавление международных фондов, так как некоторые страны находятся на совершенно различных стадиях экономического роста. Даже если индивидуальные элементы Вашего портфеля укажут на ту или иную степень волатильности, Ваш портфель, в общем, может иметь меньшую волатильность, если его компоненты колеблются под влиянием различных факторов, и Вам не придется жертвовать долгосрочными результатами.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Если в Вашем портфеле задействованы облигации, у вас есть несколько способов диверсификации: с помощью эмитента (государства, муниципальных органов и корпораций), времени (сроки платежей) и качества. Одна из стратегий диверсификации с помощью времени называется «запаздывание»: инвестирование облигаций с различными сроками выплаты. Запаздывание просто означает то, что Вы инвестируете деньги в различные облигации с различными сроками платежей – часто упорядоченными – так что фонды со временем могут быть реинвестированы. Запаздывание предлагает несколько положительных моментов: если процентные ставки повысятся, вы сможете избежать блокирование всех ваших средств в инвестициях на несколько лет. При оплате облигаций, Вы можете реинвестировать облигации под более высокие проценты. А если процентные ставки упадут, Вы будете защищены с помощью части портфеля, инвестированной под более высокие проценты.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4. Пересматривайте портфель по меньшей мере раз в год.</w:t>
      </w:r>
      <w:r>
        <w:rPr>
          <w:rFonts w:ascii="Verdana" w:hAnsi="Verdana"/>
          <w:color w:val="000000"/>
          <w:sz w:val="18"/>
          <w:szCs w:val="20"/>
        </w:rPr>
        <w:t xml:space="preserve"> Пересматривайте свои решения о распределении активов и регулируйте нагрузку в портфеле. К примеру, если Вы приближаетесь к истечению срока или если переменные результаты Вашего инвестирования произвели к нежелательным последствиям, Вы можете передвигать активы из одной сферы в другую для восстановления баланса. Но до тех пор, пока ваши цели и сроки не изменились, постарайтесь придерживаться первоначальной стратегии, в противном случае Вы можете столкнуться с более высокой степенью риска.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Если Вы чувствуете, что сдвиг на рынке продолжится, или если Вы внезапно изменили свои финансовые цели или условия, Вы можете регулировать портфель с большей периодичностью.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5. Используйте регулярное инвестирование.</w:t>
      </w:r>
      <w:r>
        <w:rPr>
          <w:rFonts w:ascii="Verdana" w:hAnsi="Verdana"/>
          <w:color w:val="000000"/>
          <w:sz w:val="18"/>
          <w:szCs w:val="20"/>
        </w:rPr>
        <w:t xml:space="preserve"> Вместо того чтобы инвестировать крупную сумму в конце года, инвестируйте одну двенадцатую этой суммы ежемесячно. Инвестируя одинаковое количество денег каждый месяц в один и тот же фонд, Вы потенциально можете со временем сократить средние расходы, приходящиеся на акцию. </w: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С другой стороны, если у Вас есть средства для инвестирования сегодня, нет никакого смысла дробить их на части целый год. Один из выходов – крупная инвестиция, или же стабильные инвестиции с небольшой периодичностью, например один раз в несколько месяцев.</w:t>
      </w: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8" type="#_x0000_t75" style="width:337.5pt;height:147.75pt">
            <v:imagedata r:id="rId20"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Перераспределите свой портфель, если окажется что Ваш старый набор больше не соответствует Вашей первоначальной стратегии. Этот пример использован только для наглядных целей. </w:t>
      </w:r>
    </w:p>
    <w:p w:rsidR="0072219F" w:rsidRDefault="0072219F">
      <w:pPr>
        <w:pStyle w:val="a3"/>
        <w:ind w:left="100" w:right="100" w:firstLine="612"/>
        <w:rPr>
          <w:rFonts w:ascii="Verdana" w:hAnsi="Verdana"/>
          <w:color w:val="000000"/>
          <w:sz w:val="18"/>
          <w:szCs w:val="20"/>
        </w:rPr>
      </w:pPr>
    </w:p>
    <w:p w:rsidR="0072219F" w:rsidRDefault="006A5A30">
      <w:pPr>
        <w:pStyle w:val="a3"/>
        <w:ind w:left="100" w:right="100" w:firstLine="612"/>
        <w:rPr>
          <w:rFonts w:ascii="Verdana" w:hAnsi="Verdana"/>
          <w:color w:val="000000"/>
          <w:sz w:val="18"/>
          <w:szCs w:val="20"/>
        </w:rPr>
      </w:pPr>
      <w:r>
        <w:rPr>
          <w:rFonts w:ascii="Verdana" w:hAnsi="Verdana"/>
          <w:color w:val="000000"/>
          <w:sz w:val="18"/>
          <w:szCs w:val="20"/>
        </w:rPr>
        <w:pict>
          <v:shape id="_x0000_i1039" type="#_x0000_t75" style="width:337.5pt;height:135.75pt">
            <v:imagedata r:id="rId21" o:title=""/>
          </v:shape>
        </w:pict>
      </w: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Этот график показывает эффекты реинвестированных дивидендов на стоимость гипотетической инвестиции равной $10,000, вложенной 20 лет назад 12/31/75. </w:t>
      </w:r>
    </w:p>
    <w:p w:rsidR="0072219F" w:rsidRDefault="0072219F">
      <w:pPr>
        <w:pStyle w:val="a3"/>
        <w:ind w:left="100" w:right="100" w:firstLine="612"/>
        <w:rPr>
          <w:rFonts w:ascii="Verdana" w:hAnsi="Verdana"/>
          <w:color w:val="000000"/>
          <w:sz w:val="18"/>
          <w:szCs w:val="20"/>
        </w:rPr>
      </w:pPr>
      <w:r>
        <w:rPr>
          <w:rFonts w:ascii="Verdana" w:hAnsi="Verdana"/>
          <w:b/>
          <w:bCs/>
          <w:color w:val="000000"/>
          <w:sz w:val="18"/>
          <w:szCs w:val="20"/>
        </w:rPr>
        <w:t>6. Реинвестируйте дивиденды и распределения фондов.</w:t>
      </w:r>
      <w:r>
        <w:rPr>
          <w:rFonts w:ascii="Verdana" w:hAnsi="Verdana"/>
          <w:color w:val="000000"/>
          <w:sz w:val="18"/>
          <w:szCs w:val="20"/>
        </w:rPr>
        <w:t xml:space="preserve"> Верьте этому или нет, но простое реинвестирование может колоссально увеличить прибыль, как показано на графике выше. Реинвестирование соединяется с возвратами, а это означает, что у Вас новый источник поступления средств на счет. </w:t>
      </w: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rPr>
          <w:rFonts w:ascii="Verdana" w:hAnsi="Verdana"/>
          <w:color w:val="000000"/>
          <w:sz w:val="18"/>
          <w:szCs w:val="20"/>
        </w:rPr>
      </w:pPr>
    </w:p>
    <w:p w:rsidR="0072219F" w:rsidRDefault="0072219F">
      <w:pPr>
        <w:pStyle w:val="a3"/>
        <w:ind w:left="100" w:right="100" w:firstLine="612"/>
        <w:jc w:val="center"/>
        <w:rPr>
          <w:rFonts w:ascii="Verdana" w:hAnsi="Verdana"/>
          <w:b/>
          <w:color w:val="000000"/>
          <w:sz w:val="18"/>
          <w:szCs w:val="20"/>
        </w:rPr>
      </w:pPr>
      <w:r>
        <w:rPr>
          <w:rFonts w:ascii="Verdana" w:hAnsi="Verdana"/>
          <w:b/>
          <w:color w:val="000000"/>
          <w:sz w:val="18"/>
          <w:szCs w:val="20"/>
        </w:rPr>
        <w:t>Список использованной литературы:</w:t>
      </w:r>
    </w:p>
    <w:p w:rsidR="0072219F" w:rsidRDefault="0072219F">
      <w:pPr>
        <w:pStyle w:val="a3"/>
        <w:ind w:left="100" w:right="100" w:firstLine="612"/>
        <w:jc w:val="center"/>
        <w:rPr>
          <w:rFonts w:ascii="Verdana" w:hAnsi="Verdana"/>
          <w:b/>
          <w:color w:val="000000"/>
          <w:sz w:val="18"/>
          <w:szCs w:val="20"/>
        </w:rPr>
      </w:pPr>
    </w:p>
    <w:p w:rsidR="0072219F" w:rsidRDefault="0072219F">
      <w:pPr>
        <w:pStyle w:val="a3"/>
        <w:ind w:left="100" w:right="100" w:firstLine="612"/>
        <w:jc w:val="center"/>
        <w:rPr>
          <w:rFonts w:ascii="Verdana" w:hAnsi="Verdana"/>
          <w:b/>
          <w:color w:val="000000"/>
          <w:sz w:val="18"/>
          <w:szCs w:val="20"/>
          <w:lang w:val="en-US"/>
        </w:rPr>
      </w:pPr>
    </w:p>
    <w:p w:rsidR="0072219F" w:rsidRDefault="0072219F">
      <w:pPr>
        <w:pStyle w:val="a3"/>
        <w:ind w:left="100" w:right="100" w:firstLine="612"/>
        <w:rPr>
          <w:rFonts w:ascii="Verdana" w:hAnsi="Verdana"/>
          <w:color w:val="000000"/>
          <w:sz w:val="18"/>
          <w:szCs w:val="20"/>
        </w:rPr>
      </w:pPr>
      <w:r>
        <w:rPr>
          <w:rFonts w:ascii="Verdana" w:hAnsi="Verdana"/>
          <w:color w:val="000000"/>
          <w:sz w:val="18"/>
          <w:szCs w:val="20"/>
        </w:rPr>
        <w:t xml:space="preserve">1.Материалы сайта </w:t>
      </w:r>
      <w:r w:rsidRPr="005766DA">
        <w:rPr>
          <w:rFonts w:ascii="Verdana" w:hAnsi="Verdana"/>
          <w:color w:val="000000"/>
          <w:sz w:val="18"/>
          <w:szCs w:val="20"/>
          <w:lang w:val="en-US"/>
        </w:rPr>
        <w:t>www</w:t>
      </w:r>
      <w:r w:rsidRPr="005766DA">
        <w:rPr>
          <w:rFonts w:ascii="Verdana" w:hAnsi="Verdana"/>
          <w:color w:val="000000"/>
          <w:sz w:val="18"/>
          <w:szCs w:val="20"/>
        </w:rPr>
        <w:t>.</w:t>
      </w:r>
      <w:r w:rsidRPr="005766DA">
        <w:rPr>
          <w:rFonts w:ascii="Verdana" w:hAnsi="Verdana"/>
          <w:color w:val="000000"/>
          <w:sz w:val="18"/>
          <w:szCs w:val="20"/>
          <w:lang w:val="en-US"/>
        </w:rPr>
        <w:t>forex</w:t>
      </w:r>
      <w:r w:rsidRPr="005766DA">
        <w:rPr>
          <w:rFonts w:ascii="Verdana" w:hAnsi="Verdana"/>
          <w:color w:val="000000"/>
          <w:sz w:val="18"/>
          <w:szCs w:val="20"/>
        </w:rPr>
        <w:t>-</w:t>
      </w:r>
      <w:r w:rsidRPr="005766DA">
        <w:rPr>
          <w:rFonts w:ascii="Verdana" w:hAnsi="Verdana"/>
          <w:color w:val="000000"/>
          <w:sz w:val="18"/>
          <w:szCs w:val="20"/>
          <w:lang w:val="en-US"/>
        </w:rPr>
        <w:t>kiev</w:t>
      </w:r>
      <w:r w:rsidRPr="005766DA">
        <w:rPr>
          <w:rFonts w:ascii="Verdana" w:hAnsi="Verdana"/>
          <w:color w:val="000000"/>
          <w:sz w:val="18"/>
          <w:szCs w:val="20"/>
        </w:rPr>
        <w:t>.</w:t>
      </w:r>
      <w:r w:rsidRPr="005766DA">
        <w:rPr>
          <w:rFonts w:ascii="Verdana" w:hAnsi="Verdana"/>
          <w:color w:val="000000"/>
          <w:sz w:val="18"/>
          <w:szCs w:val="20"/>
          <w:lang w:val="en-US"/>
        </w:rPr>
        <w:t>narod</w:t>
      </w:r>
      <w:r w:rsidRPr="005766DA">
        <w:rPr>
          <w:rFonts w:ascii="Verdana" w:hAnsi="Verdana"/>
          <w:color w:val="000000"/>
          <w:sz w:val="18"/>
          <w:szCs w:val="20"/>
        </w:rPr>
        <w:t>.</w:t>
      </w:r>
      <w:r w:rsidRPr="005766DA">
        <w:rPr>
          <w:rFonts w:ascii="Verdana" w:hAnsi="Verdana"/>
          <w:color w:val="000000"/>
          <w:sz w:val="18"/>
          <w:szCs w:val="20"/>
          <w:lang w:val="en-US"/>
        </w:rPr>
        <w:t>ru</w:t>
      </w:r>
    </w:p>
    <w:p w:rsidR="0072219F" w:rsidRDefault="0072219F">
      <w:pPr>
        <w:pStyle w:val="a3"/>
        <w:tabs>
          <w:tab w:val="left" w:pos="3660"/>
        </w:tabs>
        <w:ind w:left="100" w:right="100" w:firstLine="612"/>
        <w:rPr>
          <w:rFonts w:ascii="Verdana" w:hAnsi="Verdana"/>
          <w:i/>
          <w:iCs/>
          <w:color w:val="000000"/>
          <w:sz w:val="18"/>
          <w:szCs w:val="20"/>
        </w:rPr>
      </w:pPr>
      <w:r>
        <w:rPr>
          <w:color w:val="000000"/>
          <w:sz w:val="18"/>
        </w:rPr>
        <w:t>2.</w:t>
      </w:r>
      <w:r>
        <w:rPr>
          <w:rFonts w:ascii="Verdana" w:hAnsi="Verdana"/>
          <w:i/>
          <w:iCs/>
          <w:color w:val="000000"/>
          <w:sz w:val="18"/>
          <w:szCs w:val="20"/>
        </w:rPr>
        <w:t xml:space="preserve"> Джордж Р. Аррингтон (Публикации 2000)</w:t>
      </w:r>
    </w:p>
    <w:p w:rsidR="0072219F" w:rsidRDefault="0072219F">
      <w:pPr>
        <w:pStyle w:val="a3"/>
        <w:tabs>
          <w:tab w:val="left" w:pos="3660"/>
        </w:tabs>
        <w:ind w:left="100" w:right="100" w:firstLine="612"/>
        <w:rPr>
          <w:rFonts w:ascii="Verdana" w:hAnsi="Verdana"/>
          <w:i/>
          <w:iCs/>
          <w:color w:val="000000"/>
          <w:sz w:val="18"/>
          <w:szCs w:val="20"/>
        </w:rPr>
      </w:pPr>
      <w:r>
        <w:rPr>
          <w:color w:val="000000"/>
          <w:sz w:val="18"/>
        </w:rPr>
        <w:t>3.</w:t>
      </w:r>
      <w:r>
        <w:rPr>
          <w:rFonts w:ascii="Verdana" w:hAnsi="Verdana"/>
          <w:i/>
          <w:iCs/>
          <w:color w:val="000000"/>
          <w:sz w:val="18"/>
          <w:szCs w:val="20"/>
        </w:rPr>
        <w:t xml:space="preserve"> Михаил Чекулаев(Публикации 1999)</w:t>
      </w:r>
    </w:p>
    <w:p w:rsidR="0072219F" w:rsidRDefault="0072219F">
      <w:pPr>
        <w:pStyle w:val="a3"/>
        <w:tabs>
          <w:tab w:val="left" w:pos="3660"/>
        </w:tabs>
        <w:ind w:left="100" w:right="100" w:firstLine="612"/>
        <w:rPr>
          <w:color w:val="000000"/>
          <w:sz w:val="18"/>
        </w:rPr>
      </w:pPr>
      <w:r>
        <w:rPr>
          <w:color w:val="000000"/>
          <w:sz w:val="18"/>
        </w:rPr>
        <w:t>4.</w:t>
      </w:r>
      <w:r>
        <w:rPr>
          <w:rFonts w:ascii="Verdana" w:hAnsi="Verdana"/>
          <w:i/>
          <w:iCs/>
          <w:color w:val="000000"/>
          <w:sz w:val="18"/>
          <w:szCs w:val="20"/>
        </w:rPr>
        <w:t xml:space="preserve"> Андрей Кирсанов  -Инфо №13</w:t>
      </w:r>
      <w:bookmarkStart w:id="0" w:name="_GoBack"/>
      <w:bookmarkEnd w:id="0"/>
    </w:p>
    <w:sectPr w:rsidR="0072219F">
      <w:footerReference w:type="even"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9F" w:rsidRDefault="0072219F">
      <w:r>
        <w:separator/>
      </w:r>
    </w:p>
  </w:endnote>
  <w:endnote w:type="continuationSeparator" w:id="0">
    <w:p w:rsidR="0072219F" w:rsidRDefault="0072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9F" w:rsidRDefault="0072219F">
    <w:pPr>
      <w:pStyle w:val="a4"/>
      <w:framePr w:wrap="around" w:vAnchor="text" w:hAnchor="margin" w:xAlign="center" w:y="1"/>
      <w:rPr>
        <w:rStyle w:val="a5"/>
      </w:rPr>
    </w:pPr>
  </w:p>
  <w:p w:rsidR="0072219F" w:rsidRDefault="007221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9F" w:rsidRDefault="005766DA">
    <w:pPr>
      <w:pStyle w:val="a4"/>
      <w:framePr w:wrap="around" w:vAnchor="text" w:hAnchor="margin" w:xAlign="center" w:y="1"/>
      <w:rPr>
        <w:rStyle w:val="a5"/>
      </w:rPr>
    </w:pPr>
    <w:r>
      <w:rPr>
        <w:rStyle w:val="a5"/>
        <w:noProof/>
      </w:rPr>
      <w:t>3</w:t>
    </w:r>
  </w:p>
  <w:p w:rsidR="0072219F" w:rsidRDefault="00722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9F" w:rsidRDefault="0072219F">
      <w:r>
        <w:separator/>
      </w:r>
    </w:p>
  </w:footnote>
  <w:footnote w:type="continuationSeparator" w:id="0">
    <w:p w:rsidR="0072219F" w:rsidRDefault="0072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1CF6"/>
    <w:multiLevelType w:val="hybridMultilevel"/>
    <w:tmpl w:val="5F361DB4"/>
    <w:lvl w:ilvl="0" w:tplc="DF42A5DA">
      <w:start w:val="1"/>
      <w:numFmt w:val="decimal"/>
      <w:lvlText w:val="%1."/>
      <w:lvlJc w:val="left"/>
      <w:pPr>
        <w:tabs>
          <w:tab w:val="num" w:pos="720"/>
        </w:tabs>
        <w:ind w:left="720" w:hanging="360"/>
      </w:pPr>
    </w:lvl>
    <w:lvl w:ilvl="1" w:tplc="0D8AEC46" w:tentative="1">
      <w:start w:val="1"/>
      <w:numFmt w:val="decimal"/>
      <w:lvlText w:val="%2."/>
      <w:lvlJc w:val="left"/>
      <w:pPr>
        <w:tabs>
          <w:tab w:val="num" w:pos="1440"/>
        </w:tabs>
        <w:ind w:left="1440" w:hanging="360"/>
      </w:pPr>
    </w:lvl>
    <w:lvl w:ilvl="2" w:tplc="FE64E240" w:tentative="1">
      <w:start w:val="1"/>
      <w:numFmt w:val="decimal"/>
      <w:lvlText w:val="%3."/>
      <w:lvlJc w:val="left"/>
      <w:pPr>
        <w:tabs>
          <w:tab w:val="num" w:pos="2160"/>
        </w:tabs>
        <w:ind w:left="2160" w:hanging="360"/>
      </w:pPr>
    </w:lvl>
    <w:lvl w:ilvl="3" w:tplc="6868C22C" w:tentative="1">
      <w:start w:val="1"/>
      <w:numFmt w:val="decimal"/>
      <w:lvlText w:val="%4."/>
      <w:lvlJc w:val="left"/>
      <w:pPr>
        <w:tabs>
          <w:tab w:val="num" w:pos="2880"/>
        </w:tabs>
        <w:ind w:left="2880" w:hanging="360"/>
      </w:pPr>
    </w:lvl>
    <w:lvl w:ilvl="4" w:tplc="89B0B08E" w:tentative="1">
      <w:start w:val="1"/>
      <w:numFmt w:val="decimal"/>
      <w:lvlText w:val="%5."/>
      <w:lvlJc w:val="left"/>
      <w:pPr>
        <w:tabs>
          <w:tab w:val="num" w:pos="3600"/>
        </w:tabs>
        <w:ind w:left="3600" w:hanging="360"/>
      </w:pPr>
    </w:lvl>
    <w:lvl w:ilvl="5" w:tplc="EAD6ADC8" w:tentative="1">
      <w:start w:val="1"/>
      <w:numFmt w:val="decimal"/>
      <w:lvlText w:val="%6."/>
      <w:lvlJc w:val="left"/>
      <w:pPr>
        <w:tabs>
          <w:tab w:val="num" w:pos="4320"/>
        </w:tabs>
        <w:ind w:left="4320" w:hanging="360"/>
      </w:pPr>
    </w:lvl>
    <w:lvl w:ilvl="6" w:tplc="7C6A75AE" w:tentative="1">
      <w:start w:val="1"/>
      <w:numFmt w:val="decimal"/>
      <w:lvlText w:val="%7."/>
      <w:lvlJc w:val="left"/>
      <w:pPr>
        <w:tabs>
          <w:tab w:val="num" w:pos="5040"/>
        </w:tabs>
        <w:ind w:left="5040" w:hanging="360"/>
      </w:pPr>
    </w:lvl>
    <w:lvl w:ilvl="7" w:tplc="02167BC0" w:tentative="1">
      <w:start w:val="1"/>
      <w:numFmt w:val="decimal"/>
      <w:lvlText w:val="%8."/>
      <w:lvlJc w:val="left"/>
      <w:pPr>
        <w:tabs>
          <w:tab w:val="num" w:pos="5760"/>
        </w:tabs>
        <w:ind w:left="5760" w:hanging="360"/>
      </w:pPr>
    </w:lvl>
    <w:lvl w:ilvl="8" w:tplc="D510537A" w:tentative="1">
      <w:start w:val="1"/>
      <w:numFmt w:val="decimal"/>
      <w:lvlText w:val="%9."/>
      <w:lvlJc w:val="left"/>
      <w:pPr>
        <w:tabs>
          <w:tab w:val="num" w:pos="6480"/>
        </w:tabs>
        <w:ind w:left="6480" w:hanging="360"/>
      </w:pPr>
    </w:lvl>
  </w:abstractNum>
  <w:abstractNum w:abstractNumId="1">
    <w:nsid w:val="25A441A6"/>
    <w:multiLevelType w:val="hybridMultilevel"/>
    <w:tmpl w:val="6CD46C38"/>
    <w:lvl w:ilvl="0" w:tplc="2D768618">
      <w:start w:val="1"/>
      <w:numFmt w:val="bullet"/>
      <w:lvlText w:val=""/>
      <w:lvlJc w:val="left"/>
      <w:pPr>
        <w:tabs>
          <w:tab w:val="num" w:pos="720"/>
        </w:tabs>
        <w:ind w:left="720" w:hanging="360"/>
      </w:pPr>
      <w:rPr>
        <w:rFonts w:ascii="Symbol" w:hAnsi="Symbol" w:hint="default"/>
        <w:sz w:val="20"/>
      </w:rPr>
    </w:lvl>
    <w:lvl w:ilvl="1" w:tplc="BE5EBBB2">
      <w:start w:val="1"/>
      <w:numFmt w:val="bullet"/>
      <w:lvlText w:val="o"/>
      <w:lvlJc w:val="left"/>
      <w:pPr>
        <w:tabs>
          <w:tab w:val="num" w:pos="1440"/>
        </w:tabs>
        <w:ind w:left="1440" w:hanging="360"/>
      </w:pPr>
      <w:rPr>
        <w:rFonts w:ascii="Courier New" w:hAnsi="Courier New" w:hint="default"/>
        <w:sz w:val="20"/>
      </w:rPr>
    </w:lvl>
    <w:lvl w:ilvl="2" w:tplc="160C35A0" w:tentative="1">
      <w:start w:val="1"/>
      <w:numFmt w:val="bullet"/>
      <w:lvlText w:val=""/>
      <w:lvlJc w:val="left"/>
      <w:pPr>
        <w:tabs>
          <w:tab w:val="num" w:pos="2160"/>
        </w:tabs>
        <w:ind w:left="2160" w:hanging="360"/>
      </w:pPr>
      <w:rPr>
        <w:rFonts w:ascii="Wingdings" w:hAnsi="Wingdings" w:hint="default"/>
        <w:sz w:val="20"/>
      </w:rPr>
    </w:lvl>
    <w:lvl w:ilvl="3" w:tplc="A84AA972" w:tentative="1">
      <w:start w:val="1"/>
      <w:numFmt w:val="bullet"/>
      <w:lvlText w:val=""/>
      <w:lvlJc w:val="left"/>
      <w:pPr>
        <w:tabs>
          <w:tab w:val="num" w:pos="2880"/>
        </w:tabs>
        <w:ind w:left="2880" w:hanging="360"/>
      </w:pPr>
      <w:rPr>
        <w:rFonts w:ascii="Wingdings" w:hAnsi="Wingdings" w:hint="default"/>
        <w:sz w:val="20"/>
      </w:rPr>
    </w:lvl>
    <w:lvl w:ilvl="4" w:tplc="08923A56" w:tentative="1">
      <w:start w:val="1"/>
      <w:numFmt w:val="bullet"/>
      <w:lvlText w:val=""/>
      <w:lvlJc w:val="left"/>
      <w:pPr>
        <w:tabs>
          <w:tab w:val="num" w:pos="3600"/>
        </w:tabs>
        <w:ind w:left="3600" w:hanging="360"/>
      </w:pPr>
      <w:rPr>
        <w:rFonts w:ascii="Wingdings" w:hAnsi="Wingdings" w:hint="default"/>
        <w:sz w:val="20"/>
      </w:rPr>
    </w:lvl>
    <w:lvl w:ilvl="5" w:tplc="5874AB98" w:tentative="1">
      <w:start w:val="1"/>
      <w:numFmt w:val="bullet"/>
      <w:lvlText w:val=""/>
      <w:lvlJc w:val="left"/>
      <w:pPr>
        <w:tabs>
          <w:tab w:val="num" w:pos="4320"/>
        </w:tabs>
        <w:ind w:left="4320" w:hanging="360"/>
      </w:pPr>
      <w:rPr>
        <w:rFonts w:ascii="Wingdings" w:hAnsi="Wingdings" w:hint="default"/>
        <w:sz w:val="20"/>
      </w:rPr>
    </w:lvl>
    <w:lvl w:ilvl="6" w:tplc="5D921E50" w:tentative="1">
      <w:start w:val="1"/>
      <w:numFmt w:val="bullet"/>
      <w:lvlText w:val=""/>
      <w:lvlJc w:val="left"/>
      <w:pPr>
        <w:tabs>
          <w:tab w:val="num" w:pos="5040"/>
        </w:tabs>
        <w:ind w:left="5040" w:hanging="360"/>
      </w:pPr>
      <w:rPr>
        <w:rFonts w:ascii="Wingdings" w:hAnsi="Wingdings" w:hint="default"/>
        <w:sz w:val="20"/>
      </w:rPr>
    </w:lvl>
    <w:lvl w:ilvl="7" w:tplc="289C6552" w:tentative="1">
      <w:start w:val="1"/>
      <w:numFmt w:val="bullet"/>
      <w:lvlText w:val=""/>
      <w:lvlJc w:val="left"/>
      <w:pPr>
        <w:tabs>
          <w:tab w:val="num" w:pos="5760"/>
        </w:tabs>
        <w:ind w:left="5760" w:hanging="360"/>
      </w:pPr>
      <w:rPr>
        <w:rFonts w:ascii="Wingdings" w:hAnsi="Wingdings" w:hint="default"/>
        <w:sz w:val="20"/>
      </w:rPr>
    </w:lvl>
    <w:lvl w:ilvl="8" w:tplc="7C4E4344"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E6A10"/>
    <w:multiLevelType w:val="hybridMultilevel"/>
    <w:tmpl w:val="7EE22D36"/>
    <w:lvl w:ilvl="0" w:tplc="CDDAB312">
      <w:start w:val="1"/>
      <w:numFmt w:val="bullet"/>
      <w:lvlText w:val=""/>
      <w:lvlJc w:val="left"/>
      <w:pPr>
        <w:tabs>
          <w:tab w:val="num" w:pos="720"/>
        </w:tabs>
        <w:ind w:left="720" w:hanging="360"/>
      </w:pPr>
      <w:rPr>
        <w:rFonts w:ascii="Symbol" w:hAnsi="Symbol" w:hint="default"/>
        <w:sz w:val="20"/>
      </w:rPr>
    </w:lvl>
    <w:lvl w:ilvl="1" w:tplc="579C64BA" w:tentative="1">
      <w:start w:val="1"/>
      <w:numFmt w:val="bullet"/>
      <w:lvlText w:val="o"/>
      <w:lvlJc w:val="left"/>
      <w:pPr>
        <w:tabs>
          <w:tab w:val="num" w:pos="1440"/>
        </w:tabs>
        <w:ind w:left="1440" w:hanging="360"/>
      </w:pPr>
      <w:rPr>
        <w:rFonts w:ascii="Courier New" w:hAnsi="Courier New" w:hint="default"/>
        <w:sz w:val="20"/>
      </w:rPr>
    </w:lvl>
    <w:lvl w:ilvl="2" w:tplc="B052A622" w:tentative="1">
      <w:start w:val="1"/>
      <w:numFmt w:val="bullet"/>
      <w:lvlText w:val=""/>
      <w:lvlJc w:val="left"/>
      <w:pPr>
        <w:tabs>
          <w:tab w:val="num" w:pos="2160"/>
        </w:tabs>
        <w:ind w:left="2160" w:hanging="360"/>
      </w:pPr>
      <w:rPr>
        <w:rFonts w:ascii="Wingdings" w:hAnsi="Wingdings" w:hint="default"/>
        <w:sz w:val="20"/>
      </w:rPr>
    </w:lvl>
    <w:lvl w:ilvl="3" w:tplc="E6A0433C" w:tentative="1">
      <w:start w:val="1"/>
      <w:numFmt w:val="bullet"/>
      <w:lvlText w:val=""/>
      <w:lvlJc w:val="left"/>
      <w:pPr>
        <w:tabs>
          <w:tab w:val="num" w:pos="2880"/>
        </w:tabs>
        <w:ind w:left="2880" w:hanging="360"/>
      </w:pPr>
      <w:rPr>
        <w:rFonts w:ascii="Wingdings" w:hAnsi="Wingdings" w:hint="default"/>
        <w:sz w:val="20"/>
      </w:rPr>
    </w:lvl>
    <w:lvl w:ilvl="4" w:tplc="B2E2F92A" w:tentative="1">
      <w:start w:val="1"/>
      <w:numFmt w:val="bullet"/>
      <w:lvlText w:val=""/>
      <w:lvlJc w:val="left"/>
      <w:pPr>
        <w:tabs>
          <w:tab w:val="num" w:pos="3600"/>
        </w:tabs>
        <w:ind w:left="3600" w:hanging="360"/>
      </w:pPr>
      <w:rPr>
        <w:rFonts w:ascii="Wingdings" w:hAnsi="Wingdings" w:hint="default"/>
        <w:sz w:val="20"/>
      </w:rPr>
    </w:lvl>
    <w:lvl w:ilvl="5" w:tplc="745A3BD2" w:tentative="1">
      <w:start w:val="1"/>
      <w:numFmt w:val="bullet"/>
      <w:lvlText w:val=""/>
      <w:lvlJc w:val="left"/>
      <w:pPr>
        <w:tabs>
          <w:tab w:val="num" w:pos="4320"/>
        </w:tabs>
        <w:ind w:left="4320" w:hanging="360"/>
      </w:pPr>
      <w:rPr>
        <w:rFonts w:ascii="Wingdings" w:hAnsi="Wingdings" w:hint="default"/>
        <w:sz w:val="20"/>
      </w:rPr>
    </w:lvl>
    <w:lvl w:ilvl="6" w:tplc="675838EC" w:tentative="1">
      <w:start w:val="1"/>
      <w:numFmt w:val="bullet"/>
      <w:lvlText w:val=""/>
      <w:lvlJc w:val="left"/>
      <w:pPr>
        <w:tabs>
          <w:tab w:val="num" w:pos="5040"/>
        </w:tabs>
        <w:ind w:left="5040" w:hanging="360"/>
      </w:pPr>
      <w:rPr>
        <w:rFonts w:ascii="Wingdings" w:hAnsi="Wingdings" w:hint="default"/>
        <w:sz w:val="20"/>
      </w:rPr>
    </w:lvl>
    <w:lvl w:ilvl="7" w:tplc="2F589AB4" w:tentative="1">
      <w:start w:val="1"/>
      <w:numFmt w:val="bullet"/>
      <w:lvlText w:val=""/>
      <w:lvlJc w:val="left"/>
      <w:pPr>
        <w:tabs>
          <w:tab w:val="num" w:pos="5760"/>
        </w:tabs>
        <w:ind w:left="5760" w:hanging="360"/>
      </w:pPr>
      <w:rPr>
        <w:rFonts w:ascii="Wingdings" w:hAnsi="Wingdings" w:hint="default"/>
        <w:sz w:val="20"/>
      </w:rPr>
    </w:lvl>
    <w:lvl w:ilvl="8" w:tplc="7A26837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6DA"/>
    <w:rsid w:val="005766DA"/>
    <w:rsid w:val="006A5A30"/>
    <w:rsid w:val="00714F4E"/>
    <w:rsid w:val="0072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EEDBC9A2-2186-4C16-8C3C-DED80619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36"/>
      <w:szCs w:val="36"/>
    </w:rPr>
  </w:style>
  <w:style w:type="paragraph" w:styleId="4">
    <w:name w:val="heading 4"/>
    <w:basedOn w:val="a"/>
    <w:qFormat/>
    <w:pPr>
      <w:spacing w:before="100" w:beforeAutospacing="1" w:after="100" w:afterAutospacing="1"/>
      <w:outlineLvl w:val="3"/>
    </w:pPr>
    <w:rPr>
      <w:b/>
      <w:bCs/>
    </w:rPr>
  </w:style>
  <w:style w:type="paragraph" w:styleId="5">
    <w:name w:val="heading 5"/>
    <w:basedOn w:val="a"/>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11">
    <w:name w:val="Заголовок 11"/>
    <w:basedOn w:val="10"/>
    <w:next w:val="10"/>
    <w:pPr>
      <w:keepNext/>
      <w:jc w:val="center"/>
      <w:outlineLvl w:val="0"/>
    </w:pPr>
    <w:rPr>
      <w:caps/>
      <w:sz w:val="40"/>
    </w:rPr>
  </w:style>
  <w:style w:type="paragraph" w:customStyle="1" w:styleId="12">
    <w:name w:val="Название1"/>
    <w:basedOn w:val="10"/>
    <w:pPr>
      <w:jc w:val="center"/>
    </w:pPr>
    <w:rPr>
      <w:sz w:val="28"/>
    </w:rPr>
  </w:style>
  <w:style w:type="paragraph" w:styleId="a3">
    <w:name w:val="Normal (Web)"/>
    <w:basedOn w:val="a"/>
    <w:semiHidden/>
    <w:pPr>
      <w:spacing w:before="100" w:beforeAutospacing="1" w:after="100" w:afterAutospacing="1"/>
    </w:p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Body Text"/>
    <w:basedOn w:val="a"/>
    <w:semiHidden/>
    <w:pPr>
      <w:spacing w:after="120"/>
    </w:pPr>
  </w:style>
  <w:style w:type="paragraph" w:styleId="a7">
    <w:name w:val="Title"/>
    <w:basedOn w:val="a"/>
    <w:qFormat/>
    <w:pPr>
      <w:jc w:val="center"/>
    </w:pPr>
    <w:rPr>
      <w:b/>
      <w:bCs/>
      <w:sz w:val="28"/>
      <w:szCs w:val="20"/>
    </w:rPr>
  </w:style>
  <w:style w:type="character" w:styleId="a8">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10514</Words>
  <Characters>59931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area2</Company>
  <LinksUpToDate>false</LinksUpToDate>
  <CharactersWithSpaces>70305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cp:lastModifiedBy>admin</cp:lastModifiedBy>
  <cp:revision>2</cp:revision>
  <cp:lastPrinted>2003-12-25T17:21:00Z</cp:lastPrinted>
  <dcterms:created xsi:type="dcterms:W3CDTF">2014-02-01T20:39:00Z</dcterms:created>
  <dcterms:modified xsi:type="dcterms:W3CDTF">2014-02-01T20:39:00Z</dcterms:modified>
</cp:coreProperties>
</file>