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7BF" w:rsidRDefault="00B417BF">
      <w:pPr>
        <w:widowControl w:val="0"/>
        <w:spacing w:before="120"/>
        <w:jc w:val="center"/>
        <w:rPr>
          <w:b/>
          <w:bCs/>
          <w:color w:val="000000"/>
          <w:sz w:val="32"/>
          <w:szCs w:val="32"/>
        </w:rPr>
      </w:pPr>
      <w:r>
        <w:rPr>
          <w:b/>
          <w:bCs/>
          <w:color w:val="000000"/>
          <w:sz w:val="32"/>
          <w:szCs w:val="32"/>
        </w:rPr>
        <w:t>Струнные  инструменты в Европе XV - XVII века</w:t>
      </w:r>
    </w:p>
    <w:p w:rsidR="00B417BF" w:rsidRDefault="00B417BF">
      <w:pPr>
        <w:widowControl w:val="0"/>
        <w:spacing w:before="120"/>
        <w:ind w:firstLine="567"/>
        <w:jc w:val="both"/>
        <w:rPr>
          <w:color w:val="000000"/>
          <w:sz w:val="24"/>
          <w:szCs w:val="24"/>
        </w:rPr>
      </w:pPr>
      <w:r>
        <w:rPr>
          <w:color w:val="000000"/>
          <w:sz w:val="24"/>
          <w:szCs w:val="24"/>
        </w:rPr>
        <w:t xml:space="preserve">Пятнадцатое столетие в Европе характеризует переломный момент в истории её культуры, а открытие пути в Новый Свет на исходе века сильно отразилось на многих сторонах бытия Старого Света. Виновница этих событий - Испания заняла первенствующее положение на мировой арене, но век её триумфа был недолог. Вскоре это была лишь южная окраина Европы… </w:t>
      </w:r>
    </w:p>
    <w:p w:rsidR="00B417BF" w:rsidRDefault="00B417BF">
      <w:pPr>
        <w:widowControl w:val="0"/>
        <w:spacing w:before="120"/>
        <w:ind w:firstLine="567"/>
        <w:jc w:val="both"/>
        <w:rPr>
          <w:color w:val="000000"/>
          <w:sz w:val="24"/>
          <w:szCs w:val="24"/>
        </w:rPr>
      </w:pPr>
      <w:r>
        <w:rPr>
          <w:color w:val="000000"/>
          <w:sz w:val="24"/>
          <w:szCs w:val="24"/>
        </w:rPr>
        <w:t xml:space="preserve">Конечно культура Испании оказала влияние на европейскую, но всё же не гитара, а лютня стала здесь излюбленным музыкальным инструментом, пригодным как для домашнего музицирования, так и для услаждения слуха власть предержащих, была она и «академическим» инструментом. Виуэла же осталась исключительно испанским инструментам и в </w:t>
      </w:r>
    </w:p>
    <w:p w:rsidR="00B417BF" w:rsidRDefault="00B417BF">
      <w:pPr>
        <w:widowControl w:val="0"/>
        <w:spacing w:before="120"/>
        <w:ind w:firstLine="567"/>
        <w:jc w:val="both"/>
        <w:rPr>
          <w:color w:val="000000"/>
          <w:sz w:val="24"/>
          <w:szCs w:val="24"/>
        </w:rPr>
      </w:pPr>
      <w:r>
        <w:rPr>
          <w:color w:val="000000"/>
          <w:sz w:val="24"/>
          <w:szCs w:val="24"/>
        </w:rPr>
        <w:t>Европе была почти не известна, или, во всяком случае, здесь её путали с гитарой. Разделённая от остальной Европы, и в первую очередь от Франции, грядой Пиренеев, представлявших в то время серьёзное препятствие для путешествий, Испания имела несколько каналов влияния на музыкальную европейскую культуру. Это морской путь (средиземное море) и в первую очередь, здесь надо отметить Неаполитанское королевство, входившую некоторое время в состав испанской короны и Италию. Далее – южный Прованс, да и вся Франция. Через Атлантику, кроме Франции, под «культурное влияние» Испании попадают «Низинные земли» - Нидерланды, тоже бывшие под испанским «покровительством» и «противная» островная Англия. Но две последние стороны, не попали непосредственно под это влияние. Нидерланды, страдающие от ига испанской короны, оказывали ей сильное сопротивление, и неприятие здесь всего испанского, было большим препятствием в распространении культа гитары, Грет Бретань была основным конкурентом Испании за власть на морях, поэтому и здесь гитара особенно не распространялась, а лютня, чей статус в Англии вознёс достаточно высоко «плаксивый» Джонни Доуленд, - пришла на остров из других стран Европы. Но, пожалуй, особо надо выделить Португалию, ещё недавно составлявшую часть конгломерата королевств Пиренейского полуострова, а какое-то время находившаяся под испанской короной, - в ту эпоху бывшую государством с наиболее развитыми торговыми связями, а по Тордсельянскому соглашению и с благословения хитроумного Папы – Александра Борджиа, имевшую свой путь в Новый Свет и свои владения там. Чрезвычайно близкое соседство с Испанией способствовало широкому распространению гитары в Португалии, а через торговые отношения гитара распространялась и у её партнёров.</w:t>
      </w:r>
    </w:p>
    <w:p w:rsidR="00B417BF" w:rsidRDefault="00B417BF">
      <w:pPr>
        <w:widowControl w:val="0"/>
        <w:spacing w:before="120"/>
        <w:ind w:firstLine="567"/>
        <w:jc w:val="both"/>
        <w:rPr>
          <w:color w:val="000000"/>
          <w:sz w:val="24"/>
          <w:szCs w:val="24"/>
        </w:rPr>
      </w:pPr>
      <w:r>
        <w:rPr>
          <w:color w:val="000000"/>
          <w:sz w:val="24"/>
          <w:szCs w:val="24"/>
        </w:rPr>
        <w:t xml:space="preserve">Шарнассе утверждает, что, начиная с XIII века, гитара была инструментом на котором в Европе,  и, «естественно», особенно во Франции, много и охотно играли, в т.ч. Шарнассе ссылается на то, что известный французский поэт Пьер Ронсар посвятил гитаре оду. В подтверждении своих выводов французский музыковед приводит выдержку из некоего сочинения, выпущенного в Пуатье (1556), автор коего не без сожаления замечает: «В моём раннем детстве больше увлекались [лютней], чем гитарой; но в последние двенадцать лет всё наше общество обратилось к гитаре; исполнители на гитаре сегодня чаще встречаются во Франции, чем в Испании». Далее Шарнассе пишет, как очень быстро мода на гитару распространилась на Западную Европу, завоёвывая Фландрию, Англию, Италию. И, с неким удивлением, Шарнассе замечает, что Испания в этот перечень не попадает. На мой взгляд, здесь необходимо разграничивать: в какой среде была тогда популярна гитара в Европе и мало распространена в Испании? Надо предполагать, что простолюдины не писали трактатов, а фаворитом испанских музыкантов-профессионалов той эпохи была всё же не гитара, а виуэла, и в этом разгадка вопроса Шарнассе. Действительно, во Франции проблемы музыкального искусства, в тесной связи с поэзией, горячо обсуждаются в кругу академии Антуана Биафа (1570-е годы), где содружество поэтов (во главе с Ронсаром) и музыкантов приходит к, своего рода, реформе музыкальной декламации по образу древних, но гитара здесь не занимает первенства. К сожалению, и у наших отечественных издателей, выпустивших объёмистый (827 страниц) сборник «Поэзия Плеяды» в двуязычной версии (имеются параллели на старо-французском языке), все места касающиеся гитары были обойдены вниманием. Что, вообще, касается отечественных изданий, то кроме случаев публикации кратеньких справок, что предваряют различные гитарные школы и содержат общие сведения по истории гитары, наших гитаристов не балуют обилием исторических сведений, которые можно встретить в зарубежных изданиях. Поэтому за отсутствием, пока, других источников – вынужден цитировать Шарнассе. Вот что пишет французский музыковед: </w:t>
      </w:r>
    </w:p>
    <w:p w:rsidR="00B417BF" w:rsidRDefault="00B417BF">
      <w:pPr>
        <w:widowControl w:val="0"/>
        <w:spacing w:before="120"/>
        <w:ind w:firstLine="567"/>
        <w:jc w:val="both"/>
        <w:rPr>
          <w:color w:val="000000"/>
          <w:sz w:val="24"/>
          <w:szCs w:val="24"/>
        </w:rPr>
      </w:pPr>
      <w:r>
        <w:rPr>
          <w:color w:val="000000"/>
          <w:sz w:val="24"/>
          <w:szCs w:val="24"/>
        </w:rPr>
        <w:t>«В то время как строение большинства музыкальных инструментов продолжает эволюционировать, гитара, начиная с 1470 года, уже имеет вид,  близкий к современному. Произведения изобразительного искусства, в первую очередь итальянского происхождения, донесли до нас черты такого инструмента.</w:t>
      </w:r>
    </w:p>
    <w:p w:rsidR="00B417BF" w:rsidRDefault="00B417BF">
      <w:pPr>
        <w:widowControl w:val="0"/>
        <w:spacing w:before="120"/>
        <w:ind w:firstLine="567"/>
        <w:jc w:val="both"/>
        <w:rPr>
          <w:color w:val="000000"/>
          <w:sz w:val="24"/>
          <w:szCs w:val="24"/>
        </w:rPr>
      </w:pPr>
      <w:r>
        <w:rPr>
          <w:color w:val="000000"/>
          <w:sz w:val="24"/>
          <w:szCs w:val="24"/>
        </w:rPr>
        <w:t>Замечательный образец гитары XV века запечатлён в мозаике, которая украшает стены небольшой студии Изабеллы д’Эсте в Мантуе. Однако этот инструмент кажется более громоздким и менее изысканным по сравнению с тем, который можно увидеть на фресках сделанных Пинтуриккьо около 1492 – 1495 годов в апартаментах Борджиа в Ватикане. Истинно современной выглядит гитара в руках поэта Аккилини на гравюре мастера Маркантонио Раймонди» - хотя большинство зарубежных исследователей идентифицируют изображённый здесь инструмент, как виуэлу, несмотря на то, что внешне инструмент не выглядит столь изящно, как того требовала традиция XVI века, впрочем, на данной гравюре изображена не виуэла, а инструмент итальянской школы – виола де мано, апологетом которой был и испанец Дьего Ортис (прим. Rustik68).</w:t>
      </w:r>
    </w:p>
    <w:p w:rsidR="00B417BF" w:rsidRDefault="00B417BF">
      <w:pPr>
        <w:widowControl w:val="0"/>
        <w:spacing w:before="120"/>
        <w:ind w:firstLine="567"/>
        <w:jc w:val="both"/>
        <w:rPr>
          <w:color w:val="000000"/>
          <w:sz w:val="24"/>
          <w:szCs w:val="24"/>
        </w:rPr>
      </w:pPr>
      <w:r>
        <w:rPr>
          <w:color w:val="000000"/>
          <w:sz w:val="24"/>
          <w:szCs w:val="24"/>
        </w:rPr>
        <w:t>Далее читаем у Шарнассе: «На всех изображениях того времени, где музыкант-гитарист представлен в момент игры, по-прежнему преобладает горизонтальное положение инструмента. Игра пальцами начинает брать верх над игрой плектром.</w:t>
      </w:r>
    </w:p>
    <w:p w:rsidR="00B417BF" w:rsidRDefault="00B417BF">
      <w:pPr>
        <w:widowControl w:val="0"/>
        <w:spacing w:before="120"/>
        <w:ind w:firstLine="567"/>
        <w:jc w:val="both"/>
        <w:rPr>
          <w:color w:val="000000"/>
          <w:sz w:val="24"/>
          <w:szCs w:val="24"/>
        </w:rPr>
      </w:pPr>
      <w:r>
        <w:rPr>
          <w:color w:val="000000"/>
          <w:sz w:val="24"/>
          <w:szCs w:val="24"/>
        </w:rPr>
        <w:t>…Если до сих пор гитара занимала почётное, но не первостепенное место рядом с виолой, ребеком, арфой, лютней и псалтерином, то теперь она внезапно выдвигается на первый план. Это важное изменение происходит около 1540 года…</w:t>
      </w:r>
    </w:p>
    <w:p w:rsidR="00B417BF" w:rsidRDefault="00B417BF">
      <w:pPr>
        <w:widowControl w:val="0"/>
        <w:spacing w:before="120"/>
        <w:ind w:firstLine="567"/>
        <w:jc w:val="both"/>
        <w:rPr>
          <w:color w:val="000000"/>
          <w:sz w:val="24"/>
          <w:szCs w:val="24"/>
        </w:rPr>
      </w:pPr>
      <w:r>
        <w:rPr>
          <w:color w:val="000000"/>
          <w:sz w:val="24"/>
          <w:szCs w:val="24"/>
        </w:rPr>
        <w:t>Зимой 1539/40 года Карл V совершает поездку по Франции. Не исключено, что его сопровождают придворные виуэлисты. Их инструменты могли привлечь французов, которые приняли виуэлы за большие гитары. По другой версии (причём одно предположение не исключает второе) примером для подражания явился герцог Орлеанский, сын Франсуа I. Он учится игре на гитаре, возможно для того, чтобы прельстить испанскую принцессу, дочь или племянницу Карла V, которая незадолго до этого была обещана ему в жёны. Воспитатель молодого герцога, поэт и музыкант Меллен де Сен-Желе даёт ему уроки. В своей поэме Сен-Желе рассказывает, как из-за болезни герцога занятия на гитаре были временно прерваны.</w:t>
      </w:r>
    </w:p>
    <w:p w:rsidR="00B417BF" w:rsidRDefault="00B417BF">
      <w:pPr>
        <w:widowControl w:val="0"/>
        <w:spacing w:before="120"/>
        <w:ind w:firstLine="567"/>
        <w:jc w:val="both"/>
        <w:rPr>
          <w:color w:val="000000"/>
          <w:sz w:val="24"/>
          <w:szCs w:val="24"/>
        </w:rPr>
      </w:pPr>
      <w:r>
        <w:rPr>
          <w:color w:val="000000"/>
          <w:sz w:val="24"/>
          <w:szCs w:val="24"/>
        </w:rPr>
        <w:t xml:space="preserve">Артистическая и интеллектуальная элита, хотя и влюблённая в лютню, считает себя обязанной последовать примеру герцога. Сам Ронсар признаётся: </w:t>
      </w:r>
    </w:p>
    <w:p w:rsidR="00B417BF" w:rsidRDefault="00B417BF">
      <w:pPr>
        <w:widowControl w:val="0"/>
        <w:spacing w:before="120"/>
        <w:ind w:firstLine="567"/>
        <w:jc w:val="both"/>
        <w:rPr>
          <w:color w:val="000000"/>
          <w:sz w:val="24"/>
          <w:szCs w:val="24"/>
        </w:rPr>
      </w:pPr>
      <w:r>
        <w:rPr>
          <w:color w:val="000000"/>
          <w:sz w:val="24"/>
          <w:szCs w:val="24"/>
        </w:rPr>
        <w:t xml:space="preserve">…Очнувшись, трогаю струну моей гитары </w:t>
      </w:r>
    </w:p>
    <w:p w:rsidR="00B417BF" w:rsidRDefault="00B417BF">
      <w:pPr>
        <w:widowControl w:val="0"/>
        <w:spacing w:before="120"/>
        <w:ind w:firstLine="567"/>
        <w:jc w:val="both"/>
        <w:rPr>
          <w:color w:val="000000"/>
          <w:sz w:val="24"/>
          <w:szCs w:val="24"/>
        </w:rPr>
      </w:pPr>
      <w:r>
        <w:rPr>
          <w:color w:val="000000"/>
          <w:sz w:val="24"/>
          <w:szCs w:val="24"/>
        </w:rPr>
        <w:t xml:space="preserve">И, прислонясь плечом к тенистой липе старой, </w:t>
      </w:r>
    </w:p>
    <w:p w:rsidR="00B417BF" w:rsidRDefault="00B417BF">
      <w:pPr>
        <w:widowControl w:val="0"/>
        <w:spacing w:before="120"/>
        <w:ind w:firstLine="567"/>
        <w:jc w:val="both"/>
        <w:rPr>
          <w:color w:val="000000"/>
          <w:sz w:val="24"/>
          <w:szCs w:val="24"/>
        </w:rPr>
      </w:pPr>
      <w:r>
        <w:rPr>
          <w:color w:val="000000"/>
          <w:sz w:val="24"/>
          <w:szCs w:val="24"/>
        </w:rPr>
        <w:t>Читаю вслух стихи… »</w:t>
      </w:r>
    </w:p>
    <w:p w:rsidR="00B417BF" w:rsidRDefault="00B417BF">
      <w:pPr>
        <w:widowControl w:val="0"/>
        <w:spacing w:before="120"/>
        <w:ind w:firstLine="567"/>
        <w:jc w:val="both"/>
        <w:rPr>
          <w:color w:val="000000"/>
          <w:sz w:val="24"/>
          <w:szCs w:val="24"/>
        </w:rPr>
      </w:pPr>
      <w:r>
        <w:rPr>
          <w:color w:val="000000"/>
          <w:sz w:val="24"/>
          <w:szCs w:val="24"/>
        </w:rPr>
        <w:t>Но, пожалуй, наиболее любопытным фактом, косвенно подтверждающим существенное влияние французской музыкальной традиции, на развитие гитары, является одна из книг Гильома де Морле. Здесь изображена четырёхрядная гитара, в конструкции которой (в т.ч. и колковой коробки) явственно видно, что первая струна у неё одинарная (сольная), приспособленная для исполнения ведущей мелодии. Глядя на это изображение гитары (середина XVI века), просто дивишься: о чём толкуют современные исследователи истории гитары, утверждающие, что гитара XVI века имела исключительно парные струны и была чисто гармоническим инструментом? Всё-таки надо отдать должное исследованиям Элен Шарнассе…</w:t>
      </w:r>
    </w:p>
    <w:p w:rsidR="00B417BF" w:rsidRDefault="00B417BF">
      <w:pPr>
        <w:widowControl w:val="0"/>
        <w:spacing w:before="120"/>
        <w:ind w:firstLine="567"/>
        <w:jc w:val="both"/>
        <w:rPr>
          <w:color w:val="000000"/>
          <w:sz w:val="24"/>
          <w:szCs w:val="24"/>
        </w:rPr>
      </w:pPr>
      <w:r>
        <w:rPr>
          <w:color w:val="000000"/>
          <w:sz w:val="24"/>
          <w:szCs w:val="24"/>
        </w:rPr>
        <w:t>XVI век в Европе, характерен проникновением эстетики Ренессанса почти во все музыкальные культуры. Прошло уже достаточно времени, чтобы влияние ренессансного гуманизма распространилось так или иначе помимо Италии и в других странах Европы. Во многих европейских центрах XVI столетия сложилась просвещённая среда, в которой преобладали художественные интересы, увлечение античностью, её памятниками и эстетическими воззрениями, стремление участвовать в развитии музыки согласно новым идеалам эпохи. Даже политические потрясения (изгнание Медичи из Флоренции в 1494 году), войны, разгром Рима немецкими ландскнехтами в 1527 году не отвлекли в конечном счёте гуманистическую среду от вопросов искусства.</w:t>
      </w:r>
    </w:p>
    <w:p w:rsidR="00B417BF" w:rsidRDefault="00B417BF">
      <w:pPr>
        <w:widowControl w:val="0"/>
        <w:spacing w:before="120"/>
        <w:ind w:firstLine="567"/>
        <w:jc w:val="both"/>
        <w:rPr>
          <w:color w:val="000000"/>
          <w:sz w:val="24"/>
          <w:szCs w:val="24"/>
        </w:rPr>
      </w:pPr>
      <w:r>
        <w:rPr>
          <w:color w:val="000000"/>
          <w:sz w:val="24"/>
          <w:szCs w:val="24"/>
        </w:rPr>
        <w:t xml:space="preserve">Бальдасаре Кастильоне в своём известном трактате «О придворном» (второе десятилетие XVI века) вкладывает в уста некоего графа такие слова: «… меня не удовлетворяет придворный человек, если он не музыкант, не умеет читать музыку с листа и ничего не знает о разных инструментах, ибо, если хорошенько подумать, нельзя найти более почётного и похвального отдыха от трудов и лекарства для больных душ, чем музыка. В особенности необходима музыка при дворах, так как, кроме развлечения от скуки, она много даёт для удовольствия дам, души которых, нежные и мягкие, легко проникаются гармонией и исполняются нежности». </w:t>
      </w:r>
    </w:p>
    <w:p w:rsidR="00B417BF" w:rsidRDefault="00B417BF">
      <w:pPr>
        <w:widowControl w:val="0"/>
        <w:spacing w:before="120"/>
        <w:jc w:val="center"/>
        <w:rPr>
          <w:b/>
          <w:bCs/>
          <w:color w:val="000000"/>
          <w:sz w:val="28"/>
          <w:szCs w:val="28"/>
        </w:rPr>
      </w:pPr>
      <w:r>
        <w:rPr>
          <w:b/>
          <w:bCs/>
          <w:color w:val="000000"/>
          <w:sz w:val="28"/>
          <w:szCs w:val="28"/>
        </w:rPr>
        <w:t>Список литературы</w:t>
      </w:r>
    </w:p>
    <w:p w:rsidR="00B417BF" w:rsidRDefault="00B417BF">
      <w:pPr>
        <w:widowControl w:val="0"/>
        <w:spacing w:before="120"/>
        <w:ind w:firstLine="567"/>
        <w:jc w:val="both"/>
        <w:rPr>
          <w:color w:val="000000"/>
          <w:sz w:val="24"/>
          <w:szCs w:val="24"/>
        </w:rPr>
      </w:pPr>
      <w:r>
        <w:rPr>
          <w:color w:val="000000"/>
          <w:sz w:val="24"/>
          <w:szCs w:val="24"/>
        </w:rPr>
        <w:t>Ливанова Т. История Западноевропейской музыки до 1789 года. М., Музыка 1983.</w:t>
      </w:r>
    </w:p>
    <w:p w:rsidR="00B417BF" w:rsidRDefault="00B417BF">
      <w:pPr>
        <w:widowControl w:val="0"/>
        <w:spacing w:before="120"/>
        <w:ind w:firstLine="567"/>
        <w:jc w:val="both"/>
        <w:rPr>
          <w:color w:val="000000"/>
          <w:sz w:val="24"/>
          <w:szCs w:val="24"/>
        </w:rPr>
      </w:pPr>
      <w:r>
        <w:rPr>
          <w:color w:val="000000"/>
          <w:sz w:val="24"/>
          <w:szCs w:val="24"/>
        </w:rPr>
        <w:t>Шарнассе Э. Шестиструнная гитара. М., Музыка 1991 г.</w:t>
      </w:r>
    </w:p>
    <w:p w:rsidR="00B417BF" w:rsidRDefault="00B417BF">
      <w:pPr>
        <w:widowControl w:val="0"/>
        <w:spacing w:before="120"/>
        <w:ind w:firstLine="567"/>
        <w:jc w:val="both"/>
        <w:rPr>
          <w:color w:val="000000"/>
          <w:sz w:val="24"/>
          <w:szCs w:val="24"/>
          <w:lang w:val="en-US"/>
        </w:rPr>
      </w:pPr>
      <w:r>
        <w:rPr>
          <w:color w:val="000000"/>
          <w:sz w:val="24"/>
          <w:szCs w:val="24"/>
          <w:lang w:val="en-US"/>
        </w:rPr>
        <w:t xml:space="preserve">Josef Powrozniak "Gitarren-Lexikon". Verlag Neue Musik, Berlin 1988. </w:t>
      </w:r>
    </w:p>
    <w:p w:rsidR="00B417BF" w:rsidRDefault="00B417BF">
      <w:pPr>
        <w:widowControl w:val="0"/>
        <w:spacing w:before="120"/>
        <w:ind w:firstLine="567"/>
        <w:jc w:val="both"/>
        <w:rPr>
          <w:color w:val="000000"/>
          <w:sz w:val="24"/>
          <w:szCs w:val="24"/>
        </w:rPr>
      </w:pPr>
      <w:r>
        <w:rPr>
          <w:color w:val="000000"/>
          <w:sz w:val="24"/>
          <w:szCs w:val="24"/>
        </w:rPr>
        <w:t xml:space="preserve">Т.Блэр «Избранная лирика», London 2003. </w:t>
      </w:r>
    </w:p>
    <w:p w:rsidR="00B417BF" w:rsidRDefault="00B417BF">
      <w:pPr>
        <w:widowControl w:val="0"/>
        <w:spacing w:before="120"/>
        <w:ind w:firstLine="567"/>
        <w:jc w:val="both"/>
        <w:rPr>
          <w:color w:val="000000"/>
          <w:sz w:val="24"/>
          <w:szCs w:val="24"/>
        </w:rPr>
      </w:pPr>
      <w:bookmarkStart w:id="0" w:name="_GoBack"/>
      <w:bookmarkEnd w:id="0"/>
    </w:p>
    <w:sectPr w:rsidR="00B417B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B7E"/>
    <w:rsid w:val="00180563"/>
    <w:rsid w:val="00B417BF"/>
    <w:rsid w:val="00C54EDE"/>
    <w:rsid w:val="00D61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1B057F-8EDE-460F-B876-388D648D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FollowedHyperlink"/>
    <w:uiPriority w:val="99"/>
    <w:rPr>
      <w:color w:val="000000"/>
      <w:u w:val="single"/>
    </w:rPr>
  </w:style>
  <w:style w:type="paragraph" w:styleId="a5">
    <w:name w:val="Normal (Web)"/>
    <w:basedOn w:val="a"/>
    <w:uiPriority w:val="99"/>
    <w:pPr>
      <w:spacing w:before="100" w:beforeAutospacing="1" w:after="100" w:afterAutospacing="1"/>
    </w:pPr>
    <w:rPr>
      <w:rFonts w:ascii="Tahoma" w:hAnsi="Tahoma" w:cs="Tahoma"/>
      <w:sz w:val="16"/>
      <w:szCs w:val="16"/>
    </w:rPr>
  </w:style>
  <w:style w:type="paragraph" w:customStyle="1" w:styleId="t">
    <w:name w:val="t"/>
    <w:basedOn w:val="a"/>
    <w:uiPriority w:val="99"/>
    <w:pPr>
      <w:spacing w:after="100" w:afterAutospacing="1"/>
    </w:pPr>
    <w:rPr>
      <w:rFonts w:ascii="Verdana" w:hAnsi="Verdana" w:cs="Verdana"/>
    </w:rPr>
  </w:style>
  <w:style w:type="paragraph" w:customStyle="1" w:styleId="r">
    <w:name w:val="r"/>
    <w:basedOn w:val="a"/>
    <w:uiPriority w:val="99"/>
    <w:pPr>
      <w:spacing w:before="100" w:beforeAutospacing="1" w:after="100" w:afterAutospacing="1"/>
    </w:pPr>
    <w:rPr>
      <w:rFonts w:ascii="Tahoma" w:hAnsi="Tahoma" w:cs="Tahoma"/>
      <w:color w:val="FF0000"/>
      <w:sz w:val="16"/>
      <w:szCs w:val="16"/>
    </w:rPr>
  </w:style>
  <w:style w:type="paragraph" w:customStyle="1" w:styleId="n">
    <w:name w:val="n"/>
    <w:basedOn w:val="a"/>
    <w:uiPriority w:val="99"/>
    <w:pPr>
      <w:spacing w:before="100" w:beforeAutospacing="1" w:after="100" w:afterAutospacing="1"/>
    </w:pPr>
    <w:rPr>
      <w:rFonts w:ascii="Tahoma" w:hAnsi="Tahoma" w:cs="Tahoma"/>
      <w:sz w:val="16"/>
      <w:szCs w:val="16"/>
    </w:rPr>
  </w:style>
  <w:style w:type="paragraph" w:customStyle="1" w:styleId="br">
    <w:name w:val="br"/>
    <w:basedOn w:val="a"/>
    <w:uiPriority w:val="99"/>
    <w:pPr>
      <w:spacing w:before="100" w:beforeAutospacing="1" w:after="100" w:afterAutospacing="1"/>
    </w:pPr>
    <w:rPr>
      <w:rFonts w:ascii="Tahoma" w:hAnsi="Tahoma" w:cs="Tahoma"/>
      <w:b/>
      <w:bCs/>
      <w:sz w:val="16"/>
      <w:szCs w:val="16"/>
    </w:rPr>
  </w:style>
  <w:style w:type="paragraph" w:customStyle="1" w:styleId="w">
    <w:name w:val="w"/>
    <w:basedOn w:val="a"/>
    <w:uiPriority w:val="99"/>
    <w:pPr>
      <w:shd w:val="clear" w:color="auto" w:fill="FFFFFF"/>
      <w:spacing w:before="100" w:beforeAutospacing="1" w:after="100" w:afterAutospacing="1"/>
    </w:pPr>
    <w:rPr>
      <w:rFonts w:ascii="Tahoma" w:hAnsi="Tahoma" w:cs="Tahoma"/>
      <w:sz w:val="16"/>
      <w:szCs w:val="16"/>
    </w:rPr>
  </w:style>
  <w:style w:type="paragraph" w:customStyle="1" w:styleId="g">
    <w:name w:val="g"/>
    <w:basedOn w:val="a"/>
    <w:uiPriority w:val="99"/>
    <w:pPr>
      <w:spacing w:before="100" w:beforeAutospacing="1" w:after="100" w:afterAutospacing="1"/>
    </w:pPr>
    <w:rPr>
      <w:rFonts w:ascii="Tahoma" w:hAnsi="Tahoma" w:cs="Tahoma"/>
      <w:sz w:val="16"/>
      <w:szCs w:val="16"/>
    </w:rPr>
  </w:style>
  <w:style w:type="paragraph" w:customStyle="1" w:styleId="g2">
    <w:name w:val="g2"/>
    <w:basedOn w:val="a"/>
    <w:uiPriority w:val="99"/>
    <w:pPr>
      <w:spacing w:before="100" w:beforeAutospacing="1" w:after="100" w:afterAutospacing="1"/>
    </w:pPr>
    <w:rPr>
      <w:rFonts w:ascii="Tahoma" w:hAnsi="Tahoma" w:cs="Tahoma"/>
      <w:sz w:val="16"/>
      <w:szCs w:val="16"/>
    </w:rPr>
  </w:style>
  <w:style w:type="paragraph" w:customStyle="1" w:styleId="g0">
    <w:name w:val="g0"/>
    <w:basedOn w:val="a"/>
    <w:uiPriority w:val="99"/>
    <w:pPr>
      <w:spacing w:before="100" w:beforeAutospacing="1" w:after="100" w:afterAutospacing="1"/>
    </w:pPr>
    <w:rPr>
      <w:rFonts w:ascii="Tahoma" w:hAnsi="Tahoma" w:cs="Tahoma"/>
      <w:sz w:val="16"/>
      <w:szCs w:val="16"/>
    </w:rPr>
  </w:style>
  <w:style w:type="paragraph" w:customStyle="1" w:styleId="g1">
    <w:name w:val="g1"/>
    <w:basedOn w:val="a"/>
    <w:uiPriority w:val="99"/>
    <w:pPr>
      <w:spacing w:before="100" w:beforeAutospacing="1" w:after="100" w:afterAutospacing="1"/>
    </w:pPr>
    <w:rPr>
      <w:rFonts w:ascii="Tahoma" w:hAnsi="Tahoma" w:cs="Tahoma"/>
      <w:sz w:val="16"/>
      <w:szCs w:val="16"/>
    </w:rPr>
  </w:style>
  <w:style w:type="paragraph" w:customStyle="1" w:styleId="g3">
    <w:name w:val="g3"/>
    <w:basedOn w:val="a"/>
    <w:uiPriority w:val="99"/>
    <w:pPr>
      <w:spacing w:before="100" w:beforeAutospacing="1" w:after="100" w:afterAutospacing="1"/>
    </w:pPr>
    <w:rPr>
      <w:rFonts w:ascii="Tahoma" w:hAnsi="Tahoma" w:cs="Tahoma"/>
      <w:sz w:val="16"/>
      <w:szCs w:val="16"/>
    </w:rPr>
  </w:style>
  <w:style w:type="paragraph" w:customStyle="1" w:styleId="ow">
    <w:name w:val="ow"/>
    <w:basedOn w:val="a"/>
    <w:uiPriority w:val="99"/>
    <w:pPr>
      <w:spacing w:before="100" w:beforeAutospacing="1" w:after="100" w:afterAutospacing="1"/>
    </w:pPr>
    <w:rPr>
      <w:rFonts w:ascii="Tahoma" w:hAnsi="Tahoma" w:cs="Tahoma"/>
      <w:sz w:val="16"/>
      <w:szCs w:val="16"/>
    </w:rPr>
  </w:style>
  <w:style w:type="paragraph" w:customStyle="1" w:styleId="b">
    <w:name w:val="b"/>
    <w:basedOn w:val="a"/>
    <w:uiPriority w:val="99"/>
    <w:pPr>
      <w:spacing w:before="100" w:beforeAutospacing="1" w:after="100" w:afterAutospacing="1"/>
    </w:pPr>
    <w:rPr>
      <w:rFonts w:ascii="Tahoma" w:hAnsi="Tahoma" w:cs="Tahoma"/>
      <w:sz w:val="16"/>
      <w:szCs w:val="16"/>
    </w:rPr>
  </w:style>
  <w:style w:type="paragraph" w:customStyle="1" w:styleId="o1">
    <w:name w:val="o1"/>
    <w:basedOn w:val="a"/>
    <w:uiPriority w:val="99"/>
    <w:pPr>
      <w:spacing w:before="100" w:beforeAutospacing="1" w:after="100" w:afterAutospacing="1"/>
    </w:pPr>
    <w:rPr>
      <w:rFonts w:ascii="Tahoma" w:hAnsi="Tahoma" w:cs="Tahoma"/>
      <w:sz w:val="16"/>
      <w:szCs w:val="16"/>
    </w:rPr>
  </w:style>
  <w:style w:type="paragraph" w:customStyle="1" w:styleId="gt">
    <w:name w:val="gt"/>
    <w:basedOn w:val="a"/>
    <w:uiPriority w:val="99"/>
    <w:pPr>
      <w:spacing w:before="100" w:beforeAutospacing="1" w:after="100" w:afterAutospacing="1"/>
      <w:jc w:val="center"/>
    </w:pPr>
    <w:rPr>
      <w:rFonts w:ascii="Arial" w:hAnsi="Arial" w:cs="Arial"/>
      <w:b/>
      <w:bCs/>
    </w:rPr>
  </w:style>
  <w:style w:type="paragraph" w:customStyle="1" w:styleId="h">
    <w:name w:val="h"/>
    <w:basedOn w:val="a"/>
    <w:uiPriority w:val="99"/>
    <w:pPr>
      <w:spacing w:before="100" w:beforeAutospacing="1" w:after="100" w:afterAutospacing="1"/>
    </w:pPr>
    <w:rPr>
      <w:rFonts w:ascii="Arial" w:hAnsi="Arial" w:cs="Arial"/>
      <w:b/>
      <w:bCs/>
      <w:color w:val="FFFFFF"/>
      <w:sz w:val="16"/>
      <w:szCs w:val="16"/>
    </w:rPr>
  </w:style>
  <w:style w:type="paragraph" w:customStyle="1" w:styleId="k">
    <w:name w:val="k"/>
    <w:basedOn w:val="a"/>
    <w:uiPriority w:val="99"/>
    <w:pPr>
      <w:shd w:val="clear" w:color="auto" w:fill="000000"/>
      <w:spacing w:before="100" w:beforeAutospacing="1" w:after="100" w:afterAutospacing="1"/>
    </w:pPr>
    <w:rPr>
      <w:rFonts w:ascii="Arial" w:hAnsi="Arial" w:cs="Arial"/>
      <w:b/>
      <w:bCs/>
      <w:sz w:val="16"/>
      <w:szCs w:val="16"/>
    </w:rPr>
  </w:style>
  <w:style w:type="paragraph" w:customStyle="1" w:styleId="tip">
    <w:name w:val="tip"/>
    <w:basedOn w:val="a"/>
    <w:uiPriority w:val="99"/>
    <w:pPr>
      <w:spacing w:before="100" w:beforeAutospacing="1" w:after="100" w:afterAutospacing="1"/>
    </w:pPr>
    <w:rPr>
      <w:rFonts w:ascii="Tahoma" w:hAnsi="Tahoma" w:cs="Tahoma"/>
      <w:sz w:val="16"/>
      <w:szCs w:val="16"/>
    </w:rPr>
  </w:style>
  <w:style w:type="paragraph" w:customStyle="1" w:styleId="nu">
    <w:name w:val="nu"/>
    <w:basedOn w:val="a"/>
    <w:uiPriority w:val="99"/>
    <w:pPr>
      <w:spacing w:after="100" w:afterAutospacing="1"/>
    </w:pPr>
    <w:rPr>
      <w:rFonts w:ascii="Arial" w:hAnsi="Arial" w:cs="Arial"/>
      <w:sz w:val="14"/>
      <w:szCs w:val="14"/>
    </w:rPr>
  </w:style>
  <w:style w:type="paragraph" w:customStyle="1" w:styleId="Web1">
    <w:name w:val="Обычный (Web)1"/>
    <w:basedOn w:val="a"/>
    <w:uiPriority w:val="99"/>
    <w:pPr>
      <w:spacing w:after="100" w:afterAutospacing="1"/>
      <w:ind w:firstLine="720"/>
      <w:jc w:val="both"/>
    </w:pPr>
    <w:rPr>
      <w:rFonts w:ascii="Verdana" w:hAnsi="Verdana" w:cs="Verdana"/>
    </w:rPr>
  </w:style>
  <w:style w:type="paragraph" w:customStyle="1" w:styleId="Web2">
    <w:name w:val="Обычный (Web)2"/>
    <w:basedOn w:val="a"/>
    <w:uiPriority w:val="99"/>
    <w:pPr>
      <w:spacing w:before="100" w:beforeAutospacing="1" w:after="100" w:afterAutospacing="1"/>
      <w:ind w:firstLine="480"/>
      <w:jc w:val="both"/>
    </w:pPr>
    <w:rPr>
      <w:rFonts w:ascii="Tahoma" w:hAnsi="Tahoma" w:cs="Tahoma"/>
      <w:sz w:val="16"/>
      <w:szCs w:val="16"/>
    </w:rPr>
  </w:style>
  <w:style w:type="character" w:customStyle="1" w:styleId="1">
    <w:name w:val="Гиперссылка1"/>
    <w:uiPriority w:val="99"/>
    <w:rPr>
      <w:rFonts w:ascii="Tahoma" w:hAnsi="Tahoma" w:cs="Tahoma"/>
      <w:color w:val="auto"/>
      <w:u w:val="single"/>
    </w:rPr>
  </w:style>
  <w:style w:type="character" w:customStyle="1" w:styleId="10">
    <w:name w:val="Просмотренная гиперссылка1"/>
    <w:uiPriority w:val="99"/>
    <w:rPr>
      <w:rFonts w:ascii="Tahoma" w:hAnsi="Tahoma" w:cs="Tahoma"/>
      <w:color w:val="auto"/>
      <w:u w:val="single"/>
    </w:rPr>
  </w:style>
  <w:style w:type="character" w:customStyle="1" w:styleId="2">
    <w:name w:val="Гиперссылка2"/>
    <w:uiPriority w:val="99"/>
    <w:rPr>
      <w:color w:val="FF0000"/>
      <w:u w:val="single"/>
    </w:rPr>
  </w:style>
  <w:style w:type="character" w:customStyle="1" w:styleId="20">
    <w:name w:val="Просмотренная гиперссылка2"/>
    <w:uiPriority w:val="99"/>
    <w:rPr>
      <w:color w:val="auto"/>
      <w:u w:val="single"/>
    </w:rPr>
  </w:style>
  <w:style w:type="character" w:customStyle="1" w:styleId="3">
    <w:name w:val="Гиперссылка3"/>
    <w:uiPriority w:val="99"/>
    <w:rPr>
      <w:color w:val="auto"/>
      <w:u w:val="none"/>
      <w:effect w:val="none"/>
    </w:rPr>
  </w:style>
  <w:style w:type="character" w:customStyle="1" w:styleId="30">
    <w:name w:val="Просмотренная гиперссылка3"/>
    <w:uiPriority w:val="99"/>
    <w:rPr>
      <w:color w:val="auto"/>
      <w:u w:val="single"/>
    </w:rPr>
  </w:style>
  <w:style w:type="character" w:customStyle="1" w:styleId="4">
    <w:name w:val="Гиперссылка4"/>
    <w:uiPriority w:val="99"/>
    <w:rPr>
      <w:rFonts w:ascii="Arial" w:hAnsi="Arial" w:cs="Arial"/>
      <w:b/>
      <w:bCs/>
      <w:color w:val="FFFFFF"/>
      <w:spacing w:val="0"/>
      <w:sz w:val="16"/>
      <w:szCs w:val="16"/>
      <w:u w:val="none"/>
      <w:effect w:val="none"/>
      <w:shd w:val="clear" w:color="auto" w:fill="auto"/>
    </w:rPr>
  </w:style>
  <w:style w:type="character" w:customStyle="1" w:styleId="40">
    <w:name w:val="Просмотренная гиперссылка4"/>
    <w:uiPriority w:val="99"/>
    <w:rPr>
      <w:rFonts w:ascii="Arial" w:hAnsi="Arial" w:cs="Arial"/>
      <w:b/>
      <w:bCs/>
      <w:color w:val="FFFFFF"/>
      <w:spacing w:val="0"/>
      <w:sz w:val="16"/>
      <w:szCs w:val="16"/>
      <w:u w:val="none"/>
      <w:effect w:val="none"/>
      <w:shd w:val="clear" w:color="auto" w:fill="auto"/>
    </w:rPr>
  </w:style>
  <w:style w:type="paragraph" w:customStyle="1" w:styleId="Web3">
    <w:name w:val="Обычный (Web)3"/>
    <w:basedOn w:val="a"/>
    <w:uiPriority w:val="99"/>
    <w:pPr>
      <w:spacing w:after="100" w:afterAutospacing="1"/>
    </w:pPr>
    <w:rPr>
      <w:rFonts w:ascii="Tahoma" w:hAnsi="Tahoma" w:cs="Tahoma"/>
      <w:sz w:val="16"/>
      <w:szCs w:val="16"/>
    </w:rPr>
  </w:style>
  <w:style w:type="character" w:customStyle="1" w:styleId="5">
    <w:name w:val="Гиперссылка5"/>
    <w:uiPriority w:val="99"/>
    <w:rPr>
      <w:rFonts w:ascii="Tahoma" w:hAnsi="Tahoma" w:cs="Tahoma"/>
      <w:color w:val="000000"/>
      <w:sz w:val="15"/>
      <w:szCs w:val="15"/>
      <w:u w:val="none"/>
      <w:effect w:val="none"/>
    </w:rPr>
  </w:style>
  <w:style w:type="character" w:customStyle="1" w:styleId="50">
    <w:name w:val="Просмотренная гиперссылка5"/>
    <w:uiPriority w:val="99"/>
    <w:rPr>
      <w:rFonts w:ascii="Tahoma" w:hAnsi="Tahoma" w:cs="Tahoma"/>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5903</Words>
  <Characters>3366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Гитара, виуэла, лютня  в Европе XV - XVII века</vt:lpstr>
    </vt:vector>
  </TitlesOfParts>
  <Company>PERSONAL COMPUTERS</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Гитара, виуэла, лютня  в Европе XV - XVII века</dc:title>
  <dc:subject/>
  <dc:creator>USER</dc:creator>
  <cp:keywords/>
  <dc:description/>
  <cp:lastModifiedBy>admin</cp:lastModifiedBy>
  <cp:revision>2</cp:revision>
  <dcterms:created xsi:type="dcterms:W3CDTF">2014-01-26T17:06:00Z</dcterms:created>
  <dcterms:modified xsi:type="dcterms:W3CDTF">2014-01-26T17:06:00Z</dcterms:modified>
</cp:coreProperties>
</file>