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46345" w:rsidRDefault="005A2B22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 несовершеннолетних преступников</w:t>
      </w:r>
    </w:p>
    <w:p w:rsidR="00FB2C91" w:rsidRPr="005A2B22" w:rsidRDefault="00FB2C91" w:rsidP="005A2B22">
      <w:pPr>
        <w:pStyle w:val="a3"/>
        <w:widowControl w:val="0"/>
        <w:suppressAutoHyphens/>
        <w:spacing w:line="360" w:lineRule="auto"/>
        <w:ind w:righ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A2B22" w:rsidRPr="005A2B22" w:rsidRDefault="005A2B22" w:rsidP="005A2B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2B22">
        <w:rPr>
          <w:sz w:val="28"/>
          <w:szCs w:val="28"/>
        </w:rPr>
        <w:br w:type="page"/>
      </w:r>
      <w:r w:rsidR="00146345" w:rsidRPr="005A2B22">
        <w:rPr>
          <w:sz w:val="28"/>
          <w:szCs w:val="28"/>
        </w:rPr>
        <w:t>В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социологии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термин</w:t>
      </w:r>
      <w:r w:rsidRPr="005A2B22">
        <w:rPr>
          <w:sz w:val="28"/>
          <w:szCs w:val="28"/>
        </w:rPr>
        <w:t xml:space="preserve"> "</w:t>
      </w:r>
      <w:r w:rsidR="00146345" w:rsidRPr="005A2B22">
        <w:rPr>
          <w:sz w:val="28"/>
          <w:szCs w:val="28"/>
        </w:rPr>
        <w:t>субкультура</w:t>
      </w:r>
      <w:r w:rsidRPr="005A2B22">
        <w:rPr>
          <w:sz w:val="28"/>
          <w:szCs w:val="28"/>
        </w:rPr>
        <w:t xml:space="preserve">" </w:t>
      </w:r>
      <w:r w:rsidR="00146345" w:rsidRPr="005A2B22">
        <w:rPr>
          <w:sz w:val="28"/>
          <w:szCs w:val="28"/>
        </w:rPr>
        <w:t>используется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давно,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но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об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асоциальной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и,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тем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более,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криминальной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субкультуре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в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нашем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обществе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заговорили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совсем</w:t>
      </w:r>
      <w:r w:rsidRPr="005A2B22">
        <w:rPr>
          <w:sz w:val="28"/>
          <w:szCs w:val="28"/>
        </w:rPr>
        <w:t xml:space="preserve"> </w:t>
      </w:r>
      <w:r w:rsidR="00146345" w:rsidRPr="005A2B22">
        <w:rPr>
          <w:sz w:val="28"/>
          <w:szCs w:val="28"/>
        </w:rPr>
        <w:t>недавно.</w:t>
      </w:r>
    </w:p>
    <w:p w:rsidR="005A2B22" w:rsidRPr="005A2B22" w:rsidRDefault="00146345" w:rsidP="005A2B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2B22">
        <w:rPr>
          <w:sz w:val="28"/>
          <w:szCs w:val="28"/>
        </w:rPr>
        <w:t>Преступность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вообще,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молодежная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преступность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частности,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-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это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объективный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закономерный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общественный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процесс.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Преступный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мир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общество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существуют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отдельно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друг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от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друга.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Верно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замечено,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что</w:t>
      </w:r>
      <w:r w:rsidR="005A2B22" w:rsidRPr="005A2B22">
        <w:rPr>
          <w:sz w:val="28"/>
          <w:szCs w:val="28"/>
        </w:rPr>
        <w:t xml:space="preserve"> "</w:t>
      </w:r>
      <w:r w:rsidRPr="005A2B22">
        <w:rPr>
          <w:sz w:val="28"/>
          <w:szCs w:val="28"/>
        </w:rPr>
        <w:t>Преступники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-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часть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общества,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порождены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обществом,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проблему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преступности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бессмысленно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изучать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отрыве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от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других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социальных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проблем,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да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жизнь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общества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целом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надо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изучать,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помня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преступности</w:t>
      </w:r>
      <w:r w:rsidR="005A2B22" w:rsidRPr="005A2B22">
        <w:rPr>
          <w:sz w:val="28"/>
          <w:szCs w:val="28"/>
        </w:rPr>
        <w:t>"</w:t>
      </w:r>
      <w:r w:rsidRPr="005A2B22">
        <w:rPr>
          <w:sz w:val="28"/>
          <w:szCs w:val="28"/>
        </w:rPr>
        <w:t>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Преступный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мир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имеет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свои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ценности,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нормы,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законы.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Исследуя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субкультуру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сообщества,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мы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можем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более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глубоко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понять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внутреннюю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сущность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преступного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мира.</w:t>
      </w:r>
    </w:p>
    <w:p w:rsidR="005A2B22" w:rsidRPr="005A2B22" w:rsidRDefault="00146345" w:rsidP="005A2B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2B22">
        <w:rPr>
          <w:sz w:val="28"/>
          <w:szCs w:val="28"/>
        </w:rPr>
        <w:t>Ведь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нельзя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совершить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преступление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того,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сего.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Часто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вынашиваются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планы,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выдвигаются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цели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преступления.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Человек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внутренне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психологически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готовит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себя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к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тому,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чтобы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переступить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запретную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черту,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стараясь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заглушить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голос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совести,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оправдать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свои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действия,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отыскать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себе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ближайшем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окружении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некую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точку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опоры.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Без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этого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невозможно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само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существование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преступного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мира,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его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объединение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определенную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систему,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его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организованность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сплоченность.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Ведь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перед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совершением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преступления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необходимо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убедить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себя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том,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что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преступление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есть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преступление,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получить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моральную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поддержку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ближайшего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окружения.</w:t>
      </w:r>
    </w:p>
    <w:p w:rsidR="005A2B22" w:rsidRPr="005A2B22" w:rsidRDefault="00146345" w:rsidP="005A2B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2B22">
        <w:rPr>
          <w:sz w:val="28"/>
          <w:szCs w:val="28"/>
        </w:rPr>
        <w:t>Организованная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основа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преступного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мира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может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существовать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без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уголовных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традиций,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норм,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ценностей,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атрибутов,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подчиняющих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поведение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людей,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втянутых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преступную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деятельность,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своим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законам.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Игнорировать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криминальную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субкультуру,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считая,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что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единственной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целью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для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людей,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совершающих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преступления,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является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жажда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обогащения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-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не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только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заблуждение,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но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и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опасная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ошибка.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В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этом,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по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мнению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автора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актуальность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рассматриваемой</w:t>
      </w:r>
      <w:r w:rsidR="005A2B22" w:rsidRPr="005A2B22">
        <w:rPr>
          <w:sz w:val="28"/>
          <w:szCs w:val="28"/>
        </w:rPr>
        <w:t xml:space="preserve"> </w:t>
      </w:r>
      <w:r w:rsidRPr="005A2B22">
        <w:rPr>
          <w:sz w:val="28"/>
          <w:szCs w:val="28"/>
        </w:rPr>
        <w:t>проблемы.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Бытует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мнение,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лишь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исправительных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(колониях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тюрьмах),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приемниках-распределителях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следственных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изоляторах,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близких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учебно-воспитательных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правонарушителей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Конечно,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рельефно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выражена.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учесть,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свободе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(детских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домах,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интернатах,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общежитиях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предприятиях,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армейских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подразделениях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обычных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общеобразовательных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ПТУ).</w:t>
      </w:r>
    </w:p>
    <w:p w:rsidR="005A2B22" w:rsidRPr="005A2B22" w:rsidRDefault="0096531B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есовершеннолетн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BE3F48"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обучающ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ийся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общеобразовательной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находится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нескольких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сферах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одновременно.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Первая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сфера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формальная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(официальная),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связанная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исполнением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учащимся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всеобуче.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обязан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посещать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овладевать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знаниями.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обязанности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зафиксированы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Положениях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заведениях.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Трудясь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производстве,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соблюдать,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трудовую,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производственную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технологическую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дисциплину.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нарушение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установленных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официальных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учащемуся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применены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многообразные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санкции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(порицание,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наказание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т.п.).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Другая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сфера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неофициальная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(неформальная).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связана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положением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среде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сверстников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семье,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неформальными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отношениями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взрослыми.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используются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другие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меры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воздействия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личность.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Естественно,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каждая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сфер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шкалу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ценностей,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престижности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оценки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поведения.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Нередко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учащийся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характеризуется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положительно,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сверстников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низкий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социометрический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статус,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E076A" w:rsidRPr="005A2B2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пользуется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авторитетом.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считают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трудновоспитуемым,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кумиром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означает,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шкалы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измерения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престижности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оценок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сфер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совпадают,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противоречат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Следовательно,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сферы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человек,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оказывают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абсолютно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влияние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поведение.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Формальная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(официальная)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структура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призвана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помочь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юноше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получить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среднее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образование,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выбрать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профессию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овладеть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подготовиться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трудовой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лишь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жизнедеятельности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(отношений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подготовке,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труду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общественной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участию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органах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ученического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разделяют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активистов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неактивистов,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успевающих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успевающих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дисциплинированных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недисциплинированных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оценки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черт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человека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позиций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управляемости,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степени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послушания,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сказать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удобности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педагогов.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неофициальная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(неформальная)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структура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НОМов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(неформальных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никогда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ничего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задается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сверху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абсолютно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автономны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вписываются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структуры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высокого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порядка.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зависимы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старших,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внешне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казалось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четких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организационных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параметров.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возникают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из-за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дефицита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низкого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уровня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</w:t>
      </w:r>
      <w:r w:rsidR="001E076A" w:rsidRPr="005A2B22">
        <w:rPr>
          <w:rFonts w:ascii="Times New Roman" w:hAnsi="Times New Roman" w:cs="Times New Roman"/>
          <w:color w:val="auto"/>
          <w:sz w:val="28"/>
          <w:szCs w:val="28"/>
        </w:rPr>
        <w:t>оты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76A" w:rsidRPr="005A2B22">
        <w:rPr>
          <w:rFonts w:ascii="Times New Roman" w:hAnsi="Times New Roman" w:cs="Times New Roman"/>
          <w:color w:val="auto"/>
          <w:sz w:val="28"/>
          <w:szCs w:val="28"/>
        </w:rPr>
        <w:t>формальных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76A"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объединений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Основания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классификации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различны.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Топалов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(Институт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социологии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РФ)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самодеятельные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имеющие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программу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ведущие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полезную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работу;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организационно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оформившиеся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(есть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структура,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членские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взносы,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избрано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руководство);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собственно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неформалы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(обращенные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преимущественно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досуга).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Панкратов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Прокуратуры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РФ)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досуговые,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политизированные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антисоциальные).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Лисовский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(ЛГУ)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выделяет,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просоциальные,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</w:t>
      </w:r>
      <w:r w:rsidR="002B3D35" w:rsidRPr="005A2B22">
        <w:rPr>
          <w:rFonts w:ascii="Times New Roman" w:hAnsi="Times New Roman" w:cs="Times New Roman"/>
          <w:color w:val="auto"/>
          <w:sz w:val="28"/>
          <w:szCs w:val="28"/>
        </w:rPr>
        <w:t>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D35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D35" w:rsidRPr="005A2B22">
        <w:rPr>
          <w:rFonts w:ascii="Times New Roman" w:hAnsi="Times New Roman" w:cs="Times New Roman"/>
          <w:color w:val="auto"/>
          <w:sz w:val="28"/>
          <w:szCs w:val="28"/>
        </w:rPr>
        <w:t>антисоциальные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D35" w:rsidRPr="005A2B22">
        <w:rPr>
          <w:rFonts w:ascii="Times New Roman" w:hAnsi="Times New Roman" w:cs="Times New Roman"/>
          <w:color w:val="auto"/>
          <w:sz w:val="28"/>
          <w:szCs w:val="28"/>
        </w:rPr>
        <w:t>НОМы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2B3D35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еформальные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молодежи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разделить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подсистемы: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просоциальную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асоциальную.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Представители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подсистем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действовать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досуга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досугового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потребителя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сферах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политики,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экологии,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техники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Независимо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сферы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приложения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представители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первой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подсистемы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социально-позитивные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группы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Конечно,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отвергать,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ниспровергать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устоявшиеся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взгляды,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установки.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естественно.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отрицания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общечеловеческих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ценностей.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оппозиция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подрастающего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поколения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обеспечивает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прогресс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развитии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общества.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времена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отличалась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предшествующих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поколений.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смену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устоявшимся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стереотипам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приносят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r w:rsidR="001F29BB" w:rsidRPr="005A2B22">
        <w:rPr>
          <w:rFonts w:ascii="Times New Roman" w:hAnsi="Times New Roman" w:cs="Times New Roman"/>
          <w:color w:val="auto"/>
          <w:sz w:val="28"/>
          <w:szCs w:val="28"/>
        </w:rPr>
        <w:t>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29BB" w:rsidRPr="005A2B22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29BB" w:rsidRPr="005A2B22">
        <w:rPr>
          <w:rFonts w:ascii="Times New Roman" w:hAnsi="Times New Roman" w:cs="Times New Roman"/>
          <w:color w:val="auto"/>
          <w:sz w:val="28"/>
          <w:szCs w:val="28"/>
        </w:rPr>
        <w:t>поведения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подростково-юношеской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(молодежной)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шокирующей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экстравагантностью,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выражающейся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одежду,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обувь,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музыку,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спортом,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F48" w:rsidRPr="005A2B22">
        <w:rPr>
          <w:rFonts w:ascii="Times New Roman" w:hAnsi="Times New Roman" w:cs="Times New Roman"/>
          <w:color w:val="auto"/>
          <w:sz w:val="28"/>
          <w:szCs w:val="28"/>
        </w:rPr>
        <w:t>досуга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F48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F48" w:rsidRPr="005A2B22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F48"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Асоциальный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(или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антисоциальный)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тип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объединений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характеризуется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размытостью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моральных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ценностями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установками.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оказаться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панки,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хиппи,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металлисты,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хулигантсвующие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гопники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наркоманы,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профашистские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сообщества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образом,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содержанию,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степени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сформированности,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структуре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далеко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однородна.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Достаточно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сравнить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установки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металлистов,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рокеров,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панков,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представителей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итальянцев,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кришнаитов,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культуристов,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по-фигистов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фиге),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неонацистов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гопников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02568"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говор</w:t>
      </w:r>
      <w:r w:rsidR="00F02568" w:rsidRPr="005A2B22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2568" w:rsidRPr="005A2B22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поклонниках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У-шу,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скаутах,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истинных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ленинцах,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ампиловцах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отличаются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программами),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ценностями,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атрибутами,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знаково-опознавательной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жаргоном.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Разница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весьма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значительна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атеизма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мессию,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гуру),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увлечения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спортом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(музыкой)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увлечения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политикой,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соблюдения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моральных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юридических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попрания.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группировок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бесконечно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отдаляющийся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общечеловеческих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приближающийся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ним.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случаях,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перерастает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(асоциальное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антисоциальное)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сразу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возникает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таковое,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коренньм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образом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изменяются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установки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возникают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базе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неформальных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по-разному.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нонкриминальные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(рокеров,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металлистов,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фанатов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перерастают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значительной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зависит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состава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сложившейся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ситуации.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Бывает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стихийно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сложившаяся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перерастает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давлением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лидера.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Бывает,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лидер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ищет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себе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соратников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совершения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формирует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группу.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Возникают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ситуации,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устойчивая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превращается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своеобразный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филиал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шайки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(банды,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мафии)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числа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связанных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коррумпированными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верхами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правоохранительных,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государственных,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недалеком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прошлом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партийных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органах.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целенаправленно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насаждаются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атрибуты,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оправдывающие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обеспечивающие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единство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достижении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целей.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установки,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атрибуты,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опознавательно-знаковая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жаргон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представляют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научной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литературе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6107D8"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получила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название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(асоциальной)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фактической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скрытой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Однако,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последнее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наиболее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распространенными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термины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(криминальная)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cyбкультура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неформальная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Термин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пришел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времен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ГУЛАГа.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употреблялся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лагерей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взаимоотношений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осужденных.</w:t>
      </w:r>
    </w:p>
    <w:p w:rsidR="005A2B22" w:rsidRPr="005A2B22" w:rsidRDefault="003859E4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Насколько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неоднородна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подростково-юношеская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многопланова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представляющая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слоеный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пирог.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Каждый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слой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таком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пироге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групп,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занятых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конкретной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деятельностью,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отражающей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степень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организованности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профессионализма.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позиций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целом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говорить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тюремной,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воровской,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валютчиков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фарцовщиков,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проституток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наркоманов,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рэкетиров,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сексуальных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насильников,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сутенеров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Концентрация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большого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количества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правонарушителей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возникновению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функционированию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закрытых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учебно-воспитательных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исправительных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(спецшколах,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ВТК),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приемниках-распределителях,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следственных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изоляторах.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устойчива,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свободе.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образом,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официальной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нельзя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отождествлять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подростково-юношескую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(молодежную)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хотя,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увидим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далее,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отдельные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элементы,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обусловленные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особенностями,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внешне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сходны.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образ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жизнедеятельности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молодежи,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объединившихся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криминальные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группы.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действуют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чуждые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общечеловеческим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ценностям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требованиям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Назовем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важнейшие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любит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гласности.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Жизнедеятельность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лиц,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входящих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значительной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степени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скрыта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глаз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взрослых.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демонстрируются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противодействия.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случайно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местами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являются,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отмечали,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туалеты,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подъезды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домов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(нередко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разновидность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называют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туалетно-школьной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подвалы,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чердаки,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отдаленные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парки,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скверы,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учебно-воспитательных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исправительных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места,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мало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контролируемые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службой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режима.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Тусовка,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правило,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друзьями,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обмен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информацией,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совместные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выпивки,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любовь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очередь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антиобщественное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поведение.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август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1990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ленинградские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социологи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опросили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1100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Москве,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Ленинграде,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Сочи,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Кустанае,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Тюмени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Нижнем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Тагиле.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80%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опрошенных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оказались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несовершеннолетними.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39%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школьники,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20%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учащиеся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6%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техникуме,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3%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ВУЗе,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16%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работают.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Выяснилось,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58%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опрошенных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проводят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свободное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тусовке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ежедневно.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третьего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человека,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пришедшего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отца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живет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семьей,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десятого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матери.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третий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состоит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состоял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учете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инспекции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пятого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разбиралось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Лишь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40%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опрошенных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утверждали,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совершали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правонарушений.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показало,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60%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психологически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готовы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употреблению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алкоголя,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8%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употреблению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наркотиков,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5%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употреблению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токсических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веществ.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Лишь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36%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опрошенных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DAE" w:rsidRPr="005A2B22">
        <w:rPr>
          <w:rFonts w:ascii="Times New Roman" w:hAnsi="Times New Roman" w:cs="Times New Roman"/>
          <w:color w:val="auto"/>
          <w:sz w:val="28"/>
          <w:szCs w:val="28"/>
        </w:rPr>
        <w:t>самостоятельный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DAE" w:rsidRPr="005A2B22">
        <w:rPr>
          <w:rFonts w:ascii="Times New Roman" w:hAnsi="Times New Roman" w:cs="Times New Roman"/>
          <w:color w:val="auto"/>
          <w:sz w:val="28"/>
          <w:szCs w:val="28"/>
        </w:rPr>
        <w:t>заработок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опроса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тусовочников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наиболее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деньги,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порнография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секс,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тачка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(автомашина),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посещение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ресторанов,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отдых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престижных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курортах.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привлекают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коммерция,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охране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банкиров,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рэкет.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Потеряли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привлекательность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получение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образования,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профессии,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создание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крепкой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семьи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т.д.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сказанного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трудно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сделать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вывод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распространении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приобщения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миру.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Кроме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тусовочная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копилкой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опыта,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своеобразным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регулятором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санкционируя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пресекая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тип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поведения.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точки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зрения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состоит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постоянно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обновляются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совершенствуются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Традиционные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заменяются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новыми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трансформируются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сегодняшнего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дня.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Некоторые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исследователи,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говоря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истоках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причинах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зарождения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отечественной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мафии,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взявшей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вооружение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арсенала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30-50-х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годов,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числе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атрибутику,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приходят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выводу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чисто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внешнее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заимствование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сходство.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Преступники-профессионалы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прошлого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сказать,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более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строгую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криминальную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мораль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нежели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мораль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сегодняшних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сообществ.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прошлом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звание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невозможно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купить,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получить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блату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надо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заслужить.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Герой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Исповеди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кличке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Лихой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оказавшись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приеме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офисе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современного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рассуждает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оказывается,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кооператива,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бизнесмен,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действующий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легально.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оборотная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сторона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медали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скрыта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посторонних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глаз.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Неплохо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придумано,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карманников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закалки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непривычно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неприемлемо.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означало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заниматься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ремеслом,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нигде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работая.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говорю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боссов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существовало.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равны,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никто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давить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опытом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авторитетом,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сходках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решалось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голосованием</w:t>
      </w:r>
      <w:r w:rsid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позицию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сдают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наши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неписанные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держались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десятки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лет.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прежде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нарушение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хотя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босяки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брата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наказывали,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</w:t>
      </w:r>
      <w:r w:rsidR="001D7DAE" w:rsidRPr="005A2B22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DAE" w:rsidRPr="005A2B22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DAE" w:rsidRPr="005A2B22">
        <w:rPr>
          <w:rFonts w:ascii="Times New Roman" w:hAnsi="Times New Roman" w:cs="Times New Roman"/>
          <w:color w:val="auto"/>
          <w:sz w:val="28"/>
          <w:szCs w:val="28"/>
        </w:rPr>
        <w:t>лишали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DAE" w:rsidRPr="005A2B22">
        <w:rPr>
          <w:rFonts w:ascii="Times New Roman" w:hAnsi="Times New Roman" w:cs="Times New Roman"/>
          <w:color w:val="auto"/>
          <w:sz w:val="28"/>
          <w:szCs w:val="28"/>
        </w:rPr>
        <w:t>...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трансформацию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повлиял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ряд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факторов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Прежде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годы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культа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тюрьмах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колониях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оказалась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значительная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передовых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(старые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интеллигенты,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революционеры,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служащие,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военные,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искусства,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ученые).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гуманистическими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идеалами,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бескорыстием,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милосердием,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верностью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слову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оказывали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позитивное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влияние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мир,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облагораживали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его.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влияния,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представители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правоохранительных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прежде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внутренних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натравливать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уголовников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политических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пытаясь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выбить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признание,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пойти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самооговор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временем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падению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морали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профессиональных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спонтанных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преступников.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обстоятельство,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многие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существовали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еще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революции.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перешли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советское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царской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еще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регулировали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сообществ,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разделяя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сферы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влияния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ними.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революции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мораль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преступников-профессионалов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поддерживала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царская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полиция,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ведь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выгодно.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преступниками,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придерживающимися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принципов,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легче,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бороться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называемыми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спонтанными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преступниками.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Полиция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держала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профессионалов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учете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знала,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ожидать.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Полицейские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гопники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форточники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мошенники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пойдут,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мокрое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из-за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боязни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слишком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сурового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наказания,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из-за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идейных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соображений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профессионал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подчерк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модус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операнди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полиция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легко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вычисляла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его.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Всеобщая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криминализация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советского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пропущенного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ГУЛАГ,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привела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стиранию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граней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между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профессиональной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непрофессиональной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преступностью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следовательно,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размыванию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границ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четко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очерченной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(тюремной)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Резкое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падение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нравов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нашем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застоя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(дегуманизация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межличностных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жестокость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чужими,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утрата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общечеловеческих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качеств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чувства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собственного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достоинства,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верности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слову,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милосердия,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сострадания)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падению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нравов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мире.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утратили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священный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неприкосновенный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объявлял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выгодно,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невыгодно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говорил,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выходит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уровнях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номенклатура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принципом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вседозволенности.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появлению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психологически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готовых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совершению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любого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преступления,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внутренних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тормозов,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никаких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принципов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морали.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стороны,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заметить,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порождена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культурой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официальной,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антагонистических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отношениях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резко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отрицательное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официальным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правилам,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порядкам.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Нередко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паразитирует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общечеловеческих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нашего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чувство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гражданского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долга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подменяется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понятием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долга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воровского,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товарищество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круговой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порукой,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дружба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преданностью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лидеру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семье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Существующие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строго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обязательны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всех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сторонников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другой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жизни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автократична,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тоталитарна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характеру.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Отступники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беспощадно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караются.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понятно,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современная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впитала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пороки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административно-командной,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тоталитарной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возникла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почве.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свободы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выражения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полагая,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верху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иерархической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лестницы,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остальны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лишь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обязанности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привлекает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существует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запретов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любую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информацию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числе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интимную,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заметно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называемой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сексуальной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революции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возможность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получить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сверстников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информацию,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запрещаемую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обычных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условиях.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Усвоение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сравнительно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быстро,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бывают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увлечены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атрибутами,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имеющими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эмоциональную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окраску,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налет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ложной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романтики,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таинственности,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необычности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т.д.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Изучением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структуры,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элементов,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истоков,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механизмов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функционирования,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влияния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личность,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методов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изучения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способов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профилактики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занимались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видные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ученые,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писатели,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практики.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целостной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картины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сегодня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имеем.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структурных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элементов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найти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Геринга,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М.Н.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Гернета,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А.С.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Макаренко,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Валигура,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П.И.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Карпова,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В.И.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Монахова,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Подгурецкого,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Лош,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Андерсена,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Медынского,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Корчака,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Стручкова,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Челидзе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Глубокому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пониманию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способствовали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произведения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художественной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литературы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Солженицына,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Шведова,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Шаламова,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Габышева,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Леви,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Думбадзе,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Безуглова,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Дриппе,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авторов,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раскрывающих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архипелага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ГУЛАГ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Актуальность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рассматриваемой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проблемы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объясняется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отсутствием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приемлемой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теоретической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концепции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необходимостью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борьбы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наиболее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негативными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проявлениями,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унижающими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человеческое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достоинство,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развращающими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основным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механизмом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криминализации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молодежной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среды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вредность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заключается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служит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механизмом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сплочения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затрудняет,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искажает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блокирует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процесс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социализации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личности,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стимулирует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юношей.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Весьма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непросто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понять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механизм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разобраться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условностей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табу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исследователям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приходится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встречаться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двойной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оппозицией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взрослым: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говорилось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выше)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асоциальной.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ведут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борьбу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оппозицией,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принимая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криминальную.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Бывает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придают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оппозиции,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вредному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влиянию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энергии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затрачено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борьбу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металлистами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рокерами.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доказала,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подойти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непредвзято,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направив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пользу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вопрос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асоциальности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группировок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будет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снят.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Известно,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ряде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стран,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Англии,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власти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используют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рокеров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доставки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срочной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почты,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преимущества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проезде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разрешая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большие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скорости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черте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города.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ряде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регионов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нашей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страны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рокеров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отводятся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трассы.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изучают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материальную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автомототранспорта,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дорожного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движения,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рокеров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привлекают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испытательной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позитивные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результаты.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Даже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называемые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законопослушные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допускают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групповым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тайнам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посторонних,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прежде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силу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подростково-юношеской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говорить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пытающихся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утаить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посторонних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жизнедеятельности?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изучение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криминогенных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методами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прямого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социально-психологического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(социометрией,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опросом,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референтометрией,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интервью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объективной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картины.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Искажения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весьма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существенными.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Провести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свободе,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невозможно.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ретроспективно,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арестована,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следственном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изоляторе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приемнике-распределителе.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приводит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объективной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оценке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переоценке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позиции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членом.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понятно.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арестом,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стремятся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рассказать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следователю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группе.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Думая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получить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меньший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срок,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валят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вину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(значит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распалась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следствия)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продолжают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играть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несгибаемость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честность,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выгораживая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лидера,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взрослый),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беря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ответственность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(консолидация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продолжается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ходе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512A" w:rsidRPr="005A2B22">
        <w:rPr>
          <w:rFonts w:ascii="Times New Roman" w:hAnsi="Times New Roman" w:cs="Times New Roman"/>
          <w:color w:val="auto"/>
          <w:sz w:val="28"/>
          <w:szCs w:val="28"/>
        </w:rPr>
        <w:t>следствия)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изоляции,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давления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следствия,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общественного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осуждения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члены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склонны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вступать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своеобразную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игру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исследователем,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стремясь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угадать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мнение,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ответ,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ждет,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показать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лучшей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оговорить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себя.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приходится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отрицать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очевидного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искажения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ответов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опрашиваемых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правонарушителей,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незаконно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помещенных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следователем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пресс-хату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(камеру,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нужные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лицам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показания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ответы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выбиваются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находящимися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заключенными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прессуют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правонарушителя).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опросы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исследователя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активизируют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механизмы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психологической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защиты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самооправдания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Случаи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атрибутов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единичны.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0E4"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наличествует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типа.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0E4"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0E4" w:rsidRPr="005A2B22">
        <w:rPr>
          <w:rFonts w:ascii="Times New Roman" w:hAnsi="Times New Roman" w:cs="Times New Roman"/>
          <w:color w:val="auto"/>
          <w:sz w:val="28"/>
          <w:szCs w:val="28"/>
        </w:rPr>
        <w:t>отметить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тенденцию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упорядочению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систематизации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(формированию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определенной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масштабах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страны).</w:t>
      </w:r>
    </w:p>
    <w:p w:rsidR="005A2B22" w:rsidRPr="005A2B22" w:rsidRDefault="00B220E4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ежду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воспитанниками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ВТК,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учащимися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спецшкол,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спецПТУ,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общеобразовательных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школ,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средних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солдатами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армии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существуют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каналы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трассы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которым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идет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обмен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духовными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ценностями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Большинство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находящихся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колониях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спецучреждениях,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ведет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переписку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своими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сверстниками,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находящимися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свободе.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Значит,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духовные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процессы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среде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молодежи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нельзя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ограничить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стенами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учреждений,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где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находятся.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учесть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идет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движение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(миграция),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писем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подростково-юношеской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популяции.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правонарушители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совершение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преступления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помещаются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закрытые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принося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туда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сообществ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заведений.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очередь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освобожденные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воспитательно-трудовых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исправительно-трудовых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колоний,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вернувшиеся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спецшкол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спецПТУ,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приносят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общеобразовательные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школы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коллективы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предприятий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нормы,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там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DDC" w:rsidRPr="005A2B22">
        <w:rPr>
          <w:rFonts w:ascii="Times New Roman" w:hAnsi="Times New Roman" w:cs="Times New Roman"/>
          <w:color w:val="auto"/>
          <w:sz w:val="28"/>
          <w:szCs w:val="28"/>
        </w:rPr>
        <w:t>усвоили.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обмен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происходит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штатской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служит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армии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флоте.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армию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флот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призывники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приносят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модель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бугризма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Уволенные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запас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приносят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трудовые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коллективы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идеологию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психологию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армейской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дедовщины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Пытаться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случаях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определить,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процессах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первично,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вторично,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нецелесообразно.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Ведь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сложилась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систему,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найти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первопричину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вряд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взаимопроникновения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имея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агрессивный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становиться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связующим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звеном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первичной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рецидивной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преступности,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социально-психологический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механизм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эскалации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правонарушитель,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вернувшись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ВТК,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готовый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лидер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который,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стремится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создать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криминогенную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группу.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Бравируя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знаниями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требований,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самоутверждается,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заставляет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окружающих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принять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следовать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поступает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некоторая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уволенных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армии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запас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дедов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самоутверждаясь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B220E4" w:rsidRPr="005A2B22">
        <w:rPr>
          <w:rFonts w:ascii="Times New Roman" w:hAnsi="Times New Roman" w:cs="Times New Roman"/>
          <w:color w:val="auto"/>
          <w:sz w:val="28"/>
          <w:szCs w:val="28"/>
        </w:rPr>
        <w:t>честве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0E4"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20E4" w:rsidRPr="005A2B22">
        <w:rPr>
          <w:rFonts w:ascii="Times New Roman" w:hAnsi="Times New Roman" w:cs="Times New Roman"/>
          <w:color w:val="auto"/>
          <w:sz w:val="28"/>
          <w:szCs w:val="28"/>
        </w:rPr>
        <w:t>лидеров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учесть,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значительной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7DFE" w:rsidRPr="005A2B2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второго),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отбывающих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наказание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ВТК,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находящихся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перевоспитании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спецшколах,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состоящих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учете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ИДН,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кто-то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родственников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отбывать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отбыл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уголовное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наказание,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т.е.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семейными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узами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тесно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связаны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взрослым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миром.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случайно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говорят,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советской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власти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колониях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тюрьмах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суммарно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отсидело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большинство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населения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страны.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создает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проникновения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почти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российскую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семью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культивированию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там.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Распространению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закреплению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обвальный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рост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количества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детективной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литературы,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детективных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кинофильмов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видеофильмов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красочно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смакуются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отдельные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элементы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роль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сообществ.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Еще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важной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причиной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агрессии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мощные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миграционные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процессы,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связанные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великим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переселением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стройки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коммунизма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ведь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направлялись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амнистированные,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освобожденные,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условно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осужденные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жаргоне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называют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химиками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Сливаясь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поток,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воровская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(тюремная)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порождали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местах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строек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коммунизма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социально-психологический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климат,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родившиеся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местах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оказавшиеся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родителями,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избавляясь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одиночества,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поисках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психологической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защиты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быстро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усваивали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нравы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мира.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Эмпирические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признаки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субкультуры.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работники,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учебных,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воспитатели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воспитательных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исправительных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(ВТК,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спецшкол,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СИЗО,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приемников-распределителей),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сотрудники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ИДН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КДН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социально-негативные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далеко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зашло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расслоение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неформальной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сферы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внешние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Многие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видят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увлечении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людей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уголовным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(воровским)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жаргоном,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кличками,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стремлением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нанесению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татуировок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т.д.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Удельный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различен.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Кроме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того,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определяя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причину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подвергать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системному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социально-психологическому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анализу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определять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корни,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видеть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носителей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распространителей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коллективе.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попытаться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попять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происхождение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механизмы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молодежь.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Степень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сформированное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оформленное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учебном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различной.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связанные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элементы,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внешне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оказывающие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существенного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влияния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воспитательный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процесс.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данная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получает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определенное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оформление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возникает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антагонизм,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начинают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играть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определенную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роль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Нередко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господствует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полностью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парализует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воспитательный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процесс,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педагогического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коллектива.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воспитательно-трудовых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колоний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выступающих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экспертов,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показал,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определяются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признакам,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указанным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таблице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выводы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проверены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инженерно-педагогических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работниках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работниках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ИДН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сопоставлены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результатами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опроса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носителей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(лиц,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вернувшихся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ВТК,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спецшкол,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спецПТУ).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критериям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признакам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дедовщины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армии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проведен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опрос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командиров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политработников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ротного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батальонного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звена,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воинов,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уволившихся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запас.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целом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эксперты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достаточно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выявили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эмпирические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показатели,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определяется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степень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развитости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организованности.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сделать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вывод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закрытых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воспитательных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исправительных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отмечаются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воинских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подразделениях,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пораженных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недугом: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деление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солдат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враждующие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группировки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национальному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признаку,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жесткая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групповая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иерархия,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дезертирство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из-за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побоев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издевательств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дедов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неограниченные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привилегии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последним,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факты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мужеложства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непокорными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нанесение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татуировок,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групповые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нарушения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воинской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дисциплины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</w:p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0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0"/>
        </w:rPr>
        <w:t xml:space="preserve">Признаки, свидетельствующие о наличии криминальной субкультуры </w:t>
      </w:r>
      <w:r w:rsidRPr="005A2B22">
        <w:rPr>
          <w:rFonts w:ascii="Times New Roman" w:hAnsi="Times New Roman" w:cs="Times New Roman"/>
          <w:bCs/>
          <w:color w:val="auto"/>
          <w:sz w:val="28"/>
          <w:szCs w:val="20"/>
        </w:rPr>
        <w:t>(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0"/>
        </w:rPr>
        <w:t>"другой жизни"</w:t>
      </w:r>
      <w:r w:rsidRPr="005A2B22">
        <w:rPr>
          <w:rFonts w:ascii="Times New Roman" w:hAnsi="Times New Roman" w:cs="Times New Roman"/>
          <w:bCs/>
          <w:color w:val="auto"/>
          <w:sz w:val="28"/>
          <w:szCs w:val="20"/>
        </w:rPr>
        <w:t>)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0"/>
        </w:rPr>
        <w:t xml:space="preserve"> в среде несовершеннолетних в учреждении</w:t>
      </w:r>
    </w:p>
    <w:tbl>
      <w:tblPr>
        <w:tblW w:w="9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28"/>
        <w:gridCol w:w="737"/>
        <w:gridCol w:w="897"/>
        <w:gridCol w:w="606"/>
        <w:gridCol w:w="737"/>
        <w:gridCol w:w="897"/>
        <w:gridCol w:w="606"/>
      </w:tblGrid>
      <w:tr w:rsidR="00877DDC" w:rsidRPr="00371D9E" w:rsidTr="00371D9E">
        <w:tc>
          <w:tcPr>
            <w:tcW w:w="4928" w:type="dxa"/>
            <w:vMerge w:val="restart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Признаки</w:t>
            </w:r>
            <w:r w:rsidR="005A2B22" w:rsidRPr="00371D9E">
              <w:rPr>
                <w:sz w:val="20"/>
              </w:rPr>
              <w:t xml:space="preserve"> "</w:t>
            </w:r>
            <w:r w:rsidRPr="00371D9E">
              <w:rPr>
                <w:sz w:val="20"/>
              </w:rPr>
              <w:t>другой</w:t>
            </w:r>
            <w:r w:rsidR="005A2B22" w:rsidRPr="00371D9E">
              <w:rPr>
                <w:sz w:val="20"/>
              </w:rPr>
              <w:t xml:space="preserve">" </w:t>
            </w:r>
            <w:r w:rsidRPr="00371D9E">
              <w:rPr>
                <w:sz w:val="20"/>
              </w:rPr>
              <w:t>жизни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Мнение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экспертов</w:t>
            </w:r>
          </w:p>
        </w:tc>
      </w:tr>
      <w:tr w:rsidR="00877DDC" w:rsidRPr="00371D9E" w:rsidTr="00371D9E">
        <w:tc>
          <w:tcPr>
            <w:tcW w:w="4928" w:type="dxa"/>
            <w:vMerge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по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ВТК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по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спецПТУ</w:t>
            </w:r>
          </w:p>
        </w:tc>
      </w:tr>
      <w:tr w:rsidR="00877DDC" w:rsidRPr="00371D9E" w:rsidTr="00371D9E">
        <w:tc>
          <w:tcPr>
            <w:tcW w:w="4928" w:type="dxa"/>
            <w:vMerge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Удел.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вес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Ранг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Удел.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вес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371D9E">
              <w:rPr>
                <w:sz w:val="20"/>
              </w:rPr>
              <w:t>Ранг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Наличие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враждующих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группировок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16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Жесткая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групповая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стратификация(иерархия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ролей)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0,82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Появление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меченых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столов,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посуды,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одежды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других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предметов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0,62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17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Факты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групповых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побегов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(уходов)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из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учреждения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14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Наличие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неофициальной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системы</w:t>
            </w:r>
            <w:r w:rsidR="005A2B22" w:rsidRPr="00371D9E">
              <w:rPr>
                <w:sz w:val="20"/>
              </w:rPr>
              <w:t xml:space="preserve"> "</w:t>
            </w:r>
            <w:r w:rsidRPr="00371D9E">
              <w:rPr>
                <w:sz w:val="20"/>
              </w:rPr>
              <w:t>мелких</w:t>
            </w:r>
            <w:r w:rsidR="005A2B22" w:rsidRPr="00371D9E">
              <w:rPr>
                <w:sz w:val="20"/>
              </w:rPr>
              <w:t xml:space="preserve">" </w:t>
            </w:r>
            <w:r w:rsidRPr="00371D9E">
              <w:rPr>
                <w:sz w:val="20"/>
              </w:rPr>
              <w:t>исключений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для</w:t>
            </w:r>
            <w:r w:rsidR="005A2B22" w:rsidRPr="00371D9E">
              <w:rPr>
                <w:sz w:val="20"/>
              </w:rPr>
              <w:t xml:space="preserve"> "</w:t>
            </w:r>
            <w:r w:rsidRPr="00371D9E">
              <w:rPr>
                <w:sz w:val="20"/>
              </w:rPr>
              <w:t>верхов</w:t>
            </w:r>
            <w:r w:rsidR="005A2B22" w:rsidRPr="00371D9E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8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Психологическая,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а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нередко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физическая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изоляция</w:t>
            </w:r>
            <w:r w:rsidR="005A2B22" w:rsidRPr="00371D9E">
              <w:rPr>
                <w:sz w:val="20"/>
              </w:rPr>
              <w:t xml:space="preserve"> "</w:t>
            </w:r>
            <w:r w:rsidRPr="00371D9E">
              <w:rPr>
                <w:sz w:val="20"/>
              </w:rPr>
              <w:t>отверженных</w:t>
            </w:r>
            <w:r w:rsidR="005A2B22" w:rsidRPr="00371D9E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11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Наличие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кличек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у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членов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групп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Распространенность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азартных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игр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группах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5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Факты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вымогательства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денег,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пищи,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личных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вещей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0,82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9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Групповые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нарушения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режима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0,93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Распространенность</w:t>
            </w:r>
            <w:r w:rsidR="005A2B22" w:rsidRPr="00371D9E">
              <w:rPr>
                <w:sz w:val="20"/>
              </w:rPr>
              <w:t xml:space="preserve"> "</w:t>
            </w:r>
            <w:r w:rsidRPr="00371D9E">
              <w:rPr>
                <w:sz w:val="20"/>
              </w:rPr>
              <w:t>тюремной</w:t>
            </w:r>
            <w:r w:rsidR="005A2B22" w:rsidRPr="00371D9E">
              <w:rPr>
                <w:sz w:val="20"/>
              </w:rPr>
              <w:t>"</w:t>
            </w:r>
            <w:r w:rsidRPr="00371D9E">
              <w:rPr>
                <w:sz w:val="20"/>
              </w:rPr>
              <w:t>лирики,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поделок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способов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проведения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досуга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10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Распространенность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уголовного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(воровского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жаргона)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63</w:t>
            </w:r>
            <w:r w:rsidR="005A2B22" w:rsidRPr="00371D9E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18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Появление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случаев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токсикомании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употребление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наркотиков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19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Распространенность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татуировок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тюремного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содержания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0,94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5A2B22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"</w:t>
            </w:r>
            <w:r w:rsidR="00877DDC" w:rsidRPr="00371D9E">
              <w:rPr>
                <w:sz w:val="20"/>
              </w:rPr>
              <w:t>Прописка</w:t>
            </w:r>
            <w:r w:rsidRPr="00371D9E">
              <w:rPr>
                <w:sz w:val="20"/>
              </w:rPr>
              <w:t xml:space="preserve">" </w:t>
            </w:r>
            <w:r w:rsidR="00877DDC" w:rsidRPr="00371D9E">
              <w:rPr>
                <w:sz w:val="20"/>
              </w:rPr>
              <w:t>новичков,</w:t>
            </w:r>
            <w:r w:rsidRPr="00371D9E">
              <w:rPr>
                <w:sz w:val="20"/>
              </w:rPr>
              <w:t xml:space="preserve"> </w:t>
            </w:r>
            <w:r w:rsidR="00877DDC" w:rsidRPr="00371D9E">
              <w:rPr>
                <w:sz w:val="20"/>
              </w:rPr>
              <w:t>распространенность</w:t>
            </w:r>
            <w:r w:rsidRPr="00371D9E">
              <w:rPr>
                <w:sz w:val="20"/>
              </w:rPr>
              <w:t xml:space="preserve"> </w:t>
            </w:r>
            <w:r w:rsidR="00877DDC" w:rsidRPr="00371D9E">
              <w:rPr>
                <w:sz w:val="20"/>
              </w:rPr>
              <w:t>тюремных</w:t>
            </w:r>
            <w:r w:rsidRPr="00371D9E">
              <w:rPr>
                <w:sz w:val="20"/>
              </w:rPr>
              <w:t xml:space="preserve"> </w:t>
            </w:r>
            <w:r w:rsidR="00877DDC" w:rsidRPr="00371D9E">
              <w:rPr>
                <w:sz w:val="20"/>
              </w:rPr>
              <w:t>клятв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0,51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7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Уклонение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от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определенного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вида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хозяйственных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других</w:t>
            </w:r>
            <w:r w:rsidR="005A2B22" w:rsidRPr="00371D9E">
              <w:rPr>
                <w:sz w:val="20"/>
              </w:rPr>
              <w:t xml:space="preserve"> "</w:t>
            </w:r>
            <w:r w:rsidRPr="00371D9E">
              <w:rPr>
                <w:sz w:val="20"/>
              </w:rPr>
              <w:t>грязных</w:t>
            </w:r>
            <w:r w:rsidR="005A2B22" w:rsidRPr="00371D9E">
              <w:rPr>
                <w:sz w:val="20"/>
              </w:rPr>
              <w:t xml:space="preserve">"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не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престижных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видов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работы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(уборки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помещений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территории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т.п.)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0,47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0,76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13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Отказ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от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участия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в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работе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актива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общественных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организаций,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двурушничество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активистов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0,46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0,60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15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Факты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полового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извращения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(мужеложства)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Порча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общественного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имущества,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инвентаря,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продукции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(вандализм)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0,40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20</w:t>
            </w:r>
          </w:p>
        </w:tc>
      </w:tr>
      <w:tr w:rsidR="00877DDC" w:rsidRPr="00371D9E" w:rsidTr="00371D9E">
        <w:tc>
          <w:tcPr>
            <w:tcW w:w="4928" w:type="dxa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Симуляция,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аггарвация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и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факты</w:t>
            </w:r>
            <w:r w:rsidR="005A2B22" w:rsidRPr="00371D9E">
              <w:rPr>
                <w:sz w:val="20"/>
              </w:rPr>
              <w:t xml:space="preserve"> </w:t>
            </w:r>
            <w:r w:rsidRPr="00371D9E">
              <w:rPr>
                <w:sz w:val="20"/>
              </w:rPr>
              <w:t>членовредительства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0,35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877DDC" w:rsidRPr="00371D9E" w:rsidRDefault="00877DDC" w:rsidP="00371D9E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71D9E">
              <w:rPr>
                <w:sz w:val="20"/>
              </w:rPr>
              <w:t>8</w:t>
            </w:r>
          </w:p>
        </w:tc>
      </w:tr>
    </w:tbl>
    <w:p w:rsidR="005A2B22" w:rsidRPr="005A2B22" w:rsidRDefault="005A2B22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</w:rPr>
      </w:pP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дисциплинарных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батальонах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(своеобразных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колониях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солдат,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совершивших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воинские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преступления)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строительных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частях,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прямо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рассма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триваемых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порой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зоны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господствует.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сходство,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горек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данный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вывод,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заметно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закрытых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(пионерских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лагерях,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лагерях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труда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отдыха,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детских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домах,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школах-интернатах,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ПТУ,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такж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общежитиях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взрослых)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всесторонне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проанализировать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заведениях,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уметь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пользоваться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рассмотренными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критериями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использовать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критерии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системе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помня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ряд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внешне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признаков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присущ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подростково-юношеской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вообще.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Ведь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законопослушных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широко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распространены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клички.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охотно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пользуются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жаргоном,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нередко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наносят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татуировки.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Попытки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уклониться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грязных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отказаться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участия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актива,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факты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групповых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уходов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уроков,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порча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общественного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имущества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встречаются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просто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педагогически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запущенном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коллективе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детского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учреждения.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учитывать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стремление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многих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проявившееся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сейчас,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участию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деполитизированных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неформальных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(различных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клубов,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объединений,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скаутских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отрядов).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создают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атрибуты,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внешне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сходные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элементами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спутать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явления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проявлениями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глубоко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анализировать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каждый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критерий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отдельности.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Обнаружив,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внутригрупповую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иерархию,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надо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выяснить,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стоит,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каковы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взаимоотношения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лидера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нижестоящих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каково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аутсайдерам.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внутригрупповая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иерархия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авторитарна,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возрастная,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внутригрупповые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отношения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жестоки,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антигуманны.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Аналогично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рассматривать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факты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нанесения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татуировок.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выяснить: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нанес,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собственному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желанию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сделано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принуждению,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обставлен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ритуал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татуирования,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смысл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подростки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видят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нанесенном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рисунке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знаке.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установить,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нанесена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татуировка,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называется,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глупости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потому,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придерживается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Каждый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факт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негативного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поведения,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принимается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многократно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проверяться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путем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наблюдения,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бесед,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расшифровки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настенной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живописи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туалетах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помещениях,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партах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столах,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надписей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книгах,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особенно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художественной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литературе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т.п.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Вообще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помнить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многократная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аксиома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социально-психологических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исследований.</w:t>
      </w:r>
    </w:p>
    <w:p w:rsidR="00877DDC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Помня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грань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возрастными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проявлениями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весьма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гибка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подвижна,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целесообразно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разработать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комплекс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превентивных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мер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готовым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применению.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Следует,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наконец,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помнить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способности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мимикрии,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существенной</w:t>
      </w:r>
      <w:r w:rsidR="005A2B22" w:rsidRPr="005A2B2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iCs/>
          <w:color w:val="auto"/>
          <w:sz w:val="28"/>
          <w:szCs w:val="28"/>
        </w:rPr>
        <w:t>трансформации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изменением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структуры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стране.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наряду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традиционной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уголовно-воровской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среду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активно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внедряются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современная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лежит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здоровый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образ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членов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шайки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(банды)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спиртного,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наркотиков,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спортом.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Абросе,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прошлом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наркоману,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войти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коллектив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(банду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В.П.)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пришлось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бро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сил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вредную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привычку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Новое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поколение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ценит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семейные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устои.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банде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грабителей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убийц,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раскрытой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Курске,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исключением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одного,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женаты,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чадолюбцы.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часы,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остававшиеся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основной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старательно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исполняли,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сказать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мирские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служебные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обязанности: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сторож,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электрик,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оператор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АЭС.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отметить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конспирации: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очень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хотелось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уважения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там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Втягивая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главари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банд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демонстративно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оберегают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алкоголя,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наркотиков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проявлений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человеческой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слабости,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готовя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главному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безоглядной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преданности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главарю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деятельности.</w:t>
      </w:r>
    </w:p>
    <w:p w:rsidR="005A2B22" w:rsidRPr="005A2B22" w:rsidRDefault="00877DDC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образом,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видим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новую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генерацию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благопристойных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уго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ловников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идейным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DF2" w:rsidRPr="005A2B22">
        <w:rPr>
          <w:rFonts w:ascii="Times New Roman" w:hAnsi="Times New Roman" w:cs="Times New Roman"/>
          <w:color w:val="auto"/>
          <w:sz w:val="28"/>
          <w:szCs w:val="28"/>
        </w:rPr>
        <w:t>уклоном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7DDC" w:rsidRPr="005A2B22" w:rsidRDefault="00114F3D" w:rsidP="005A2B22">
      <w:pPr>
        <w:pStyle w:val="a3"/>
        <w:widowControl w:val="0"/>
        <w:suppressAutoHyphens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</w:rPr>
      </w:pPr>
      <w:r w:rsidRPr="005A2B22">
        <w:rPr>
          <w:rFonts w:ascii="Times New Roman" w:hAnsi="Times New Roman" w:cs="Times New Roman"/>
          <w:color w:val="auto"/>
          <w:sz w:val="28"/>
          <w:szCs w:val="28"/>
        </w:rPr>
        <w:t>Изучение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криминальной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субкультуры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несовершеннолетних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молодежи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позволяет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сделать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вывод,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вполне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реальное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объективное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bCs/>
          <w:color w:val="auto"/>
          <w:sz w:val="28"/>
          <w:szCs w:val="28"/>
        </w:rPr>
        <w:t>явление,</w:t>
      </w:r>
      <w:r w:rsidR="005A2B22" w:rsidRPr="005A2B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находящееся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сложной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взаимосвязи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культурой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общества,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социальными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процессами,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происходящими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нем,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динамикой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преступности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стране,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изменением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характера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криминологических</w:t>
      </w:r>
      <w:r w:rsidR="005A2B22" w:rsidRPr="005A2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B22">
        <w:rPr>
          <w:rFonts w:ascii="Times New Roman" w:hAnsi="Times New Roman" w:cs="Times New Roman"/>
          <w:color w:val="auto"/>
          <w:sz w:val="28"/>
          <w:szCs w:val="28"/>
        </w:rPr>
        <w:t>показателей.</w:t>
      </w:r>
      <w:bookmarkStart w:id="0" w:name="_GoBack"/>
      <w:bookmarkEnd w:id="0"/>
    </w:p>
    <w:sectPr w:rsidR="00877DDC" w:rsidRPr="005A2B22" w:rsidSect="005A2B22">
      <w:footerReference w:type="even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9E" w:rsidRDefault="00371D9E">
      <w:r>
        <w:separator/>
      </w:r>
    </w:p>
  </w:endnote>
  <w:endnote w:type="continuationSeparator" w:id="0">
    <w:p w:rsidR="00371D9E" w:rsidRDefault="0037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3D" w:rsidRDefault="00114F3D" w:rsidP="00292767">
    <w:pPr>
      <w:pStyle w:val="a4"/>
      <w:framePr w:wrap="around" w:vAnchor="text" w:hAnchor="margin" w:xAlign="center" w:y="1"/>
      <w:rPr>
        <w:rStyle w:val="a6"/>
      </w:rPr>
    </w:pPr>
  </w:p>
  <w:p w:rsidR="00114F3D" w:rsidRDefault="00114F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9E" w:rsidRDefault="00371D9E">
      <w:r>
        <w:separator/>
      </w:r>
    </w:p>
  </w:footnote>
  <w:footnote w:type="continuationSeparator" w:id="0">
    <w:p w:rsidR="00371D9E" w:rsidRDefault="0037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DDC"/>
    <w:rsid w:val="0006509A"/>
    <w:rsid w:val="00114F3D"/>
    <w:rsid w:val="00146345"/>
    <w:rsid w:val="001C7A5B"/>
    <w:rsid w:val="001D7DAE"/>
    <w:rsid w:val="001E076A"/>
    <w:rsid w:val="001F29BB"/>
    <w:rsid w:val="00292767"/>
    <w:rsid w:val="002B3D35"/>
    <w:rsid w:val="00371D9E"/>
    <w:rsid w:val="003859E4"/>
    <w:rsid w:val="00411DF2"/>
    <w:rsid w:val="004D5404"/>
    <w:rsid w:val="005A2B22"/>
    <w:rsid w:val="005A336A"/>
    <w:rsid w:val="005F0501"/>
    <w:rsid w:val="006107D8"/>
    <w:rsid w:val="00632BDE"/>
    <w:rsid w:val="00727DFE"/>
    <w:rsid w:val="00750329"/>
    <w:rsid w:val="00776237"/>
    <w:rsid w:val="00781806"/>
    <w:rsid w:val="00877DDC"/>
    <w:rsid w:val="0096531B"/>
    <w:rsid w:val="009E3EEB"/>
    <w:rsid w:val="00AF59DF"/>
    <w:rsid w:val="00B220E4"/>
    <w:rsid w:val="00B2512A"/>
    <w:rsid w:val="00BE3F48"/>
    <w:rsid w:val="00C26E19"/>
    <w:rsid w:val="00D745F3"/>
    <w:rsid w:val="00F02568"/>
    <w:rsid w:val="00F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B0233-50CD-4F89-ADEA-63CFF6B4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DDC"/>
    <w:pPr>
      <w:ind w:right="100" w:firstLine="300"/>
      <w:jc w:val="both"/>
    </w:pPr>
    <w:rPr>
      <w:rFonts w:ascii="Arial" w:hAnsi="Arial" w:cs="Arial"/>
      <w:color w:val="8B4513"/>
      <w:sz w:val="19"/>
      <w:szCs w:val="19"/>
    </w:rPr>
  </w:style>
  <w:style w:type="paragraph" w:styleId="a4">
    <w:name w:val="footer"/>
    <w:basedOn w:val="a"/>
    <w:link w:val="a5"/>
    <w:uiPriority w:val="99"/>
    <w:rsid w:val="006107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107D8"/>
    <w:rPr>
      <w:rFonts w:cs="Times New Roman"/>
    </w:rPr>
  </w:style>
  <w:style w:type="paragraph" w:styleId="a7">
    <w:name w:val="header"/>
    <w:basedOn w:val="a"/>
    <w:link w:val="a8"/>
    <w:uiPriority w:val="99"/>
    <w:rsid w:val="005A2B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A2B22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A2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5640</Words>
  <Characters>32150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Бытует мнение, что криминальная субкультура имеет место лишь в исправительных учреждениях (колониях и тюрьмах), приемниках-распределителях для несовершеннолетних и молодежи, следственных изоляторах, а также в близких к ним специальных учебно-воспитательн</vt:lpstr>
    </vt:vector>
  </TitlesOfParts>
  <Company>ServiceHost</Company>
  <LinksUpToDate>false</LinksUpToDate>
  <CharactersWithSpaces>37715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Бытует мнение, что криминальная субкультура имеет место лишь в исправительных учреждениях (колониях и тюрьмах), приемниках-распределителях для несовершеннолетних и молодежи, следственных изоляторах, а также в близких к ним специальных учебно-воспитательн</dc:title>
  <dc:subject/>
  <dc:creator>Dimon</dc:creator>
  <cp:keywords/>
  <dc:description/>
  <cp:lastModifiedBy>admin</cp:lastModifiedBy>
  <cp:revision>2</cp:revision>
  <dcterms:created xsi:type="dcterms:W3CDTF">2014-03-07T08:34:00Z</dcterms:created>
  <dcterms:modified xsi:type="dcterms:W3CDTF">2014-03-07T08:34:00Z</dcterms:modified>
</cp:coreProperties>
</file>