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DD" w:rsidRDefault="006929DD">
      <w:pPr>
        <w:pStyle w:val="1"/>
      </w:pPr>
      <w:bookmarkStart w:id="0" w:name="_Toc532841078"/>
      <w:bookmarkStart w:id="1" w:name="_Toc532843182"/>
      <w:bookmarkStart w:id="2" w:name="_Toc532853558"/>
      <w:bookmarkStart w:id="3" w:name="_Toc533453232"/>
      <w:bookmarkStart w:id="4" w:name="_Toc533454959"/>
      <w:bookmarkStart w:id="5" w:name="_Toc533455136"/>
      <w:bookmarkStart w:id="6" w:name="_Toc533456906"/>
      <w:bookmarkStart w:id="7" w:name="_Toc533464806"/>
      <w:r>
        <w:t>Ростовский государственный университет</w:t>
      </w:r>
    </w:p>
    <w:p w:rsidR="006929DD" w:rsidRDefault="006929DD">
      <w:pPr>
        <w:pStyle w:val="1"/>
      </w:pPr>
      <w:r>
        <w:t>Волгодонский институт Экономики, Управления и Права</w:t>
      </w:r>
    </w:p>
    <w:p w:rsidR="006929DD" w:rsidRDefault="006929DD">
      <w:pPr>
        <w:pStyle w:val="1"/>
      </w:pPr>
    </w:p>
    <w:p w:rsidR="006929DD" w:rsidRDefault="006929DD">
      <w:pPr>
        <w:pStyle w:val="1"/>
      </w:pPr>
    </w:p>
    <w:p w:rsidR="006929DD" w:rsidRDefault="006929DD">
      <w:pPr>
        <w:pStyle w:val="1"/>
      </w:pPr>
      <w:r>
        <w:t>Факультет: Экономический</w:t>
      </w:r>
    </w:p>
    <w:p w:rsidR="006929DD" w:rsidRDefault="006929DD">
      <w:pPr>
        <w:pStyle w:val="1"/>
      </w:pPr>
      <w:r>
        <w:t>Специальность: Менеджмент</w:t>
      </w:r>
    </w:p>
    <w:p w:rsidR="006929DD" w:rsidRDefault="006929DD">
      <w:pPr>
        <w:pStyle w:val="1"/>
      </w:pPr>
      <w:r>
        <w:t>Курс: 2</w:t>
      </w:r>
    </w:p>
    <w:p w:rsidR="006929DD" w:rsidRDefault="006929DD">
      <w:pPr>
        <w:pStyle w:val="1"/>
      </w:pPr>
      <w:r>
        <w:t>Студент: Ерзин Константин Олегович</w:t>
      </w:r>
      <w:r>
        <w:br w:type="page"/>
        <w:t>Рецензия</w:t>
      </w:r>
      <w:bookmarkEnd w:id="0"/>
      <w:bookmarkEnd w:id="1"/>
      <w:bookmarkEnd w:id="2"/>
      <w:bookmarkEnd w:id="3"/>
      <w:bookmarkEnd w:id="4"/>
      <w:bookmarkEnd w:id="5"/>
      <w:bookmarkEnd w:id="6"/>
      <w:bookmarkEnd w:id="7"/>
    </w:p>
    <w:p w:rsidR="006929DD" w:rsidRDefault="006929DD">
      <w:pPr>
        <w:pStyle w:val="1"/>
      </w:pPr>
      <w:r>
        <w:t>Курсовой проект написан на высоком теоретико-методологическом уровне и заслуживает высокой оценки, однако заключение следовало бы доработать.</w:t>
      </w:r>
    </w:p>
    <w:p w:rsidR="006929DD" w:rsidRDefault="006929DD">
      <w:pPr>
        <w:pStyle w:val="1"/>
      </w:pPr>
    </w:p>
    <w:p w:rsidR="006929DD" w:rsidRDefault="006929DD">
      <w:pPr>
        <w:pStyle w:val="1"/>
      </w:pPr>
    </w:p>
    <w:p w:rsidR="006929DD" w:rsidRDefault="006929DD">
      <w:pPr>
        <w:pStyle w:val="1"/>
      </w:pPr>
    </w:p>
    <w:p w:rsidR="006929DD" w:rsidRDefault="006929DD">
      <w:pPr>
        <w:pStyle w:val="1"/>
      </w:pPr>
      <w:r>
        <w:t>Ст.пр. Попова Г.И.</w:t>
      </w:r>
    </w:p>
    <w:p w:rsidR="006929DD" w:rsidRDefault="006929DD">
      <w:pPr>
        <w:pStyle w:val="1"/>
      </w:pPr>
      <w:r>
        <w:t xml:space="preserve">Методолог Привалова Н.Ф. </w:t>
      </w:r>
      <w:r>
        <w:br w:type="page"/>
      </w:r>
      <w:bookmarkStart w:id="8" w:name="_Toc532841079"/>
      <w:bookmarkStart w:id="9" w:name="_Toc532843183"/>
      <w:bookmarkStart w:id="10" w:name="_Toc532853559"/>
      <w:bookmarkStart w:id="11" w:name="_Toc533453233"/>
      <w:bookmarkStart w:id="12" w:name="_Toc533454960"/>
      <w:bookmarkStart w:id="13" w:name="_Toc533455137"/>
      <w:bookmarkStart w:id="14" w:name="_Toc533456907"/>
      <w:bookmarkStart w:id="15" w:name="_Toc533464807"/>
      <w:r>
        <w:t>Оглавление</w:t>
      </w:r>
      <w:bookmarkEnd w:id="8"/>
      <w:bookmarkEnd w:id="9"/>
      <w:bookmarkEnd w:id="10"/>
      <w:bookmarkEnd w:id="11"/>
      <w:bookmarkEnd w:id="12"/>
      <w:bookmarkEnd w:id="13"/>
      <w:bookmarkEnd w:id="14"/>
      <w:bookmarkEnd w:id="15"/>
    </w:p>
    <w:p w:rsidR="006929DD" w:rsidRDefault="006929DD">
      <w:pPr>
        <w:pStyle w:val="10"/>
        <w:tabs>
          <w:tab w:val="right" w:pos="9628"/>
        </w:tabs>
        <w:rPr>
          <w:b w:val="0"/>
          <w:bCs w:val="0"/>
          <w:noProof/>
          <w:sz w:val="24"/>
        </w:rPr>
      </w:pPr>
      <w:bookmarkStart w:id="16" w:name="_Toc532841080"/>
      <w:bookmarkStart w:id="17" w:name="_Toc532843184"/>
      <w:bookmarkStart w:id="18" w:name="_Toc533456908"/>
      <w:r w:rsidRPr="009B3F5B">
        <w:rPr>
          <w:rStyle w:val="a7"/>
          <w:noProof/>
          <w:szCs w:val="36"/>
        </w:rPr>
        <w:t>Введение</w:t>
      </w:r>
      <w:r>
        <w:rPr>
          <w:noProof/>
          <w:webHidden/>
        </w:rPr>
        <w:t xml:space="preserve"> 6</w:t>
      </w:r>
    </w:p>
    <w:p w:rsidR="006929DD" w:rsidRDefault="006929DD">
      <w:pPr>
        <w:pStyle w:val="10"/>
        <w:tabs>
          <w:tab w:val="right" w:pos="9628"/>
        </w:tabs>
        <w:rPr>
          <w:b w:val="0"/>
          <w:bCs w:val="0"/>
          <w:noProof/>
          <w:sz w:val="24"/>
        </w:rPr>
      </w:pPr>
      <w:r w:rsidRPr="009B3F5B">
        <w:rPr>
          <w:rStyle w:val="a7"/>
          <w:noProof/>
          <w:szCs w:val="36"/>
        </w:rPr>
        <w:t>Глава 1.Определение инфляции</w:t>
      </w:r>
      <w:r>
        <w:rPr>
          <w:noProof/>
          <w:webHidden/>
        </w:rPr>
        <w:t xml:space="preserve"> 7</w:t>
      </w:r>
    </w:p>
    <w:p w:rsidR="006929DD" w:rsidRDefault="006929DD">
      <w:pPr>
        <w:pStyle w:val="21"/>
        <w:tabs>
          <w:tab w:val="right" w:pos="9628"/>
        </w:tabs>
        <w:rPr>
          <w:i w:val="0"/>
          <w:iCs w:val="0"/>
          <w:noProof/>
          <w:sz w:val="24"/>
        </w:rPr>
      </w:pPr>
      <w:r w:rsidRPr="009B3F5B">
        <w:rPr>
          <w:rStyle w:val="a7"/>
          <w:noProof/>
          <w:szCs w:val="32"/>
        </w:rPr>
        <w:t>1.1.Сущность инфляции</w:t>
      </w:r>
      <w:r>
        <w:rPr>
          <w:noProof/>
          <w:webHidden/>
        </w:rPr>
        <w:t xml:space="preserve"> 7</w:t>
      </w:r>
    </w:p>
    <w:p w:rsidR="006929DD" w:rsidRDefault="006929DD">
      <w:pPr>
        <w:pStyle w:val="21"/>
        <w:tabs>
          <w:tab w:val="right" w:pos="9628"/>
        </w:tabs>
        <w:rPr>
          <w:i w:val="0"/>
          <w:iCs w:val="0"/>
          <w:noProof/>
          <w:sz w:val="24"/>
        </w:rPr>
      </w:pPr>
      <w:r w:rsidRPr="009B3F5B">
        <w:rPr>
          <w:rStyle w:val="a7"/>
          <w:noProof/>
          <w:szCs w:val="32"/>
        </w:rPr>
        <w:t>1.2.Виды инфляции</w:t>
      </w:r>
      <w:r>
        <w:rPr>
          <w:noProof/>
          <w:webHidden/>
        </w:rPr>
        <w:t xml:space="preserve"> 8</w:t>
      </w:r>
    </w:p>
    <w:p w:rsidR="006929DD" w:rsidRDefault="006929DD">
      <w:pPr>
        <w:pStyle w:val="21"/>
        <w:tabs>
          <w:tab w:val="right" w:pos="9628"/>
        </w:tabs>
        <w:rPr>
          <w:i w:val="0"/>
          <w:iCs w:val="0"/>
          <w:noProof/>
          <w:sz w:val="24"/>
        </w:rPr>
      </w:pPr>
      <w:r w:rsidRPr="009B3F5B">
        <w:rPr>
          <w:rStyle w:val="a7"/>
          <w:noProof/>
          <w:szCs w:val="32"/>
        </w:rPr>
        <w:t>1.3.Причины возникновения инфляции</w:t>
      </w:r>
      <w:r>
        <w:rPr>
          <w:noProof/>
          <w:webHidden/>
        </w:rPr>
        <w:t xml:space="preserve"> 9</w:t>
      </w:r>
    </w:p>
    <w:p w:rsidR="006929DD" w:rsidRDefault="006929DD">
      <w:pPr>
        <w:pStyle w:val="30"/>
        <w:tabs>
          <w:tab w:val="right" w:pos="9628"/>
        </w:tabs>
        <w:rPr>
          <w:noProof/>
          <w:sz w:val="24"/>
        </w:rPr>
      </w:pPr>
      <w:r w:rsidRPr="009B3F5B">
        <w:rPr>
          <w:rStyle w:val="a7"/>
          <w:noProof/>
          <w:szCs w:val="28"/>
        </w:rPr>
        <w:t>1.3.1.Инфляция спроса</w:t>
      </w:r>
      <w:r>
        <w:rPr>
          <w:noProof/>
          <w:webHidden/>
        </w:rPr>
        <w:t xml:space="preserve"> 9</w:t>
      </w:r>
    </w:p>
    <w:p w:rsidR="006929DD" w:rsidRDefault="006929DD">
      <w:pPr>
        <w:pStyle w:val="30"/>
        <w:tabs>
          <w:tab w:val="right" w:pos="9628"/>
        </w:tabs>
        <w:rPr>
          <w:noProof/>
          <w:sz w:val="24"/>
        </w:rPr>
      </w:pPr>
      <w:r w:rsidRPr="009B3F5B">
        <w:rPr>
          <w:rStyle w:val="a7"/>
          <w:noProof/>
          <w:szCs w:val="28"/>
        </w:rPr>
        <w:t>1.3.2.Инфляция предложения</w:t>
      </w:r>
      <w:r>
        <w:rPr>
          <w:noProof/>
          <w:webHidden/>
        </w:rPr>
        <w:t xml:space="preserve"> 10</w:t>
      </w:r>
    </w:p>
    <w:p w:rsidR="006929DD" w:rsidRDefault="006929DD">
      <w:pPr>
        <w:pStyle w:val="10"/>
        <w:tabs>
          <w:tab w:val="right" w:pos="9628"/>
        </w:tabs>
        <w:rPr>
          <w:b w:val="0"/>
          <w:bCs w:val="0"/>
          <w:noProof/>
          <w:sz w:val="24"/>
        </w:rPr>
      </w:pPr>
      <w:r w:rsidRPr="009B3F5B">
        <w:rPr>
          <w:rStyle w:val="a7"/>
          <w:noProof/>
          <w:szCs w:val="36"/>
        </w:rPr>
        <w:t>Глава 2. Инфляция в РФ</w:t>
      </w:r>
      <w:r>
        <w:rPr>
          <w:noProof/>
          <w:webHidden/>
        </w:rPr>
        <w:t xml:space="preserve"> 12</w:t>
      </w:r>
    </w:p>
    <w:p w:rsidR="006929DD" w:rsidRDefault="006929DD">
      <w:pPr>
        <w:pStyle w:val="21"/>
        <w:tabs>
          <w:tab w:val="right" w:pos="9628"/>
        </w:tabs>
        <w:rPr>
          <w:i w:val="0"/>
          <w:iCs w:val="0"/>
          <w:noProof/>
          <w:sz w:val="24"/>
        </w:rPr>
      </w:pPr>
      <w:r w:rsidRPr="009B3F5B">
        <w:rPr>
          <w:rStyle w:val="a7"/>
          <w:noProof/>
          <w:szCs w:val="32"/>
        </w:rPr>
        <w:t>2.1.Сущность и особенности инфляции в переходной экономике</w:t>
      </w:r>
      <w:r>
        <w:rPr>
          <w:noProof/>
          <w:webHidden/>
        </w:rPr>
        <w:t xml:space="preserve"> 12</w:t>
      </w:r>
    </w:p>
    <w:p w:rsidR="006929DD" w:rsidRDefault="006929DD">
      <w:pPr>
        <w:pStyle w:val="21"/>
        <w:tabs>
          <w:tab w:val="right" w:pos="9628"/>
        </w:tabs>
        <w:rPr>
          <w:i w:val="0"/>
          <w:iCs w:val="0"/>
          <w:noProof/>
          <w:sz w:val="24"/>
        </w:rPr>
      </w:pPr>
      <w:r w:rsidRPr="009B3F5B">
        <w:rPr>
          <w:rStyle w:val="a7"/>
          <w:noProof/>
          <w:szCs w:val="32"/>
        </w:rPr>
        <w:t>2.2.Причины инфляции в России</w:t>
      </w:r>
      <w:r>
        <w:rPr>
          <w:noProof/>
          <w:webHidden/>
        </w:rPr>
        <w:t xml:space="preserve"> 15</w:t>
      </w:r>
    </w:p>
    <w:p w:rsidR="006929DD" w:rsidRDefault="006929DD">
      <w:pPr>
        <w:pStyle w:val="30"/>
        <w:tabs>
          <w:tab w:val="right" w:pos="9628"/>
        </w:tabs>
        <w:rPr>
          <w:noProof/>
          <w:sz w:val="24"/>
        </w:rPr>
      </w:pPr>
      <w:r w:rsidRPr="009B3F5B">
        <w:rPr>
          <w:rStyle w:val="a7"/>
          <w:noProof/>
          <w:szCs w:val="28"/>
        </w:rPr>
        <w:t>2.2.1.Источники инфляции в РФ</w:t>
      </w:r>
      <w:r>
        <w:rPr>
          <w:noProof/>
          <w:webHidden/>
        </w:rPr>
        <w:t xml:space="preserve"> 15</w:t>
      </w:r>
    </w:p>
    <w:p w:rsidR="006929DD" w:rsidRDefault="006929DD">
      <w:pPr>
        <w:pStyle w:val="30"/>
        <w:tabs>
          <w:tab w:val="right" w:pos="9628"/>
        </w:tabs>
        <w:rPr>
          <w:noProof/>
          <w:sz w:val="24"/>
        </w:rPr>
      </w:pPr>
      <w:r w:rsidRPr="009B3F5B">
        <w:rPr>
          <w:rStyle w:val="a7"/>
          <w:noProof/>
          <w:szCs w:val="28"/>
        </w:rPr>
        <w:t>2.2.2.Кредитная эмиссия ЦБ – главный источник инфляции</w:t>
      </w:r>
      <w:r>
        <w:rPr>
          <w:noProof/>
          <w:webHidden/>
        </w:rPr>
        <w:t xml:space="preserve"> 21</w:t>
      </w:r>
    </w:p>
    <w:p w:rsidR="006929DD" w:rsidRDefault="006929DD">
      <w:pPr>
        <w:pStyle w:val="30"/>
        <w:tabs>
          <w:tab w:val="right" w:pos="9628"/>
        </w:tabs>
        <w:rPr>
          <w:noProof/>
          <w:sz w:val="24"/>
        </w:rPr>
      </w:pPr>
      <w:r w:rsidRPr="009B3F5B">
        <w:rPr>
          <w:rStyle w:val="a7"/>
          <w:noProof/>
          <w:szCs w:val="28"/>
        </w:rPr>
        <w:t>2.2.3.Причины кризиса 17 августа 1998 г.</w:t>
      </w:r>
      <w:r>
        <w:rPr>
          <w:noProof/>
          <w:webHidden/>
        </w:rPr>
        <w:t xml:space="preserve"> 23</w:t>
      </w:r>
    </w:p>
    <w:p w:rsidR="006929DD" w:rsidRDefault="006929DD">
      <w:pPr>
        <w:pStyle w:val="10"/>
        <w:tabs>
          <w:tab w:val="right" w:pos="9628"/>
        </w:tabs>
        <w:rPr>
          <w:b w:val="0"/>
          <w:bCs w:val="0"/>
          <w:noProof/>
          <w:sz w:val="24"/>
        </w:rPr>
      </w:pPr>
      <w:r w:rsidRPr="009B3F5B">
        <w:rPr>
          <w:rStyle w:val="a7"/>
          <w:noProof/>
          <w:szCs w:val="36"/>
        </w:rPr>
        <w:t>Глава 3.Антиинфляционная политика государства</w:t>
      </w:r>
      <w:r>
        <w:rPr>
          <w:noProof/>
          <w:webHidden/>
        </w:rPr>
        <w:t xml:space="preserve"> 25</w:t>
      </w:r>
    </w:p>
    <w:p w:rsidR="006929DD" w:rsidRDefault="006929DD">
      <w:pPr>
        <w:pStyle w:val="21"/>
        <w:tabs>
          <w:tab w:val="right" w:pos="9628"/>
        </w:tabs>
        <w:rPr>
          <w:i w:val="0"/>
          <w:iCs w:val="0"/>
          <w:noProof/>
          <w:sz w:val="24"/>
        </w:rPr>
      </w:pPr>
      <w:r w:rsidRPr="009B3F5B">
        <w:rPr>
          <w:rStyle w:val="a7"/>
          <w:noProof/>
          <w:szCs w:val="32"/>
        </w:rPr>
        <w:t>3.1.Концепция антиинфляционной политики</w:t>
      </w:r>
      <w:r>
        <w:rPr>
          <w:noProof/>
          <w:webHidden/>
        </w:rPr>
        <w:t xml:space="preserve"> 25</w:t>
      </w:r>
    </w:p>
    <w:p w:rsidR="006929DD" w:rsidRDefault="006929DD">
      <w:pPr>
        <w:pStyle w:val="21"/>
        <w:tabs>
          <w:tab w:val="right" w:pos="9628"/>
        </w:tabs>
        <w:rPr>
          <w:i w:val="0"/>
          <w:iCs w:val="0"/>
          <w:noProof/>
          <w:sz w:val="24"/>
        </w:rPr>
      </w:pPr>
      <w:r w:rsidRPr="009B3F5B">
        <w:rPr>
          <w:rStyle w:val="a7"/>
          <w:noProof/>
          <w:szCs w:val="32"/>
        </w:rPr>
        <w:t>3.2.Оценка стабилизационной политики правительства</w:t>
      </w:r>
      <w:r>
        <w:rPr>
          <w:noProof/>
          <w:webHidden/>
        </w:rPr>
        <w:t xml:space="preserve"> 27</w:t>
      </w:r>
    </w:p>
    <w:p w:rsidR="006929DD" w:rsidRDefault="006929DD">
      <w:pPr>
        <w:pStyle w:val="10"/>
        <w:tabs>
          <w:tab w:val="right" w:pos="9628"/>
        </w:tabs>
        <w:rPr>
          <w:b w:val="0"/>
          <w:bCs w:val="0"/>
          <w:noProof/>
          <w:sz w:val="24"/>
        </w:rPr>
      </w:pPr>
      <w:r w:rsidRPr="009B3F5B">
        <w:rPr>
          <w:rStyle w:val="a7"/>
          <w:noProof/>
          <w:szCs w:val="36"/>
        </w:rPr>
        <w:t>Заключение</w:t>
      </w:r>
      <w:r>
        <w:rPr>
          <w:noProof/>
          <w:webHidden/>
        </w:rPr>
        <w:t xml:space="preserve"> 30</w:t>
      </w:r>
    </w:p>
    <w:p w:rsidR="006929DD" w:rsidRDefault="006929DD">
      <w:pPr>
        <w:pStyle w:val="10"/>
        <w:tabs>
          <w:tab w:val="right" w:pos="9628"/>
        </w:tabs>
        <w:rPr>
          <w:b w:val="0"/>
          <w:bCs w:val="0"/>
          <w:noProof/>
          <w:sz w:val="24"/>
        </w:rPr>
      </w:pPr>
      <w:r w:rsidRPr="009B3F5B">
        <w:rPr>
          <w:rStyle w:val="a7"/>
          <w:noProof/>
          <w:szCs w:val="36"/>
        </w:rPr>
        <w:t>Список литературы</w:t>
      </w:r>
      <w:r>
        <w:rPr>
          <w:noProof/>
          <w:webHidden/>
        </w:rPr>
        <w:t xml:space="preserve"> 31</w:t>
      </w:r>
    </w:p>
    <w:p w:rsidR="006929DD" w:rsidRDefault="006929DD">
      <w:pPr>
        <w:pStyle w:val="10"/>
        <w:tabs>
          <w:tab w:val="right" w:pos="9628"/>
        </w:tabs>
        <w:rPr>
          <w:b w:val="0"/>
          <w:bCs w:val="0"/>
          <w:noProof/>
          <w:sz w:val="24"/>
        </w:rPr>
      </w:pPr>
      <w:r w:rsidRPr="009B3F5B">
        <w:rPr>
          <w:rStyle w:val="a7"/>
          <w:noProof/>
          <w:szCs w:val="36"/>
        </w:rPr>
        <w:t>Приложение А</w:t>
      </w:r>
      <w:r>
        <w:rPr>
          <w:noProof/>
          <w:webHidden/>
        </w:rPr>
        <w:t xml:space="preserve"> 32</w:t>
      </w:r>
    </w:p>
    <w:p w:rsidR="006929DD" w:rsidRDefault="006929DD">
      <w:pPr>
        <w:pStyle w:val="10"/>
        <w:tabs>
          <w:tab w:val="right" w:pos="9628"/>
        </w:tabs>
        <w:rPr>
          <w:b w:val="0"/>
          <w:bCs w:val="0"/>
          <w:noProof/>
          <w:sz w:val="24"/>
        </w:rPr>
      </w:pPr>
      <w:r w:rsidRPr="009B3F5B">
        <w:rPr>
          <w:rStyle w:val="a7"/>
          <w:noProof/>
          <w:szCs w:val="36"/>
        </w:rPr>
        <w:t>Приложение Б</w:t>
      </w:r>
      <w:r>
        <w:rPr>
          <w:noProof/>
          <w:webHidden/>
        </w:rPr>
        <w:t xml:space="preserve"> 33</w:t>
      </w:r>
    </w:p>
    <w:p w:rsidR="006929DD" w:rsidRDefault="006929DD">
      <w:pPr>
        <w:pStyle w:val="10"/>
        <w:tabs>
          <w:tab w:val="right" w:pos="9628"/>
        </w:tabs>
        <w:rPr>
          <w:b w:val="0"/>
          <w:bCs w:val="0"/>
          <w:noProof/>
          <w:sz w:val="24"/>
        </w:rPr>
      </w:pPr>
      <w:r w:rsidRPr="009B3F5B">
        <w:rPr>
          <w:rStyle w:val="a7"/>
          <w:noProof/>
          <w:szCs w:val="36"/>
        </w:rPr>
        <w:t>Приложение В</w:t>
      </w:r>
      <w:r>
        <w:rPr>
          <w:noProof/>
          <w:webHidden/>
        </w:rPr>
        <w:t xml:space="preserve"> 34</w:t>
      </w:r>
    </w:p>
    <w:p w:rsidR="006929DD" w:rsidRDefault="006929DD">
      <w:pPr>
        <w:pStyle w:val="10"/>
        <w:tabs>
          <w:tab w:val="right" w:pos="9628"/>
        </w:tabs>
        <w:rPr>
          <w:b w:val="0"/>
          <w:bCs w:val="0"/>
          <w:noProof/>
          <w:sz w:val="24"/>
        </w:rPr>
      </w:pPr>
      <w:r w:rsidRPr="009B3F5B">
        <w:rPr>
          <w:rStyle w:val="a7"/>
          <w:noProof/>
          <w:szCs w:val="36"/>
        </w:rPr>
        <w:t>Приложение Г</w:t>
      </w:r>
      <w:r>
        <w:rPr>
          <w:noProof/>
          <w:webHidden/>
        </w:rPr>
        <w:t xml:space="preserve"> 35</w:t>
      </w:r>
    </w:p>
    <w:p w:rsidR="006929DD" w:rsidRDefault="006929DD">
      <w:pPr>
        <w:pStyle w:val="10"/>
        <w:tabs>
          <w:tab w:val="right" w:pos="9628"/>
        </w:tabs>
        <w:rPr>
          <w:b w:val="0"/>
          <w:bCs w:val="0"/>
          <w:noProof/>
          <w:sz w:val="24"/>
        </w:rPr>
      </w:pPr>
      <w:r w:rsidRPr="009B3F5B">
        <w:rPr>
          <w:rStyle w:val="a7"/>
          <w:noProof/>
          <w:szCs w:val="36"/>
        </w:rPr>
        <w:t>Приложение Д</w:t>
      </w:r>
      <w:r>
        <w:rPr>
          <w:noProof/>
          <w:webHidden/>
        </w:rPr>
        <w:t xml:space="preserve"> 36</w:t>
      </w:r>
    </w:p>
    <w:p w:rsidR="006929DD" w:rsidRDefault="006929DD">
      <w:pPr>
        <w:pStyle w:val="1"/>
      </w:pPr>
      <w:r>
        <w:br w:type="page"/>
      </w:r>
      <w:bookmarkStart w:id="19" w:name="_Toc533464808"/>
      <w:r>
        <w:t>Введение</w:t>
      </w:r>
      <w:bookmarkEnd w:id="16"/>
      <w:bookmarkEnd w:id="17"/>
      <w:bookmarkEnd w:id="18"/>
      <w:bookmarkEnd w:id="19"/>
    </w:p>
    <w:p w:rsidR="006929DD" w:rsidRDefault="006929DD">
      <w:pPr>
        <w:jc w:val="both"/>
      </w:pPr>
    </w:p>
    <w:p w:rsidR="006929DD" w:rsidRDefault="006929DD">
      <w:pPr>
        <w:tabs>
          <w:tab w:val="left" w:pos="360"/>
        </w:tabs>
        <w:ind w:firstLine="709"/>
        <w:jc w:val="both"/>
        <w:rPr>
          <w:rFonts w:cs="Times New Roman"/>
        </w:rPr>
      </w:pPr>
      <w:r>
        <w:rPr>
          <w:rFonts w:cs="Times New Roman"/>
        </w:rPr>
        <w:tab/>
        <w:t xml:space="preserve">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 </w:t>
      </w:r>
    </w:p>
    <w:p w:rsidR="006929DD" w:rsidRDefault="006929DD">
      <w:pPr>
        <w:pStyle w:val="20"/>
      </w:pPr>
      <w:r>
        <w:tab/>
        <w:t xml:space="preserve">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 </w:t>
      </w:r>
    </w:p>
    <w:p w:rsidR="006929DD" w:rsidRDefault="006929DD">
      <w:pPr>
        <w:pStyle w:val="a6"/>
        <w:ind w:firstLine="709"/>
      </w:pPr>
      <w:r>
        <w:tab/>
        <w:t xml:space="preserve">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 </w:t>
      </w:r>
    </w:p>
    <w:p w:rsidR="006929DD" w:rsidRDefault="006929DD">
      <w:pPr>
        <w:tabs>
          <w:tab w:val="left" w:pos="360"/>
        </w:tabs>
        <w:ind w:firstLine="709"/>
        <w:jc w:val="both"/>
        <w:rPr>
          <w:rFonts w:cs="Times New Roman"/>
        </w:rPr>
      </w:pPr>
      <w:r>
        <w:rPr>
          <w:rFonts w:cs="Times New Roman"/>
        </w:rPr>
        <w:tab/>
        <w:t xml:space="preserve">Опыт многих стран показал, что длительное функционирование централизованного планирования, как правило, приводит к нарушению сбалансированности материальных и денежных потоков. </w:t>
      </w:r>
    </w:p>
    <w:p w:rsidR="006929DD" w:rsidRDefault="006929DD">
      <w:pPr>
        <w:pStyle w:val="a5"/>
        <w:ind w:firstLine="709"/>
        <w:rPr>
          <w:rFonts w:cs="Times New Roman"/>
        </w:rPr>
      </w:pPr>
      <w:r>
        <w:rPr>
          <w:rFonts w:cs="Times New Roman"/>
        </w:rPr>
        <w:t>Инфляция – неизбежный спутник долгосрочного развития экономики с гибкими ценами. Поддержание уровня полной занятости без инфляции – цель государственного регулирования рыночной экономики. Однако инфляция – сложный и по-разному проявляющийся социально-экономический феномен, вызывающий споры и разногласия среди экономистов. Сущность и происхождение инфляции далеко не одинаково трактуются представителями различных экономических школ. Поверхностное представление о причинах инфляции ведет к неправильным методам борьбы с этим явлением.</w:t>
      </w:r>
    </w:p>
    <w:p w:rsidR="006929DD" w:rsidRDefault="006929DD">
      <w:pPr>
        <w:pStyle w:val="1"/>
      </w:pPr>
      <w:r>
        <w:br w:type="page"/>
      </w:r>
      <w:bookmarkStart w:id="20" w:name="_Toc532843185"/>
      <w:bookmarkStart w:id="21" w:name="_Toc533456909"/>
      <w:bookmarkStart w:id="22" w:name="_Toc533464809"/>
      <w:r>
        <w:t>Глава 1.Определение инфляции</w:t>
      </w:r>
      <w:bookmarkEnd w:id="20"/>
      <w:bookmarkEnd w:id="21"/>
      <w:bookmarkEnd w:id="22"/>
    </w:p>
    <w:p w:rsidR="006929DD" w:rsidRDefault="006929DD">
      <w:pPr>
        <w:jc w:val="both"/>
      </w:pPr>
    </w:p>
    <w:p w:rsidR="006929DD" w:rsidRDefault="006929DD">
      <w:pPr>
        <w:pStyle w:val="2"/>
      </w:pPr>
      <w:bookmarkStart w:id="23" w:name="_Toc532843186"/>
      <w:bookmarkStart w:id="24" w:name="_Toc533456910"/>
      <w:bookmarkStart w:id="25" w:name="_Toc533464810"/>
      <w:r>
        <w:t>1.1.Сущность инфляции</w:t>
      </w:r>
      <w:bookmarkEnd w:id="23"/>
      <w:bookmarkEnd w:id="24"/>
      <w:bookmarkEnd w:id="25"/>
    </w:p>
    <w:p w:rsidR="006929DD" w:rsidRDefault="006929DD">
      <w:pPr>
        <w:pStyle w:val="a6"/>
        <w:ind w:left="4536"/>
        <w:rPr>
          <w:sz w:val="24"/>
        </w:rPr>
      </w:pPr>
      <w:r>
        <w:rPr>
          <w:sz w:val="24"/>
        </w:rPr>
        <w:t>Превышение меры в выпусках бумажной монеты по строгой правде не может быть иначе представляемо, как в виде неприметного похищения части из имущества каждого.</w:t>
      </w:r>
    </w:p>
    <w:p w:rsidR="006929DD" w:rsidRDefault="006929DD">
      <w:pPr>
        <w:tabs>
          <w:tab w:val="left" w:pos="360"/>
          <w:tab w:val="left" w:pos="720"/>
        </w:tabs>
        <w:ind w:left="4536"/>
        <w:jc w:val="both"/>
        <w:rPr>
          <w:rFonts w:cs="Times New Roman"/>
          <w:sz w:val="24"/>
        </w:rPr>
      </w:pPr>
      <w:r>
        <w:rPr>
          <w:rFonts w:cs="Times New Roman"/>
          <w:sz w:val="24"/>
        </w:rPr>
        <w:t>(Н. Моровинов, экономист, философ и государственный деятель России конца XVIII в.)</w:t>
      </w:r>
    </w:p>
    <w:p w:rsidR="006929DD" w:rsidRDefault="006929DD">
      <w:pPr>
        <w:ind w:firstLine="709"/>
        <w:jc w:val="both"/>
      </w:pPr>
    </w:p>
    <w:p w:rsidR="006929DD" w:rsidRDefault="006929DD">
      <w:pPr>
        <w:ind w:firstLine="709"/>
        <w:jc w:val="both"/>
      </w:pPr>
      <w:r>
        <w:tab/>
        <w:t>Инфляция – процесс обесценивания бумажных денег, падение их покупательной способности вследствие чрезмерного выпуска (эмиссии) или сокращения товарной массы в обращении при неизменном количестве выпущенных денег.</w:t>
      </w:r>
      <w:r>
        <w:rPr>
          <w:rStyle w:val="a9"/>
        </w:rPr>
        <w:footnoteReference w:id="1"/>
      </w:r>
      <w:r>
        <w:t xml:space="preserve"> </w:t>
      </w:r>
    </w:p>
    <w:p w:rsidR="006929DD" w:rsidRDefault="006929DD">
      <w:pPr>
        <w:ind w:firstLine="709"/>
        <w:jc w:val="both"/>
      </w:pPr>
      <w:r>
        <w:t>Термин «инфляция» (</w:t>
      </w:r>
      <w:r>
        <w:rPr>
          <w:lang w:val="en-US"/>
        </w:rPr>
        <w:t>inflatio</w:t>
      </w:r>
      <w:r>
        <w:t>) дословно означает «вздутие» и как термин впервые было использовано для обозначения «вздутия» бумажно-денежной массы в Северной Америке во время гражданской войны 1861-1865 годов.</w:t>
      </w:r>
    </w:p>
    <w:p w:rsidR="006929DD" w:rsidRDefault="006929DD">
      <w:pPr>
        <w:ind w:firstLine="709"/>
        <w:jc w:val="both"/>
      </w:pPr>
      <w:r>
        <w:t>Сущностью инфляции является дисбаланс между совокупным предложением и совокупным спросом в сторону превышения последнего, сложившийся одновременно на всех рынках (на товарном, денежном и рынке ресурсов).</w:t>
      </w:r>
    </w:p>
    <w:p w:rsidR="006929DD" w:rsidRDefault="006929DD">
      <w:pPr>
        <w:ind w:firstLine="709"/>
        <w:jc w:val="both"/>
      </w:pPr>
      <w:r>
        <w:t xml:space="preserve">Инфляция – это повышение общего уровня цен. Это не означает, что </w:t>
      </w:r>
      <w:r>
        <w:rPr>
          <w:i/>
          <w:iCs/>
        </w:rPr>
        <w:t xml:space="preserve">все </w:t>
      </w:r>
      <w:r>
        <w:t>цены растут. Даже в периоды быстрого роста инфляции некоторые цены могут оставаться относительно стабильными, а другие – даже снижаться. Например, хотя в 1970-1980 гг. в США наблюдался высокий уровень инфляции, цены на такие товары как видеомагнитофоны, электронные часы и персональные компьютеры понижались.[5]</w:t>
      </w:r>
    </w:p>
    <w:p w:rsidR="006929DD" w:rsidRDefault="006929DD">
      <w:pPr>
        <w:ind w:firstLine="709"/>
        <w:jc w:val="both"/>
      </w:pPr>
      <w:r>
        <w:t>Необходимо иметь в виду, что не любое повышение цен – инфляция. С понятием инфляции не следует смешивать рост цен, вызванный, например, сезонными колебаниями спроса и предложения, природными катаклизмами и, что очень важно, экономическими циклами</w:t>
      </w:r>
      <w:r>
        <w:rPr>
          <w:i/>
          <w:iCs/>
        </w:rPr>
        <w:t xml:space="preserve">. Рост цен, происходящий не по причине искажения оценки ресурсов, товаров и услуг, нарушающего пропорции обмена и распределения, а по каким-либо другим причинам, инфляцией не является. </w:t>
      </w:r>
      <w:r>
        <w:t>Поэтому при оценке инфляции необходимо очистить цены от неинфляционных колебаний. Так, если в экономике ежемесячный темп инфляции составляет 7%, а цены на сельскохозяйственную продукцию сезонно снизились, скажем, на 1,5%, то нельзя утверждать, что в этот период инфляция снизилась до 5,5% в месяц.</w:t>
      </w:r>
    </w:p>
    <w:p w:rsidR="006929DD" w:rsidRDefault="006929DD">
      <w:pPr>
        <w:tabs>
          <w:tab w:val="left" w:pos="360"/>
        </w:tabs>
        <w:ind w:firstLine="709"/>
        <w:jc w:val="both"/>
        <w:rPr>
          <w:rFonts w:cs="Times New Roman"/>
        </w:rPr>
      </w:pPr>
      <w:r>
        <w:rPr>
          <w:rFonts w:cs="Times New Roman"/>
        </w:rPr>
        <w:tab/>
        <w:t xml:space="preserve">Инфляция - это денежное явление, но она не ограничивается обесцениванием денег. Она проникает во все сферы экономической жизни и начинает разрушать эти сферы. От нее страдает государство, производство, финансовый рынок, но больше всех страдают люди. Во время инфляции происходит: </w:t>
      </w:r>
    </w:p>
    <w:p w:rsidR="006929DD" w:rsidRDefault="006929DD">
      <w:pPr>
        <w:tabs>
          <w:tab w:val="left" w:pos="360"/>
        </w:tabs>
        <w:ind w:firstLine="709"/>
        <w:jc w:val="both"/>
        <w:rPr>
          <w:rFonts w:cs="Times New Roman"/>
        </w:rPr>
      </w:pPr>
      <w:r>
        <w:rPr>
          <w:rFonts w:cs="Times New Roman"/>
        </w:rPr>
        <w:t xml:space="preserve">1) Обесценивание денег по отношению к золоту; </w:t>
      </w:r>
    </w:p>
    <w:p w:rsidR="006929DD" w:rsidRDefault="006929DD">
      <w:pPr>
        <w:tabs>
          <w:tab w:val="left" w:pos="360"/>
        </w:tabs>
        <w:ind w:firstLine="709"/>
        <w:jc w:val="both"/>
        <w:rPr>
          <w:rFonts w:cs="Times New Roman"/>
        </w:rPr>
      </w:pPr>
      <w:r>
        <w:rPr>
          <w:rFonts w:cs="Times New Roman"/>
        </w:rPr>
        <w:t xml:space="preserve">2) Обесценивание денег по отношению к товару; </w:t>
      </w:r>
    </w:p>
    <w:p w:rsidR="006929DD" w:rsidRDefault="006929DD">
      <w:pPr>
        <w:ind w:firstLine="709"/>
        <w:jc w:val="both"/>
        <w:rPr>
          <w:rFonts w:cs="Times New Roman"/>
        </w:rPr>
      </w:pPr>
      <w:r>
        <w:rPr>
          <w:rFonts w:cs="Times New Roman"/>
        </w:rPr>
        <w:t>3) Обесценивание денег по отношению к иностранной валюте.</w:t>
      </w:r>
    </w:p>
    <w:p w:rsidR="006929DD" w:rsidRDefault="006929DD">
      <w:pPr>
        <w:ind w:firstLine="709"/>
        <w:jc w:val="both"/>
        <w:rPr>
          <w:rFonts w:cs="Times New Roman"/>
        </w:rPr>
      </w:pPr>
      <w:r>
        <w:rPr>
          <w:rFonts w:cs="Times New Roman"/>
        </w:rPr>
        <w:t>Инфляция обычно измеряется в темпах прироста уровня цен за год и подсчитывается в процентах:</w:t>
      </w:r>
    </w:p>
    <w:p w:rsidR="006929DD" w:rsidRDefault="006929DD">
      <w:pPr>
        <w:ind w:left="1440" w:firstLine="720"/>
        <w:jc w:val="both"/>
        <w:rPr>
          <w:rFonts w:cs="Times New Roman"/>
          <w:lang w:val="en-US"/>
        </w:rPr>
      </w:pPr>
      <w:r>
        <w:rPr>
          <w:rFonts w:cs="Times New Roman"/>
          <w:sz w:val="32"/>
          <w:lang w:val="en-US"/>
        </w:rPr>
        <w:t>P</w:t>
      </w:r>
      <w:r>
        <w:rPr>
          <w:rFonts w:cs="Times New Roman"/>
          <w:sz w:val="32"/>
          <w:vertAlign w:val="subscript"/>
          <w:lang w:val="en-US"/>
        </w:rPr>
        <w:t xml:space="preserve">1 </w:t>
      </w:r>
      <w:r>
        <w:rPr>
          <w:rFonts w:cs="Times New Roman"/>
          <w:sz w:val="32"/>
          <w:lang w:val="en-US"/>
        </w:rPr>
        <w:t>– P</w:t>
      </w:r>
      <w:r>
        <w:rPr>
          <w:rFonts w:cs="Times New Roman"/>
          <w:sz w:val="32"/>
          <w:vertAlign w:val="subscript"/>
          <w:lang w:val="en-US"/>
        </w:rPr>
        <w:t>0</w:t>
      </w:r>
    </w:p>
    <w:p w:rsidR="006929DD" w:rsidRDefault="009C7F87">
      <w:pPr>
        <w:tabs>
          <w:tab w:val="left" w:pos="4260"/>
          <w:tab w:val="left" w:pos="4960"/>
          <w:tab w:val="center" w:pos="5173"/>
        </w:tabs>
        <w:ind w:firstLine="709"/>
        <w:jc w:val="both"/>
        <w:rPr>
          <w:rFonts w:cs="Times New Roman"/>
          <w:sz w:val="32"/>
          <w:lang w:val="en-US"/>
        </w:rPr>
      </w:pPr>
      <w:r>
        <w:rPr>
          <w:rFonts w:cs="Times New Roman"/>
          <w:noProof/>
          <w:sz w:val="20"/>
        </w:rPr>
        <w:pict>
          <v:line id="_x0000_s1026" style="position:absolute;left:0;text-align:left;z-index:251657728" from="63pt,9.9pt" to="207pt,9.9pt"/>
        </w:pict>
      </w:r>
      <w:r w:rsidR="006929DD">
        <w:rPr>
          <w:rFonts w:cs="Times New Roman"/>
          <w:sz w:val="32"/>
          <w:lang w:val="en-US"/>
        </w:rPr>
        <w:sym w:font="Symbol" w:char="F070"/>
      </w:r>
      <w:r w:rsidR="006929DD">
        <w:rPr>
          <w:rFonts w:cs="Times New Roman"/>
          <w:sz w:val="32"/>
          <w:lang w:val="en-US"/>
        </w:rPr>
        <w:t>=</w:t>
      </w:r>
      <w:r w:rsidR="006929DD">
        <w:rPr>
          <w:rFonts w:cs="Times New Roman"/>
          <w:sz w:val="32"/>
          <w:lang w:val="en-US"/>
        </w:rPr>
        <w:tab/>
        <w:t xml:space="preserve"> x 100%</w:t>
      </w:r>
      <w:r w:rsidR="006929DD">
        <w:rPr>
          <w:rFonts w:cs="Times New Roman"/>
          <w:sz w:val="32"/>
          <w:lang w:val="en-US"/>
        </w:rPr>
        <w:tab/>
      </w:r>
    </w:p>
    <w:p w:rsidR="006929DD" w:rsidRDefault="006929DD">
      <w:pPr>
        <w:tabs>
          <w:tab w:val="left" w:pos="2240"/>
        </w:tabs>
        <w:jc w:val="both"/>
        <w:rPr>
          <w:rFonts w:cs="Times New Roman"/>
          <w:sz w:val="32"/>
        </w:rPr>
      </w:pPr>
      <w:r>
        <w:rPr>
          <w:rFonts w:cs="Times New Roman"/>
          <w:sz w:val="32"/>
          <w:lang w:val="en-US"/>
        </w:rPr>
        <w:tab/>
        <w:t xml:space="preserve">  P</w:t>
      </w:r>
      <w:r>
        <w:rPr>
          <w:rFonts w:cs="Times New Roman"/>
          <w:sz w:val="32"/>
          <w:vertAlign w:val="subscript"/>
        </w:rPr>
        <w:t>0</w:t>
      </w:r>
    </w:p>
    <w:p w:rsidR="006929DD" w:rsidRDefault="006929DD">
      <w:pPr>
        <w:jc w:val="both"/>
        <w:rPr>
          <w:rFonts w:cs="Times New Roman"/>
        </w:rPr>
      </w:pPr>
      <w:r>
        <w:rPr>
          <w:rFonts w:cs="Times New Roman"/>
        </w:rPr>
        <w:t>где</w:t>
      </w:r>
      <w:r>
        <w:rPr>
          <w:rFonts w:cs="Times New Roman"/>
          <w:sz w:val="32"/>
        </w:rPr>
        <w:t xml:space="preserve"> </w:t>
      </w:r>
      <w:r>
        <w:rPr>
          <w:rFonts w:cs="Times New Roman"/>
          <w:sz w:val="32"/>
          <w:lang w:val="en-US"/>
        </w:rPr>
        <w:sym w:font="Symbol" w:char="F070"/>
      </w:r>
      <w:r>
        <w:rPr>
          <w:rFonts w:cs="Times New Roman"/>
          <w:sz w:val="32"/>
        </w:rPr>
        <w:t xml:space="preserve"> - </w:t>
      </w:r>
      <w:r>
        <w:rPr>
          <w:rFonts w:cs="Times New Roman"/>
        </w:rPr>
        <w:t xml:space="preserve">темп инфляции в процентах за год, </w:t>
      </w:r>
      <w:r>
        <w:rPr>
          <w:rFonts w:cs="Times New Roman"/>
          <w:lang w:val="en-US"/>
        </w:rPr>
        <w:t>P</w:t>
      </w:r>
      <w:r>
        <w:rPr>
          <w:rFonts w:cs="Times New Roman"/>
          <w:vertAlign w:val="subscript"/>
        </w:rPr>
        <w:t>1</w:t>
      </w:r>
      <w:r>
        <w:rPr>
          <w:rFonts w:cs="Times New Roman"/>
        </w:rPr>
        <w:t xml:space="preserve"> – уровень цен данного года, </w:t>
      </w:r>
      <w:r>
        <w:rPr>
          <w:rFonts w:cs="Times New Roman"/>
          <w:lang w:val="en-US"/>
        </w:rPr>
        <w:t>P</w:t>
      </w:r>
      <w:r>
        <w:rPr>
          <w:rFonts w:cs="Times New Roman"/>
          <w:vertAlign w:val="subscript"/>
        </w:rPr>
        <w:t>0</w:t>
      </w:r>
      <w:r>
        <w:rPr>
          <w:rFonts w:cs="Times New Roman"/>
        </w:rPr>
        <w:t xml:space="preserve"> – уровень цен предшествующего года. В качестве показателя уровня цен используется дефлятор ВВП, но так же можно использовать индекс потребительских цен и индекс промышленных цен.[5]</w:t>
      </w:r>
    </w:p>
    <w:p w:rsidR="006929DD" w:rsidRDefault="006929DD">
      <w:pPr>
        <w:jc w:val="both"/>
        <w:rPr>
          <w:rFonts w:cs="Times New Roman"/>
          <w:sz w:val="32"/>
        </w:rPr>
      </w:pPr>
    </w:p>
    <w:p w:rsidR="006929DD" w:rsidRDefault="006929DD">
      <w:pPr>
        <w:pStyle w:val="2"/>
      </w:pPr>
      <w:bookmarkStart w:id="26" w:name="_Toc533456911"/>
      <w:bookmarkStart w:id="27" w:name="_Toc533464811"/>
      <w:r>
        <w:t>1.2.Виды инфляции</w:t>
      </w:r>
      <w:bookmarkEnd w:id="26"/>
      <w:bookmarkEnd w:id="27"/>
    </w:p>
    <w:p w:rsidR="006929DD" w:rsidRDefault="006929DD">
      <w:pPr>
        <w:jc w:val="both"/>
      </w:pPr>
      <w:r>
        <w:tab/>
        <w:t>Классификация видов инфляции происходит по различным основаниям.</w:t>
      </w:r>
    </w:p>
    <w:p w:rsidR="006929DD" w:rsidRDefault="006929DD">
      <w:pPr>
        <w:ind w:firstLine="567"/>
        <w:jc w:val="both"/>
      </w:pPr>
      <w:r>
        <w:t>1) В зависимости от экономической системы государства выделяют:</w:t>
      </w:r>
    </w:p>
    <w:p w:rsidR="006929DD" w:rsidRDefault="006929DD">
      <w:pPr>
        <w:pStyle w:val="31"/>
        <w:ind w:left="0" w:firstLine="142"/>
      </w:pPr>
      <w:r>
        <w:t>а) открытая инфляция – в рыночной экономике. В условиях относительной гибкости и мобильности ценового сигнала, превышение совокупного спроса над совокупным предложением выражается в росте общего уровня цен.</w:t>
      </w:r>
    </w:p>
    <w:p w:rsidR="006929DD" w:rsidRDefault="006929DD">
      <w:pPr>
        <w:pStyle w:val="31"/>
        <w:ind w:left="0" w:firstLine="142"/>
      </w:pPr>
      <w:r>
        <w:t>б) скрытая (подавленная) инфляция – характерна для экономики с регулируемыми ценами и проявляется в товарном дефиците, ухудшении качества продукции, вынужденном накапливании денег, развитии теневой экономики, бартерных сделок. Развивается вследствие поддержания государством товарных цен ниже цен рыночного равновесия.[6]</w:t>
      </w:r>
    </w:p>
    <w:p w:rsidR="006929DD" w:rsidRDefault="006929DD">
      <w:pPr>
        <w:pStyle w:val="31"/>
        <w:ind w:left="0" w:firstLine="567"/>
      </w:pPr>
      <w:r>
        <w:t>2) В зависимости от темпов развития выделяют:</w:t>
      </w:r>
    </w:p>
    <w:p w:rsidR="006929DD" w:rsidRDefault="006929DD">
      <w:pPr>
        <w:pStyle w:val="31"/>
        <w:ind w:left="0" w:firstLine="142"/>
      </w:pPr>
      <w:r>
        <w:t>а) умеренная (ползучая) инфляция – темпы до 10% в год. Это низкий темп инфляции, при котором обесценение денег настолько незначительно, что сделки заключаются в номинальных ценах.</w:t>
      </w:r>
    </w:p>
    <w:p w:rsidR="006929DD" w:rsidRDefault="006929DD">
      <w:pPr>
        <w:pStyle w:val="31"/>
        <w:ind w:left="0" w:firstLine="142"/>
      </w:pPr>
      <w:r>
        <w:t>б) галопирующая инфляция – ограничена рамками от 10 до 100% в год. Деньги обесцениваются довольно быстро, поэтому в качестве цен для сделок используют устойчивую валюту, либо в ценах учитываются ожидаемые темпы инфляции на момент платежа. Другими словами, сделки (контракты) начинают индексироваться.</w:t>
      </w:r>
    </w:p>
    <w:p w:rsidR="006929DD" w:rsidRDefault="006929DD">
      <w:pPr>
        <w:pStyle w:val="31"/>
        <w:ind w:left="0" w:firstLine="142"/>
      </w:pPr>
      <w:r>
        <w:t>в) гиперинфляция – в странах с развитой рыночной экономикой определяется темпами свыше 100% в год. Для стран с неустойчивой экономикой этот критерий значительно выше. Рабочий показатель гиперинфляции для многих экономистов – 1000% в год.[7]</w:t>
      </w:r>
    </w:p>
    <w:p w:rsidR="006929DD" w:rsidRDefault="006929DD">
      <w:pPr>
        <w:pStyle w:val="31"/>
        <w:ind w:left="0"/>
      </w:pPr>
      <w:r>
        <w:t xml:space="preserve"> </w:t>
      </w:r>
      <w:r>
        <w:tab/>
        <w:t>3) В зависимости от соотношения роста цен по различным товарным группам:</w:t>
      </w:r>
    </w:p>
    <w:p w:rsidR="006929DD" w:rsidRDefault="006929DD">
      <w:pPr>
        <w:pStyle w:val="31"/>
        <w:ind w:left="0" w:firstLine="142"/>
      </w:pPr>
      <w:r>
        <w:t>а) сбалансированная инфляция – цены изменяются в одном направлении и примерно одинаковыми темпами.</w:t>
      </w:r>
    </w:p>
    <w:p w:rsidR="006929DD" w:rsidRDefault="006929DD">
      <w:pPr>
        <w:pStyle w:val="31"/>
        <w:ind w:left="0" w:firstLine="142"/>
      </w:pPr>
      <w:r>
        <w:t>б) несбалансированная инфляция – цены могут колебаться одновременно с разной скоростью и разнонаправлено на межотраслевом и внутриотраслевом уровне. В одних секторах цены растут разными темпами, а в других могут сокращаться.</w:t>
      </w:r>
    </w:p>
    <w:p w:rsidR="006929DD" w:rsidRDefault="006929DD">
      <w:pPr>
        <w:pStyle w:val="31"/>
        <w:ind w:left="0" w:firstLine="142"/>
      </w:pPr>
      <w:r>
        <w:tab/>
        <w:t>4) В зависимости от степени ожидаемости выделяют:</w:t>
      </w:r>
    </w:p>
    <w:p w:rsidR="006929DD" w:rsidRDefault="006929DD">
      <w:pPr>
        <w:pStyle w:val="31"/>
        <w:ind w:left="0" w:firstLine="142"/>
      </w:pPr>
      <w:r>
        <w:t>а) непредвиденная инфляция – доходы произвольно перераспределяются за счет получателей фиксированного дохода, кредиторов и владельцев сбережений.</w:t>
      </w:r>
    </w:p>
    <w:p w:rsidR="006929DD" w:rsidRDefault="006929DD">
      <w:pPr>
        <w:pStyle w:val="31"/>
        <w:ind w:left="0" w:firstLine="142"/>
      </w:pPr>
      <w:r>
        <w:t>б) ожидаемая инфляция – лица и фирмы могут принять меры, чтобы уменьшить или полностью исключить ее негативные последствия.[8]</w:t>
      </w:r>
    </w:p>
    <w:p w:rsidR="006929DD" w:rsidRDefault="006929DD">
      <w:pPr>
        <w:pStyle w:val="31"/>
        <w:ind w:left="0" w:firstLine="142"/>
      </w:pPr>
    </w:p>
    <w:p w:rsidR="006929DD" w:rsidRDefault="006929DD">
      <w:pPr>
        <w:pStyle w:val="2"/>
      </w:pPr>
      <w:bookmarkStart w:id="28" w:name="_Toc533456912"/>
      <w:bookmarkStart w:id="29" w:name="_Toc533464812"/>
      <w:r>
        <w:t>1.3.Причины возникновения инфляции</w:t>
      </w:r>
      <w:bookmarkEnd w:id="28"/>
      <w:bookmarkEnd w:id="29"/>
    </w:p>
    <w:p w:rsidR="006929DD" w:rsidRDefault="006929DD">
      <w:pPr>
        <w:jc w:val="both"/>
      </w:pPr>
      <w:r>
        <w:tab/>
        <w:t>Существует множество причин, способных изменить темпы прироста уровня цен. Как уже говорилось ранее, инфляция – результат нарушения равновесия между спросом и предложением. Поэтому для более детального изучения воздействия инфляционных факторов на экономику их делят на две категории: на факторы, лежащие на стороне совокупного спроса и факторы, лежащие на стороне совокупного предложения. На этой основе экономисты различают два типа инфляции.</w:t>
      </w:r>
    </w:p>
    <w:p w:rsidR="006929DD" w:rsidRDefault="006929DD">
      <w:pPr>
        <w:pStyle w:val="3"/>
      </w:pPr>
      <w:bookmarkStart w:id="30" w:name="_Toc533456913"/>
      <w:bookmarkStart w:id="31" w:name="_Toc533464813"/>
      <w:r>
        <w:t>1.3.1.Инфляция спроса</w:t>
      </w:r>
      <w:bookmarkEnd w:id="30"/>
      <w:bookmarkEnd w:id="31"/>
    </w:p>
    <w:p w:rsidR="006929DD" w:rsidRDefault="006929DD">
      <w:pPr>
        <w:ind w:firstLine="720"/>
        <w:jc w:val="both"/>
      </w:pPr>
      <w:r>
        <w:t>Если равновесие нарушается со стороны спроса, то возникает «инфляция спроса». В этом случае инфляция вызывается неудовлетворенным спросом на товары. Потребители хотят приобрести больше продукции, чем может быть произведено экономикой. Возникает избыток денег по отношению к количеству товаров, растут цены. Суть инфляции спроса иногда объясняют одной фразой: «слишком много денег охотится за слишком малым количеством товаров».</w:t>
      </w:r>
    </w:p>
    <w:p w:rsidR="006929DD" w:rsidRDefault="006929DD">
      <w:pPr>
        <w:ind w:firstLine="720"/>
        <w:jc w:val="both"/>
      </w:pPr>
      <w:r>
        <w:t>Что же приводит к такого рода инфляции?</w:t>
      </w:r>
    </w:p>
    <w:p w:rsidR="006929DD" w:rsidRDefault="006929DD">
      <w:pPr>
        <w:ind w:firstLine="567"/>
        <w:jc w:val="both"/>
      </w:pPr>
      <w:r>
        <w:t>1) Низкий уровень безработицы. Если уровень безработицы высок, то на увеличение совокупного спроса экономика отвечает увеличением объема производства, привлекая бездействующие трудовые и материальные ресурсы по существующим ценам. По мере дальнейшего увеличения спроса экономика приближается к уровню полной занятости, а затем и преодолевает его. Некоторые отрасли полностью используют свои производственные мощности и не могут отвечать на дальнейшее повышение спроса на свои товары увеличением производства. Поэтому цены на них растут.[6]</w:t>
      </w:r>
    </w:p>
    <w:p w:rsidR="006929DD" w:rsidRDefault="006929DD">
      <w:pPr>
        <w:ind w:firstLine="567"/>
        <w:jc w:val="both"/>
      </w:pPr>
      <w:r>
        <w:t>2) Сверхэмиссия денег. Увеличение платежеспособности может возникнуть из-за дополнительной эмиссии денег, осуществляемой государством чрезмерно. Причины сверхэмиссии, главным образом, связаны с дефицитом бюджета правительства и способами его погашения:</w:t>
      </w:r>
    </w:p>
    <w:p w:rsidR="006929DD" w:rsidRDefault="006929DD">
      <w:pPr>
        <w:ind w:firstLine="142"/>
        <w:jc w:val="both"/>
      </w:pPr>
      <w:r>
        <w:t>а) к инфляционному росту совокупного спроса приводит расширение государственного сектора, сопровождающееся увеличением зарплаты для привлечения государственных служащих.</w:t>
      </w:r>
    </w:p>
    <w:p w:rsidR="006929DD" w:rsidRDefault="006929DD">
      <w:pPr>
        <w:ind w:firstLine="142"/>
        <w:jc w:val="both"/>
      </w:pPr>
      <w:r>
        <w:t>б) финансирование военных заказов и расширение ВПК. Деньги для оплаты военных заказов увеличивают денежную массу, не подкрепленную массой товарной, так как продукция этого сектора не является объектом потребительского спроса. Создается давление на цены в сторону их повышения.</w:t>
      </w:r>
    </w:p>
    <w:p w:rsidR="006929DD" w:rsidRDefault="006929DD">
      <w:pPr>
        <w:ind w:firstLine="142"/>
        <w:jc w:val="both"/>
      </w:pPr>
      <w:r>
        <w:t>в) чрезмерное повышение трансфертных платежей (пенсий, пособий, дотаций и т.д.)</w:t>
      </w:r>
    </w:p>
    <w:p w:rsidR="006929DD" w:rsidRDefault="006929DD">
      <w:pPr>
        <w:ind w:firstLine="567"/>
        <w:jc w:val="both"/>
      </w:pPr>
      <w:r>
        <w:tab/>
        <w:t>3) Стимулирующая кредитно-денежная политика Центрального банка в случае продажи облигаций на открытом рынке. Процентная ставка снизится за счет расширения денежной массы, а инвестиционные проекты реализуются через определенный лаг времени, за период которого и может произойти инфляционный всплеск.</w:t>
      </w:r>
    </w:p>
    <w:p w:rsidR="006929DD" w:rsidRDefault="006929DD">
      <w:pPr>
        <w:ind w:firstLine="567"/>
        <w:jc w:val="both"/>
      </w:pPr>
      <w:r>
        <w:tab/>
        <w:t xml:space="preserve">4) Обесценение отечественной валюты страны по отношению к устойчивой иностранной валюте. Это может произойти, если высока доля иностранной валюты в составе денежного агрегата </w:t>
      </w:r>
      <w:r>
        <w:rPr>
          <w:i/>
          <w:iCs/>
        </w:rPr>
        <w:t>М2</w:t>
      </w:r>
      <w:r>
        <w:t>. Этот фактор при падении курса отечественной валюты срабатывает подобно дополнительной эмиссии и может вызвать инфляцию спроса.</w:t>
      </w:r>
    </w:p>
    <w:p w:rsidR="006929DD" w:rsidRDefault="006929DD">
      <w:pPr>
        <w:ind w:firstLine="709"/>
        <w:jc w:val="both"/>
      </w:pPr>
      <w:r>
        <w:rPr>
          <w:i/>
          <w:iCs/>
        </w:rPr>
        <w:t>Механизм раскручивания инфляции спроса характеризуется тем, что сначала увеличивается денежная масса, а затем – совокупный спрос.</w:t>
      </w:r>
      <w:r>
        <w:t>[5]</w:t>
      </w:r>
    </w:p>
    <w:p w:rsidR="006929DD" w:rsidRDefault="006929DD">
      <w:pPr>
        <w:pStyle w:val="3"/>
        <w:rPr>
          <w:i/>
          <w:iCs/>
        </w:rPr>
      </w:pPr>
      <w:bookmarkStart w:id="32" w:name="_Toc533456914"/>
      <w:bookmarkStart w:id="33" w:name="_Toc533464814"/>
      <w:r>
        <w:t>1.3.2.Инфляция предложения</w:t>
      </w:r>
      <w:bookmarkEnd w:id="32"/>
      <w:bookmarkEnd w:id="33"/>
      <w:r>
        <w:rPr>
          <w:i/>
          <w:iCs/>
        </w:rPr>
        <w:t xml:space="preserve"> </w:t>
      </w:r>
    </w:p>
    <w:p w:rsidR="006929DD" w:rsidRDefault="006929DD">
      <w:pPr>
        <w:jc w:val="both"/>
      </w:pPr>
      <w:r>
        <w:tab/>
        <w:t xml:space="preserve">Второй тип инфляции – инфляция предложения (инфляция издержек) – происходит в результате сокращения совокупного предложения в связи с удорожанием издержек производства на единицу продукции. </w:t>
      </w:r>
    </w:p>
    <w:p w:rsidR="006929DD" w:rsidRDefault="006929DD">
      <w:pPr>
        <w:pStyle w:val="20"/>
        <w:tabs>
          <w:tab w:val="clear" w:pos="360"/>
        </w:tabs>
        <w:rPr>
          <w:rFonts w:cs="Arial"/>
        </w:rPr>
      </w:pPr>
      <w:r>
        <w:rPr>
          <w:rFonts w:cs="Arial"/>
        </w:rPr>
        <w:t>Основные источники инфляции издержек:</w:t>
      </w:r>
      <w:r>
        <w:rPr>
          <w:rFonts w:cs="Arial"/>
        </w:rPr>
        <w:tab/>
      </w:r>
    </w:p>
    <w:p w:rsidR="006929DD" w:rsidRDefault="006929DD">
      <w:pPr>
        <w:ind w:firstLine="567"/>
        <w:jc w:val="both"/>
      </w:pPr>
      <w:r>
        <w:t>1) повышение зарплаты. Сильные профсоюзы давят на предпринимателей, добиваясь повышения зарплаты. Повышаются издержки предпринимателей на услуги труда, дороговизна производства делает невыгодным его расширение. Совокупное предложение начинает сокращаться, несмотря на то, что совокупный спрос остается на прежнем уровне, а порой и растет.</w:t>
      </w:r>
    </w:p>
    <w:p w:rsidR="006929DD" w:rsidRDefault="006929DD">
      <w:pPr>
        <w:ind w:firstLine="567"/>
        <w:jc w:val="both"/>
      </w:pPr>
      <w:r>
        <w:t>2) импортируемая инфляция. Под импортируемой понимается инфляция, проникающая в экономику страны из-за рубежа через цены иностранных товаров. Так, если в экономике страны широко используются в производстве импортируемые ресурсы (энергоносители и технология), то их резкое подорожание приведет к росту издержек внутри страны и к сокращению совокупного производства при одновременном росте цен.</w:t>
      </w:r>
    </w:p>
    <w:p w:rsidR="006929DD" w:rsidRDefault="006929DD">
      <w:pPr>
        <w:ind w:firstLine="567"/>
        <w:jc w:val="both"/>
      </w:pPr>
      <w:r>
        <w:t>3) монополизм фирм. Все виды монополий и олигополий удерживают цены за счет недопроизводства продукции по сравнению с конкурентным объемом выпуска. Происходит завышенная оценка ресурсов по отношению к их предельной производительности, а также завышение цен на продукцию. Распространяясь по всей экономике, искаженные ценовые сигналы с каждым производственным циклом развивают тенденцию к завышенному ценообразованию по сравнению с тем, какими должны быть цены при данном уровне технологического развития.</w:t>
      </w:r>
    </w:p>
    <w:p w:rsidR="006929DD" w:rsidRDefault="006929DD">
      <w:pPr>
        <w:ind w:firstLine="567"/>
        <w:jc w:val="both"/>
      </w:pPr>
      <w:r>
        <w:t>4) административное регулирование экономики. Например, частое изменение правовых норм, расплывчатость законодательства, усложнение и частое изменение процедур регистрации и отчетности фирм, усиление регламентации сфер предпринимательства, дробление лицензий, сокращение сроков их действий и т.д. Все это усиливает административные издержки в частности и трансакционные издержки в целом, а значит, может привести к повышению уровня цен в стране и к сокращению легального производства.</w:t>
      </w:r>
    </w:p>
    <w:p w:rsidR="006929DD" w:rsidRDefault="006929DD">
      <w:pPr>
        <w:ind w:firstLine="709"/>
        <w:jc w:val="both"/>
        <w:rPr>
          <w:i/>
          <w:iCs/>
        </w:rPr>
      </w:pPr>
      <w:r>
        <w:rPr>
          <w:i/>
          <w:iCs/>
        </w:rPr>
        <w:t>Механизм раскручивания инфляции издержек характеризуется тем, что первоначально в результате роста издержек повышается уровень цен, а лишь затем расширяется денежная масса.</w:t>
      </w:r>
    </w:p>
    <w:p w:rsidR="006929DD" w:rsidRDefault="006929DD">
      <w:pPr>
        <w:ind w:firstLine="709"/>
        <w:jc w:val="both"/>
        <w:rPr>
          <w:i/>
          <w:iCs/>
        </w:rPr>
      </w:pPr>
    </w:p>
    <w:p w:rsidR="006929DD" w:rsidRDefault="006929DD">
      <w:pPr>
        <w:pStyle w:val="20"/>
        <w:tabs>
          <w:tab w:val="clear" w:pos="360"/>
        </w:tabs>
        <w:rPr>
          <w:rFonts w:cs="Arial"/>
        </w:rPr>
      </w:pPr>
      <w:r>
        <w:rPr>
          <w:rFonts w:cs="Arial"/>
        </w:rPr>
        <w:t>Реальный мир гораздо сложнее, чем предлагает простое деление инфляции на два типа – инфляцию, вызванную увеличением спроса, и инфляцию, обусловленную ростом издержек. На практике трудно различить эти два типа. Например, предположим, что резко возросли расходы на здравоохранение и, следовательно, увеличились совокупные расходы, вызвав инфляцию спроса. Когда на рынках товаров и ресурсов действуют стимулы, вызванные повышением спроса, некоторые фирмы обнаруживают, что их расходы на зарплату, материальные ресурсы и топливо растут. В собственных интересах они вынуждены поднять цены на свою продукцию, поскольку увеличились издержки производства. Хотя в данном случае явно наблюдается инфляция спроса, для многих фирм она выглядит как инфляция издержек.</w:t>
      </w:r>
    </w:p>
    <w:p w:rsidR="006929DD" w:rsidRDefault="006929DD">
      <w:pPr>
        <w:ind w:firstLine="709"/>
        <w:jc w:val="both"/>
      </w:pPr>
      <w:r>
        <w:t>Различие между инфляцией издержек и инфляцией спроса кроется в другом. Инфляция спроса продолжается до тех пор, пока существует избыток совокупных расходов. Инфляция же издержек автоматически сама себя ограничивает: она постепенно исчезает, то есть самоизлечивается. Из-за уменьшения предложения реальный объем внутреннего продукта и занятость сокращаются, а это препятствует дальнейшему росту издержек.</w:t>
      </w:r>
    </w:p>
    <w:p w:rsidR="006929DD" w:rsidRDefault="006929DD">
      <w:pPr>
        <w:pStyle w:val="1"/>
      </w:pPr>
      <w:r>
        <w:br w:type="page"/>
      </w:r>
      <w:bookmarkStart w:id="34" w:name="_Toc533456915"/>
      <w:bookmarkStart w:id="35" w:name="_Toc533464815"/>
      <w:r>
        <w:t>Глава 2. Инфляция в РФ</w:t>
      </w:r>
      <w:bookmarkEnd w:id="34"/>
      <w:bookmarkEnd w:id="35"/>
    </w:p>
    <w:p w:rsidR="006929DD" w:rsidRDefault="006929DD"/>
    <w:p w:rsidR="006929DD" w:rsidRDefault="006929DD">
      <w:pPr>
        <w:pStyle w:val="2"/>
      </w:pPr>
      <w:bookmarkStart w:id="36" w:name="_Toc533456916"/>
      <w:bookmarkStart w:id="37" w:name="_Toc533464816"/>
      <w:r>
        <w:t>2.1.Сущность и особенности инфляции в переходной экономике</w:t>
      </w:r>
      <w:bookmarkEnd w:id="36"/>
      <w:bookmarkEnd w:id="37"/>
    </w:p>
    <w:p w:rsidR="006929DD" w:rsidRDefault="006929DD">
      <w:pPr>
        <w:pStyle w:val="20"/>
        <w:tabs>
          <w:tab w:val="clear" w:pos="360"/>
        </w:tabs>
        <w:rPr>
          <w:rFonts w:cs="Arial"/>
        </w:rPr>
      </w:pPr>
      <w:r>
        <w:rPr>
          <w:rFonts w:cs="Arial"/>
        </w:rPr>
        <w:t>Действие рыночного механизма хозяйствования возможно лишь при наличии свободных цен, выступающих индикатором соотношения спроса и предложения, и благодаря этому - ориентиром для субъектов рыночной экономики: домашних хозяйств и фирм. Свобода экономического поведения субъекта, в том числе в области ценообразования, является основой действия законов рынка. Поэтому ключевым моментом экономических реформ по переходу к рыночным отношениям является реформа государственного ценообразования, или либерализация цен.</w:t>
      </w:r>
    </w:p>
    <w:p w:rsidR="006929DD" w:rsidRDefault="006929DD">
      <w:pPr>
        <w:ind w:firstLine="709"/>
        <w:jc w:val="both"/>
      </w:pPr>
      <w:r>
        <w:t xml:space="preserve">Процесс либерализации цен всегда протекает очень болезненно и для предприятий, и для населения, особенно, если либерализация проводится резко и быстро, как это было в России. Резко дестабилизируется положение предприятий, нарушается система платежных отношений между ними, падает уровень реальных доходов населения, обостряются социальные противоречия в обществе. Инфляция обесценивает результаты труда, сбережения физических и юридических лиц, препятствует долгосрочным инвестициям и экономическому росту, а при отягчающих обстоятельствах приводит к краху реального сектора экономики. Высокая инфляция разрушает денежную систему, что усиливает отток финансовых ресурсов в торгово-посреднические операции и ускоряет «бегство» капитала, приводит к вытеснению во внутреннем обращении национальной валюты иностранной, подрывает возможности финансирования государственного бюджета. </w:t>
      </w:r>
    </w:p>
    <w:p w:rsidR="006929DD" w:rsidRDefault="006929DD">
      <w:pPr>
        <w:ind w:firstLine="709"/>
        <w:jc w:val="both"/>
      </w:pPr>
      <w:r>
        <w:t>Развитие российской экономики сопровождается высокой открытой инфляцией. Ежегодные темпы прироста цен четыре года подряд превышали 100%, что в традиционном понимании существенно выше уровня даже так называемой галопирующей инфляции.[11]</w:t>
      </w:r>
    </w:p>
    <w:p w:rsidR="006929DD" w:rsidRDefault="006929DD">
      <w:pPr>
        <w:ind w:firstLine="709"/>
        <w:jc w:val="both"/>
      </w:pPr>
      <w:r>
        <w:t>После либерализации цен в России стало ясно, что на смену государственной политике цен далеко не сразу приходит ценовая политика фирмы. Для этого необходим конкурентный и стабильный рынок, на создание которого направлены усилия современной экономической теории и экономической политики. Широкое распространение получили идеи о достаточности макроэкономической стабилизации и спросовых ограничений для прекращения инфляции и создания эффективного ценового механизма. С другой стороны появились попытки понять и объяснить особенности переходной экономики и специфику формирования рынков в постсоциалистических странах. Для характеристики особенностей инфляционных процессов стал широко применяться термин «инфляции издержек», связанный со структурными особенностями постсоциалистической экономики. Против этой точки зрения стали выступать сторонники «макроэкономического» направления, пытаясь доказать, что феномена «инфляции издержек» вообще не существует. Вопрос о причинах и природе инфляции в переходной экономике стал предметом острых экономических и политических дискуссий.</w:t>
      </w:r>
    </w:p>
    <w:p w:rsidR="006929DD" w:rsidRDefault="006929DD">
      <w:pPr>
        <w:ind w:firstLine="709"/>
        <w:jc w:val="both"/>
      </w:pPr>
      <w:r>
        <w:t>Инфляция как таковая - это, безусловно, денежный феномен, означающий снижение покупательной способности денег. В условиях свободного рыночного ценообразования инфляция выражается, прежде всего, в росте цен, в связи с чем говорят об инфляционном росте цен. Инфляция может возникать в результате повышения совокупного спроса, которое является следствием увеличения государственных расходов, не покрываемых соответствующим увеличением доходов государственного бюджета. Совокупный спрос может повышаться и с увеличением скорости денежного обращения, не связанном с аналогичной динамикой производства (например, при инфляционных ожиданиях). Во всех подобных случаях за счет роста цен восстанавливается нарушившееся рыночное равновесие между количеством денег и товаров. Инфляция быстро распространяется на все отрасли экономики, начинаясь в потребительском секторе, где спрос предъявляется, прежде всего. Такой вид инфляции является традиционным и характеризует состояние денежной системы и динамику цен в переходной экономике. Это и объясняет постановку проблемы общей макроэкономической стабилизации.[2]</w:t>
      </w:r>
    </w:p>
    <w:p w:rsidR="006929DD" w:rsidRDefault="006929DD">
      <w:pPr>
        <w:ind w:firstLine="709"/>
        <w:jc w:val="both"/>
      </w:pPr>
      <w:r>
        <w:t>Однако проблема инфляции в переходной экономике не исчерпывается лишь названными процессами, получившие название «инфляция спроса». В результате несовершенства рынка в одной или нескольких отраслях экономики становится возможным длительное завышение цен на их продукцию. При использовании такой продукции для производства других товаров повышаются издержки их производства, что делает невыгодным продолжение производства при прежнем уровне спроса и цен. В результате производство по всей технологической цепочке, вплоть до конечной продукции сокращается. Таким образом, перед государством встает задача расширить денежный спрос и дать тем самым некоторый простор для повышения цен за счет расширения денежной массы (повышения доходов потребителей). Это и есть механизм инфляции издержек. Такая инфляция связана как с организацией рынка, так и с существующей структурой национального производства, определяющей структуру и уровни издержек. Она распространяется в экономике более медленно, чем инфляция спроса, но и бороться с ней значительно труднее.</w:t>
      </w:r>
    </w:p>
    <w:p w:rsidR="006929DD" w:rsidRDefault="006929DD">
      <w:pPr>
        <w:ind w:firstLine="709"/>
        <w:jc w:val="both"/>
      </w:pPr>
      <w:r>
        <w:t xml:space="preserve">Проанализируем фактические данные о развитии инфляции в России после либерализации цен. Этот анализ позволит ответить на вопрос о существовании инфляции издержек в современной российской переходной экономике. Изучение динамики российской инфляции за три года после либерализации цен показывает наличие и постоянное воспроизведение значительных «ножниц» в изменениях цен на потребительские товары и на средства производства. Это видно из сопоставления общих индексов соответствующих видов цен. </w:t>
      </w:r>
    </w:p>
    <w:p w:rsidR="006929DD" w:rsidRDefault="006929DD">
      <w:pPr>
        <w:ind w:left="6237" w:firstLine="709"/>
        <w:jc w:val="both"/>
      </w:pPr>
      <w:r>
        <w:rPr>
          <w:i/>
        </w:rPr>
        <w:t>Табл.</w:t>
      </w:r>
      <w:r>
        <w:rPr>
          <w:i/>
          <w:lang w:val="en-US"/>
        </w:rPr>
        <w:t>1</w:t>
      </w:r>
      <w:r>
        <w:rPr>
          <w:rStyle w:val="a9"/>
          <w:i/>
        </w:rPr>
        <w:footnoteReference w:id="2"/>
      </w:r>
    </w:p>
    <w:tbl>
      <w:tblPr>
        <w:tblW w:w="7020" w:type="dxa"/>
        <w:jc w:val="center"/>
        <w:tblLayout w:type="fixed"/>
        <w:tblLook w:val="0000" w:firstRow="0" w:lastRow="0" w:firstColumn="0" w:lastColumn="0" w:noHBand="0" w:noVBand="0"/>
      </w:tblPr>
      <w:tblGrid>
        <w:gridCol w:w="2880"/>
        <w:gridCol w:w="1511"/>
        <w:gridCol w:w="1418"/>
        <w:gridCol w:w="1211"/>
      </w:tblGrid>
      <w:tr w:rsidR="006929DD">
        <w:trPr>
          <w:trHeight w:val="420"/>
          <w:jc w:val="center"/>
        </w:trPr>
        <w:tc>
          <w:tcPr>
            <w:tcW w:w="2880" w:type="dxa"/>
            <w:tcBorders>
              <w:top w:val="single" w:sz="12" w:space="0" w:color="auto"/>
              <w:left w:val="single" w:sz="12" w:space="0" w:color="auto"/>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b/>
                <w:bCs/>
                <w:i/>
                <w:iCs/>
                <w:szCs w:val="28"/>
              </w:rPr>
            </w:pPr>
            <w:r>
              <w:rPr>
                <w:b/>
                <w:bCs/>
                <w:i/>
                <w:iCs/>
                <w:szCs w:val="28"/>
              </w:rPr>
              <w:t>Индекс</w:t>
            </w:r>
          </w:p>
        </w:tc>
        <w:tc>
          <w:tcPr>
            <w:tcW w:w="1511" w:type="dxa"/>
            <w:tcBorders>
              <w:top w:val="single" w:sz="12" w:space="0" w:color="auto"/>
              <w:left w:val="nil"/>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i/>
                <w:iCs/>
                <w:szCs w:val="28"/>
              </w:rPr>
            </w:pPr>
            <w:r>
              <w:rPr>
                <w:i/>
                <w:iCs/>
                <w:szCs w:val="28"/>
              </w:rPr>
              <w:t>1992</w:t>
            </w:r>
          </w:p>
        </w:tc>
        <w:tc>
          <w:tcPr>
            <w:tcW w:w="1418" w:type="dxa"/>
            <w:tcBorders>
              <w:top w:val="single" w:sz="12" w:space="0" w:color="auto"/>
              <w:left w:val="nil"/>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i/>
                <w:iCs/>
                <w:szCs w:val="28"/>
              </w:rPr>
            </w:pPr>
            <w:r>
              <w:rPr>
                <w:i/>
                <w:iCs/>
                <w:szCs w:val="28"/>
              </w:rPr>
              <w:t>1993</w:t>
            </w:r>
          </w:p>
        </w:tc>
        <w:tc>
          <w:tcPr>
            <w:tcW w:w="1211" w:type="dxa"/>
            <w:tcBorders>
              <w:top w:val="single" w:sz="12" w:space="0" w:color="auto"/>
              <w:left w:val="nil"/>
              <w:bottom w:val="single" w:sz="8" w:space="0" w:color="auto"/>
              <w:right w:val="single" w:sz="12" w:space="0" w:color="auto"/>
            </w:tcBorders>
            <w:shd w:val="clear" w:color="auto" w:fill="C0C0C0"/>
            <w:tcMar>
              <w:top w:w="0" w:type="dxa"/>
              <w:left w:w="20" w:type="dxa"/>
              <w:bottom w:w="0" w:type="dxa"/>
              <w:right w:w="20" w:type="dxa"/>
            </w:tcMar>
          </w:tcPr>
          <w:p w:rsidR="006929DD" w:rsidRDefault="006929DD">
            <w:pPr>
              <w:jc w:val="center"/>
              <w:rPr>
                <w:i/>
                <w:iCs/>
                <w:szCs w:val="28"/>
              </w:rPr>
            </w:pPr>
            <w:r>
              <w:rPr>
                <w:i/>
                <w:iCs/>
                <w:szCs w:val="28"/>
              </w:rPr>
              <w:t>1994</w:t>
            </w:r>
          </w:p>
        </w:tc>
      </w:tr>
      <w:tr w:rsidR="006929DD">
        <w:trPr>
          <w:trHeight w:val="390"/>
          <w:jc w:val="center"/>
        </w:trPr>
        <w:tc>
          <w:tcPr>
            <w:tcW w:w="2880" w:type="dxa"/>
            <w:tcBorders>
              <w:top w:val="nil"/>
              <w:left w:val="single" w:sz="12" w:space="0" w:color="auto"/>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szCs w:val="28"/>
              </w:rPr>
            </w:pPr>
            <w:r>
              <w:rPr>
                <w:szCs w:val="28"/>
              </w:rPr>
              <w:t>потребительских цен</w:t>
            </w:r>
          </w:p>
        </w:tc>
        <w:tc>
          <w:tcPr>
            <w:tcW w:w="1511" w:type="dxa"/>
            <w:tcBorders>
              <w:top w:val="nil"/>
              <w:left w:val="nil"/>
              <w:bottom w:val="single" w:sz="8" w:space="0" w:color="auto"/>
              <w:right w:val="single" w:sz="8" w:space="0" w:color="auto"/>
            </w:tcBorders>
            <w:tcMar>
              <w:top w:w="0" w:type="dxa"/>
              <w:left w:w="20" w:type="dxa"/>
              <w:bottom w:w="0" w:type="dxa"/>
              <w:right w:w="20" w:type="dxa"/>
            </w:tcMar>
          </w:tcPr>
          <w:p w:rsidR="006929DD" w:rsidRDefault="006929DD">
            <w:pPr>
              <w:jc w:val="center"/>
              <w:rPr>
                <w:szCs w:val="28"/>
              </w:rPr>
            </w:pPr>
            <w:r>
              <w:rPr>
                <w:szCs w:val="28"/>
              </w:rPr>
              <w:t>2680</w:t>
            </w:r>
          </w:p>
        </w:tc>
        <w:tc>
          <w:tcPr>
            <w:tcW w:w="1418" w:type="dxa"/>
            <w:tcBorders>
              <w:top w:val="nil"/>
              <w:left w:val="nil"/>
              <w:bottom w:val="single" w:sz="8" w:space="0" w:color="auto"/>
              <w:right w:val="single" w:sz="8" w:space="0" w:color="auto"/>
            </w:tcBorders>
            <w:tcMar>
              <w:top w:w="0" w:type="dxa"/>
              <w:left w:w="20" w:type="dxa"/>
              <w:bottom w:w="0" w:type="dxa"/>
              <w:right w:w="20" w:type="dxa"/>
            </w:tcMar>
          </w:tcPr>
          <w:p w:rsidR="006929DD" w:rsidRDefault="006929DD">
            <w:pPr>
              <w:jc w:val="center"/>
              <w:rPr>
                <w:szCs w:val="28"/>
              </w:rPr>
            </w:pPr>
            <w:r>
              <w:rPr>
                <w:szCs w:val="28"/>
              </w:rPr>
              <w:t>1008</w:t>
            </w:r>
          </w:p>
        </w:tc>
        <w:tc>
          <w:tcPr>
            <w:tcW w:w="1211" w:type="dxa"/>
            <w:tcBorders>
              <w:top w:val="nil"/>
              <w:left w:val="nil"/>
              <w:bottom w:val="single" w:sz="8" w:space="0" w:color="auto"/>
              <w:right w:val="single" w:sz="12" w:space="0" w:color="auto"/>
            </w:tcBorders>
            <w:tcMar>
              <w:top w:w="0" w:type="dxa"/>
              <w:left w:w="20" w:type="dxa"/>
              <w:bottom w:w="0" w:type="dxa"/>
              <w:right w:w="20" w:type="dxa"/>
            </w:tcMar>
          </w:tcPr>
          <w:p w:rsidR="006929DD" w:rsidRDefault="006929DD">
            <w:pPr>
              <w:jc w:val="center"/>
              <w:rPr>
                <w:szCs w:val="28"/>
              </w:rPr>
            </w:pPr>
            <w:r>
              <w:rPr>
                <w:szCs w:val="28"/>
              </w:rPr>
              <w:t>312</w:t>
            </w:r>
          </w:p>
        </w:tc>
      </w:tr>
      <w:tr w:rsidR="006929DD">
        <w:trPr>
          <w:trHeight w:val="825"/>
          <w:jc w:val="center"/>
        </w:trPr>
        <w:tc>
          <w:tcPr>
            <w:tcW w:w="2880" w:type="dxa"/>
            <w:tcBorders>
              <w:top w:val="nil"/>
              <w:left w:val="single" w:sz="12" w:space="0" w:color="auto"/>
              <w:bottom w:val="single" w:sz="12" w:space="0" w:color="auto"/>
              <w:right w:val="single" w:sz="8" w:space="0" w:color="auto"/>
            </w:tcBorders>
            <w:shd w:val="clear" w:color="auto" w:fill="C0C0C0"/>
            <w:tcMar>
              <w:top w:w="0" w:type="dxa"/>
              <w:left w:w="20" w:type="dxa"/>
              <w:bottom w:w="0" w:type="dxa"/>
              <w:right w:w="20" w:type="dxa"/>
            </w:tcMar>
          </w:tcPr>
          <w:p w:rsidR="006929DD" w:rsidRDefault="006929DD">
            <w:pPr>
              <w:jc w:val="center"/>
              <w:rPr>
                <w:szCs w:val="28"/>
              </w:rPr>
            </w:pPr>
            <w:r>
              <w:rPr>
                <w:szCs w:val="28"/>
              </w:rPr>
              <w:t>оптовых цен промышленности</w:t>
            </w:r>
          </w:p>
        </w:tc>
        <w:tc>
          <w:tcPr>
            <w:tcW w:w="1511" w:type="dxa"/>
            <w:tcBorders>
              <w:top w:val="nil"/>
              <w:left w:val="nil"/>
              <w:bottom w:val="single" w:sz="12" w:space="0" w:color="auto"/>
              <w:right w:val="single" w:sz="8" w:space="0" w:color="auto"/>
            </w:tcBorders>
            <w:tcMar>
              <w:top w:w="0" w:type="dxa"/>
              <w:left w:w="20" w:type="dxa"/>
              <w:bottom w:w="0" w:type="dxa"/>
              <w:right w:w="20" w:type="dxa"/>
            </w:tcMar>
            <w:vAlign w:val="center"/>
          </w:tcPr>
          <w:p w:rsidR="006929DD" w:rsidRDefault="006929DD">
            <w:pPr>
              <w:jc w:val="center"/>
              <w:rPr>
                <w:szCs w:val="28"/>
              </w:rPr>
            </w:pPr>
            <w:r>
              <w:rPr>
                <w:szCs w:val="28"/>
              </w:rPr>
              <w:t>6164</w:t>
            </w:r>
          </w:p>
        </w:tc>
        <w:tc>
          <w:tcPr>
            <w:tcW w:w="1418" w:type="dxa"/>
            <w:tcBorders>
              <w:top w:val="nil"/>
              <w:left w:val="nil"/>
              <w:bottom w:val="single" w:sz="12" w:space="0" w:color="auto"/>
              <w:right w:val="single" w:sz="8" w:space="0" w:color="auto"/>
            </w:tcBorders>
            <w:tcMar>
              <w:top w:w="0" w:type="dxa"/>
              <w:left w:w="20" w:type="dxa"/>
              <w:bottom w:w="0" w:type="dxa"/>
              <w:right w:w="20" w:type="dxa"/>
            </w:tcMar>
            <w:vAlign w:val="center"/>
          </w:tcPr>
          <w:p w:rsidR="006929DD" w:rsidRDefault="006929DD">
            <w:pPr>
              <w:jc w:val="center"/>
              <w:rPr>
                <w:szCs w:val="28"/>
              </w:rPr>
            </w:pPr>
            <w:r>
              <w:rPr>
                <w:szCs w:val="28"/>
              </w:rPr>
              <w:t>1124</w:t>
            </w:r>
          </w:p>
        </w:tc>
        <w:tc>
          <w:tcPr>
            <w:tcW w:w="1211" w:type="dxa"/>
            <w:tcBorders>
              <w:top w:val="nil"/>
              <w:left w:val="nil"/>
              <w:bottom w:val="single" w:sz="12" w:space="0" w:color="auto"/>
              <w:right w:val="single" w:sz="12" w:space="0" w:color="auto"/>
            </w:tcBorders>
            <w:tcMar>
              <w:top w:w="0" w:type="dxa"/>
              <w:left w:w="20" w:type="dxa"/>
              <w:bottom w:w="0" w:type="dxa"/>
              <w:right w:w="20" w:type="dxa"/>
            </w:tcMar>
            <w:vAlign w:val="center"/>
          </w:tcPr>
          <w:p w:rsidR="006929DD" w:rsidRDefault="006929DD">
            <w:pPr>
              <w:jc w:val="center"/>
              <w:rPr>
                <w:szCs w:val="28"/>
              </w:rPr>
            </w:pPr>
            <w:r>
              <w:rPr>
                <w:szCs w:val="28"/>
              </w:rPr>
              <w:t>335</w:t>
            </w:r>
          </w:p>
        </w:tc>
      </w:tr>
    </w:tbl>
    <w:p w:rsidR="006929DD" w:rsidRDefault="006929DD">
      <w:pPr>
        <w:ind w:firstLine="709"/>
        <w:jc w:val="both"/>
      </w:pPr>
    </w:p>
    <w:p w:rsidR="006929DD" w:rsidRDefault="006929DD">
      <w:pPr>
        <w:pStyle w:val="20"/>
        <w:tabs>
          <w:tab w:val="clear" w:pos="360"/>
        </w:tabs>
        <w:rPr>
          <w:rFonts w:cs="Arial"/>
        </w:rPr>
      </w:pPr>
      <w:r>
        <w:rPr>
          <w:rFonts w:cs="Arial"/>
        </w:rPr>
        <w:t>Как следует из табл.1, годовые индексы оптовых цен промышленности постоянно опережают соответствующие индексы потребительских цен. Скорее всего, из сферы производства исходят особые импульсы повышения цен.  Рассмотрим эту сферу более детально, воспользовавшись табл.2.  Видно, что цены на потребляемые в промышленности ресурсы растут быстрее, чем на выпускаемые ею товары. За январь-февраль превышение первых над последними составило 7 процентных пунктов. Следовательно, из глубин промышленности, с наиболее низких стадий переработки исходит особый инфляционный импульс.</w:t>
      </w:r>
    </w:p>
    <w:p w:rsidR="006929DD" w:rsidRDefault="006929DD">
      <w:pPr>
        <w:ind w:left="6237" w:firstLine="709"/>
        <w:jc w:val="both"/>
      </w:pPr>
      <w:r>
        <w:rPr>
          <w:i/>
        </w:rPr>
        <w:t>Табл.2</w:t>
      </w:r>
      <w:r>
        <w:rPr>
          <w:rStyle w:val="a9"/>
          <w:i/>
        </w:rPr>
        <w:footnoteReference w:id="3"/>
      </w:r>
    </w:p>
    <w:tbl>
      <w:tblPr>
        <w:tblW w:w="7088" w:type="dxa"/>
        <w:tblInd w:w="729" w:type="dxa"/>
        <w:tblLayout w:type="fixed"/>
        <w:tblLook w:val="0000" w:firstRow="0" w:lastRow="0" w:firstColumn="0" w:lastColumn="0" w:noHBand="0" w:noVBand="0"/>
      </w:tblPr>
      <w:tblGrid>
        <w:gridCol w:w="2533"/>
        <w:gridCol w:w="2020"/>
        <w:gridCol w:w="2535"/>
      </w:tblGrid>
      <w:tr w:rsidR="006929DD">
        <w:trPr>
          <w:trHeight w:val="780"/>
        </w:trPr>
        <w:tc>
          <w:tcPr>
            <w:tcW w:w="2533" w:type="dxa"/>
            <w:tcBorders>
              <w:top w:val="single" w:sz="12" w:space="0" w:color="auto"/>
              <w:left w:val="single" w:sz="12" w:space="0" w:color="auto"/>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i/>
                <w:iCs/>
                <w:szCs w:val="28"/>
              </w:rPr>
            </w:pPr>
            <w:r>
              <w:rPr>
                <w:i/>
                <w:iCs/>
                <w:szCs w:val="28"/>
              </w:rPr>
              <w:t>Месяц</w:t>
            </w:r>
          </w:p>
        </w:tc>
        <w:tc>
          <w:tcPr>
            <w:tcW w:w="2020" w:type="dxa"/>
            <w:tcBorders>
              <w:top w:val="single" w:sz="12" w:space="0" w:color="auto"/>
              <w:left w:val="nil"/>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i/>
                <w:iCs/>
                <w:szCs w:val="28"/>
              </w:rPr>
            </w:pPr>
            <w:r>
              <w:rPr>
                <w:i/>
                <w:iCs/>
                <w:szCs w:val="28"/>
              </w:rPr>
              <w:t>Индекс оптовых цен</w:t>
            </w:r>
          </w:p>
        </w:tc>
        <w:tc>
          <w:tcPr>
            <w:tcW w:w="2535" w:type="dxa"/>
            <w:tcBorders>
              <w:top w:val="single" w:sz="12" w:space="0" w:color="auto"/>
              <w:left w:val="nil"/>
              <w:bottom w:val="single" w:sz="8" w:space="0" w:color="auto"/>
              <w:right w:val="single" w:sz="12" w:space="0" w:color="auto"/>
            </w:tcBorders>
            <w:shd w:val="clear" w:color="auto" w:fill="C0C0C0"/>
            <w:tcMar>
              <w:top w:w="0" w:type="dxa"/>
              <w:left w:w="20" w:type="dxa"/>
              <w:bottom w:w="0" w:type="dxa"/>
              <w:right w:w="20" w:type="dxa"/>
            </w:tcMar>
          </w:tcPr>
          <w:p w:rsidR="006929DD" w:rsidRDefault="006929DD">
            <w:pPr>
              <w:jc w:val="center"/>
              <w:rPr>
                <w:i/>
                <w:iCs/>
                <w:szCs w:val="28"/>
              </w:rPr>
            </w:pPr>
            <w:r>
              <w:rPr>
                <w:i/>
                <w:iCs/>
                <w:szCs w:val="28"/>
              </w:rPr>
              <w:t>Индекс цен ресурсов</w:t>
            </w:r>
          </w:p>
        </w:tc>
      </w:tr>
      <w:tr w:rsidR="006929DD">
        <w:trPr>
          <w:trHeight w:val="390"/>
        </w:trPr>
        <w:tc>
          <w:tcPr>
            <w:tcW w:w="2533" w:type="dxa"/>
            <w:tcBorders>
              <w:top w:val="nil"/>
              <w:left w:val="single" w:sz="12" w:space="0" w:color="auto"/>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szCs w:val="28"/>
              </w:rPr>
            </w:pPr>
            <w:r>
              <w:rPr>
                <w:szCs w:val="28"/>
              </w:rPr>
              <w:t>Декабрь 1994</w:t>
            </w:r>
          </w:p>
        </w:tc>
        <w:tc>
          <w:tcPr>
            <w:tcW w:w="2020" w:type="dxa"/>
            <w:tcBorders>
              <w:top w:val="nil"/>
              <w:left w:val="nil"/>
              <w:bottom w:val="single" w:sz="8" w:space="0" w:color="auto"/>
              <w:right w:val="single" w:sz="8" w:space="0" w:color="auto"/>
            </w:tcBorders>
            <w:tcMar>
              <w:top w:w="0" w:type="dxa"/>
              <w:left w:w="20" w:type="dxa"/>
              <w:bottom w:w="0" w:type="dxa"/>
              <w:right w:w="20" w:type="dxa"/>
            </w:tcMar>
          </w:tcPr>
          <w:p w:rsidR="006929DD" w:rsidRDefault="006929DD">
            <w:pPr>
              <w:jc w:val="center"/>
              <w:rPr>
                <w:szCs w:val="28"/>
              </w:rPr>
            </w:pPr>
            <w:r>
              <w:rPr>
                <w:szCs w:val="28"/>
              </w:rPr>
              <w:t>1.13</w:t>
            </w:r>
          </w:p>
        </w:tc>
        <w:tc>
          <w:tcPr>
            <w:tcW w:w="2535" w:type="dxa"/>
            <w:tcBorders>
              <w:top w:val="nil"/>
              <w:left w:val="nil"/>
              <w:bottom w:val="single" w:sz="8" w:space="0" w:color="auto"/>
              <w:right w:val="single" w:sz="12" w:space="0" w:color="auto"/>
            </w:tcBorders>
            <w:tcMar>
              <w:top w:w="0" w:type="dxa"/>
              <w:left w:w="20" w:type="dxa"/>
              <w:bottom w:w="0" w:type="dxa"/>
              <w:right w:w="20" w:type="dxa"/>
            </w:tcMar>
          </w:tcPr>
          <w:p w:rsidR="006929DD" w:rsidRDefault="006929DD">
            <w:pPr>
              <w:jc w:val="center"/>
              <w:rPr>
                <w:szCs w:val="28"/>
              </w:rPr>
            </w:pPr>
            <w:r>
              <w:rPr>
                <w:szCs w:val="28"/>
              </w:rPr>
              <w:t>1.15</w:t>
            </w:r>
          </w:p>
        </w:tc>
      </w:tr>
      <w:tr w:rsidR="006929DD">
        <w:trPr>
          <w:trHeight w:val="390"/>
        </w:trPr>
        <w:tc>
          <w:tcPr>
            <w:tcW w:w="2533" w:type="dxa"/>
            <w:tcBorders>
              <w:top w:val="nil"/>
              <w:left w:val="single" w:sz="12" w:space="0" w:color="auto"/>
              <w:bottom w:val="single" w:sz="8" w:space="0" w:color="auto"/>
              <w:right w:val="single" w:sz="8" w:space="0" w:color="auto"/>
            </w:tcBorders>
            <w:shd w:val="clear" w:color="auto" w:fill="C0C0C0"/>
            <w:tcMar>
              <w:top w:w="0" w:type="dxa"/>
              <w:left w:w="20" w:type="dxa"/>
              <w:bottom w:w="0" w:type="dxa"/>
              <w:right w:w="20" w:type="dxa"/>
            </w:tcMar>
          </w:tcPr>
          <w:p w:rsidR="006929DD" w:rsidRDefault="006929DD">
            <w:pPr>
              <w:jc w:val="center"/>
              <w:rPr>
                <w:szCs w:val="28"/>
              </w:rPr>
            </w:pPr>
            <w:r>
              <w:rPr>
                <w:szCs w:val="28"/>
              </w:rPr>
              <w:t>Январь 1995</w:t>
            </w:r>
          </w:p>
        </w:tc>
        <w:tc>
          <w:tcPr>
            <w:tcW w:w="2020" w:type="dxa"/>
            <w:tcBorders>
              <w:top w:val="nil"/>
              <w:left w:val="nil"/>
              <w:bottom w:val="single" w:sz="8" w:space="0" w:color="auto"/>
              <w:right w:val="single" w:sz="8" w:space="0" w:color="auto"/>
            </w:tcBorders>
            <w:tcMar>
              <w:top w:w="0" w:type="dxa"/>
              <w:left w:w="20" w:type="dxa"/>
              <w:bottom w:w="0" w:type="dxa"/>
              <w:right w:w="20" w:type="dxa"/>
            </w:tcMar>
          </w:tcPr>
          <w:p w:rsidR="006929DD" w:rsidRDefault="006929DD">
            <w:pPr>
              <w:jc w:val="center"/>
              <w:rPr>
                <w:szCs w:val="28"/>
              </w:rPr>
            </w:pPr>
            <w:r>
              <w:rPr>
                <w:szCs w:val="28"/>
              </w:rPr>
              <w:t>1.22</w:t>
            </w:r>
          </w:p>
        </w:tc>
        <w:tc>
          <w:tcPr>
            <w:tcW w:w="2535" w:type="dxa"/>
            <w:tcBorders>
              <w:top w:val="nil"/>
              <w:left w:val="nil"/>
              <w:bottom w:val="single" w:sz="8" w:space="0" w:color="auto"/>
              <w:right w:val="single" w:sz="12" w:space="0" w:color="auto"/>
            </w:tcBorders>
            <w:tcMar>
              <w:top w:w="0" w:type="dxa"/>
              <w:left w:w="20" w:type="dxa"/>
              <w:bottom w:w="0" w:type="dxa"/>
              <w:right w:w="20" w:type="dxa"/>
            </w:tcMar>
          </w:tcPr>
          <w:p w:rsidR="006929DD" w:rsidRDefault="006929DD">
            <w:pPr>
              <w:jc w:val="center"/>
              <w:rPr>
                <w:szCs w:val="28"/>
              </w:rPr>
            </w:pPr>
            <w:r>
              <w:rPr>
                <w:szCs w:val="28"/>
              </w:rPr>
              <w:t>1.26</w:t>
            </w:r>
          </w:p>
        </w:tc>
      </w:tr>
      <w:tr w:rsidR="006929DD">
        <w:trPr>
          <w:trHeight w:val="390"/>
        </w:trPr>
        <w:tc>
          <w:tcPr>
            <w:tcW w:w="2533" w:type="dxa"/>
            <w:tcBorders>
              <w:top w:val="nil"/>
              <w:left w:val="single" w:sz="12" w:space="0" w:color="auto"/>
              <w:bottom w:val="single" w:sz="12" w:space="0" w:color="auto"/>
              <w:right w:val="single" w:sz="8" w:space="0" w:color="auto"/>
            </w:tcBorders>
            <w:shd w:val="clear" w:color="auto" w:fill="C0C0C0"/>
            <w:tcMar>
              <w:top w:w="0" w:type="dxa"/>
              <w:left w:w="20" w:type="dxa"/>
              <w:bottom w:w="0" w:type="dxa"/>
              <w:right w:w="20" w:type="dxa"/>
            </w:tcMar>
          </w:tcPr>
          <w:p w:rsidR="006929DD" w:rsidRDefault="006929DD">
            <w:pPr>
              <w:jc w:val="center"/>
              <w:rPr>
                <w:szCs w:val="28"/>
              </w:rPr>
            </w:pPr>
            <w:r>
              <w:rPr>
                <w:szCs w:val="28"/>
              </w:rPr>
              <w:t>Февраль 1995</w:t>
            </w:r>
          </w:p>
        </w:tc>
        <w:tc>
          <w:tcPr>
            <w:tcW w:w="2020" w:type="dxa"/>
            <w:tcBorders>
              <w:top w:val="nil"/>
              <w:left w:val="nil"/>
              <w:bottom w:val="single" w:sz="12" w:space="0" w:color="auto"/>
              <w:right w:val="single" w:sz="8" w:space="0" w:color="auto"/>
            </w:tcBorders>
            <w:tcMar>
              <w:top w:w="0" w:type="dxa"/>
              <w:left w:w="20" w:type="dxa"/>
              <w:bottom w:w="0" w:type="dxa"/>
              <w:right w:w="20" w:type="dxa"/>
            </w:tcMar>
          </w:tcPr>
          <w:p w:rsidR="006929DD" w:rsidRDefault="006929DD">
            <w:pPr>
              <w:jc w:val="center"/>
              <w:rPr>
                <w:szCs w:val="28"/>
              </w:rPr>
            </w:pPr>
            <w:r>
              <w:rPr>
                <w:szCs w:val="28"/>
              </w:rPr>
              <w:t>1.17</w:t>
            </w:r>
          </w:p>
        </w:tc>
        <w:tc>
          <w:tcPr>
            <w:tcW w:w="2535" w:type="dxa"/>
            <w:tcBorders>
              <w:top w:val="nil"/>
              <w:left w:val="nil"/>
              <w:bottom w:val="single" w:sz="12" w:space="0" w:color="auto"/>
              <w:right w:val="single" w:sz="12" w:space="0" w:color="auto"/>
            </w:tcBorders>
            <w:tcMar>
              <w:top w:w="0" w:type="dxa"/>
              <w:left w:w="20" w:type="dxa"/>
              <w:bottom w:w="0" w:type="dxa"/>
              <w:right w:w="20" w:type="dxa"/>
            </w:tcMar>
          </w:tcPr>
          <w:p w:rsidR="006929DD" w:rsidRDefault="006929DD">
            <w:pPr>
              <w:jc w:val="center"/>
              <w:rPr>
                <w:szCs w:val="28"/>
              </w:rPr>
            </w:pPr>
            <w:r>
              <w:rPr>
                <w:szCs w:val="28"/>
              </w:rPr>
              <w:t>1.18</w:t>
            </w:r>
          </w:p>
        </w:tc>
      </w:tr>
    </w:tbl>
    <w:p w:rsidR="006929DD" w:rsidRDefault="006929DD">
      <w:pPr>
        <w:ind w:firstLine="709"/>
        <w:jc w:val="both"/>
      </w:pPr>
    </w:p>
    <w:p w:rsidR="006929DD" w:rsidRDefault="006929DD">
      <w:pPr>
        <w:ind w:firstLine="709"/>
        <w:jc w:val="both"/>
      </w:pPr>
      <w:r>
        <w:t>В отраслевом разрезе особенно выделяется в этом отношении топливно-энергетический комплекс.  Это и есть инфляция издержек в российской экономике.</w:t>
      </w:r>
    </w:p>
    <w:p w:rsidR="006929DD" w:rsidRDefault="006929DD">
      <w:pPr>
        <w:ind w:firstLine="709"/>
        <w:jc w:val="both"/>
      </w:pPr>
      <w:r>
        <w:t>Корни возникновения инфляции издержек в переходной экономике лежат в недалеком прошлом, а ее механизм постоянно подпитывается современным типом экономического развития страны, ее экономической политикой. Следует вспомнить систему планового ценообразования, а также закрытость, относительную изолированность российской экономики от мирового рынка. В системе планового ценообразования была заложена концепция дешевых ресурсов, в связи с чем цены на топливно-сырьевые и энергетические ресурсы были сильно занижены относительно мирового уровня, причем мировая конкуренция этому положению не угрожала. Таковы были стартовые условия в этих отраслях, характеризующие высокую степень несовершенства рынка. Естественно, что положение в этих отраслях по мере либерализации цен начинает меняться. Отсутствие конкуренции на внутреннем рынке, несмотря на экономический кризис, способствует поднятию цен на топливные и сырьевые ресурсы. Неразвитость общей рыночной инфраструктуры, политическая децентрализация и развал хозяйственных связей лишь укрепляют этот процесс. Параллельно начинается постепенное вхождение российской экономики в мировое хозяйство и, прежде всего за счет тех же топливно-энергетических и сырьевых отраслей. Усиливается воздействие внешнего рынка на внутреннюю экономическую ситуацию, в том числе на инфляционные процессы. За счет разницы между внутренними и мировыми ценами экспортно-ориентированные  топливно-энергетические и сырьевые отрасли получают новый потенциал повышения цен на внутреннем рынке. Поскольку продукция этих отраслей необходима народному хозяйству, а конкуренция почти отсутствует (пока отечественная продукция дешевле импортной), государство вынуждено подпитывать потребителя финансовыми ресурсами для оплаты этой продукции. Запускаемый при этом механизм - инфляция издержек. Пока она продолжается, отсутствуют жесткие стимулы экономии издержек на всех стадиях промышленной переработки, и цены поднимаются по цепочке от первичной обработки сырья до конечного потребления. Можно было бы сдержать этот процесс путем регулирования внутренних цен и условий экспорта продукции ТЭК и сырьевых отраслей (путем жесткого лицензирования, квотирования и таможенных пошлин). Экономическая политика России имеет другую направленность - скорейшей либерализации этих цен и условий экспорта. До тех пор пока цены продукции базовых отраслей не выйдут на мировой уровень, группа экспортно-ориентированных отраслей останется основным генератором инфляции издержек в современной переходной экономике.  Наличие в российской экономике первой половины 1995г. устойчивой инфляции издержек, а также довольно сильных инфляционных ожиданий приводит к заключению, что еще рано говорить о радикальном снижении роста цен и инфляции в долгосрочной перспективе. Проводимая макроэкономическая стабилизация будет способствовать этому процессу, однако рост инфляции будет постоянно подпитываться за счет рынка базовых отраслей производства.</w:t>
      </w:r>
    </w:p>
    <w:p w:rsidR="006929DD" w:rsidRDefault="006929DD"/>
    <w:p w:rsidR="006929DD" w:rsidRDefault="006929DD">
      <w:pPr>
        <w:pStyle w:val="2"/>
      </w:pPr>
      <w:bookmarkStart w:id="38" w:name="_Toc533456917"/>
      <w:bookmarkStart w:id="39" w:name="_Toc533464817"/>
      <w:r>
        <w:t>2.2.Причины инфляции в России</w:t>
      </w:r>
      <w:bookmarkEnd w:id="38"/>
      <w:bookmarkEnd w:id="39"/>
    </w:p>
    <w:p w:rsidR="006929DD" w:rsidRDefault="006929DD">
      <w:pPr>
        <w:pStyle w:val="3"/>
      </w:pPr>
      <w:bookmarkStart w:id="40" w:name="_Toc533456918"/>
      <w:bookmarkStart w:id="41" w:name="_Toc533464818"/>
      <w:r>
        <w:t>2.2.1.Источники инфляции в РФ</w:t>
      </w:r>
      <w:bookmarkEnd w:id="40"/>
      <w:bookmarkEnd w:id="41"/>
    </w:p>
    <w:p w:rsidR="006929DD" w:rsidRDefault="006929DD">
      <w:pPr>
        <w:ind w:firstLine="709"/>
        <w:jc w:val="both"/>
      </w:pPr>
      <w:r>
        <w:t>Чтобы лучше понять причины и специфику инфляции необходимо рассмотреть особенности системы планового ценообразования. Такая система, означающая централизованное установление государственных  фиксированных цен на большинство видов продукции и услуг, являлась неотъемлемой частью планового хозяйства. По мере продвижения продукта от производителя к потребителю в цене производился последовательный учет добавляемых к каждой стадии затрат и соответственно прибыли на эти затраты. Государственные цены являлись плановыми нормативами затрат и дохода в народном хозяйстве. Себестоимость продукции рассматривалась как база цены и занимала в структуре затрат 85%. Поскольку цены служили прежде всего средством покрытия и учета затрат, а спрос, как правило, не влиял на уровень цены, то такое ценообразование стали называть затратным. Разумеется, цены, построенные по затратному принципу и неподвижные в течение нескольких лет, не могли служить индикатором соотношения спроса и предложения на продукт, не могли показывать производителю динамику потребительских предпочтений. Отсюда следует, что 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цен.[9]</w:t>
      </w:r>
    </w:p>
    <w:p w:rsidR="006929DD" w:rsidRDefault="006929DD">
      <w:pPr>
        <w:ind w:firstLine="709"/>
        <w:jc w:val="both"/>
      </w:pPr>
      <w:r>
        <w:t>Реформа цен являлась одной из задач правительственной программы 1991года,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Тем самым прибыли росли и не облагались налогом, а на бюджет легла огромная нагрузка роста субсидий и компенсаций. Вслед за повышением цен был снижен налог на прибыль предприятий, что позволило им увеличить выплаты заработной платы. В результате в 1991г. розничные цены выросли на 142%, а оптовые цены в промышленности на 236%. При этом объем производства снизился на 11%, а в целом за период с 1989г. - на 17%. Результатом стало разбалансирование товарного рынка и развитие тотального дефицита, усугубленного инфляционными ожиданиями. Одновременно возрастал бюджетный дефицит (31% ВВП), покрытый за счет эмиссии. Образовался огромный денежный навес, готовый захлестнуть нарождавшийся рынок. Реализация данной политики осложнялась значительными трудностями. Политический кризис 1991г. еще более осложнил ситуацию и привел к отказу от концепции постепенной реформы. 2 января 1992г. было отпущено 80% оптовых и 90% розничных потребительских цен. Снятие контроля за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месяца 1992г. по сравнению с декабрем 1991г., а оптовые цены уже за первые 2 месяца возросли почти в три раза. Первоначальный рост цен после их либерализации в России оказался выше, чем в других восточноевропейских странах, проводящих реформу (табл.3).</w:t>
      </w:r>
    </w:p>
    <w:p w:rsidR="006929DD" w:rsidRDefault="006929DD">
      <w:pPr>
        <w:pStyle w:val="4"/>
      </w:pPr>
      <w:bookmarkStart w:id="42" w:name="_Toc533453245"/>
      <w:bookmarkStart w:id="43" w:name="_Toc533454972"/>
      <w:bookmarkStart w:id="44" w:name="_Toc533455149"/>
      <w:bookmarkStart w:id="45" w:name="_Toc533456919"/>
      <w:r>
        <w:t>Табл.3</w:t>
      </w:r>
      <w:bookmarkEnd w:id="42"/>
      <w:bookmarkEnd w:id="43"/>
      <w:bookmarkEnd w:id="44"/>
      <w:bookmarkEnd w:id="45"/>
    </w:p>
    <w:tbl>
      <w:tblPr>
        <w:tblW w:w="6880" w:type="dxa"/>
        <w:jc w:val="center"/>
        <w:tblLayout w:type="fixed"/>
        <w:tblLook w:val="0000" w:firstRow="0" w:lastRow="0" w:firstColumn="0" w:lastColumn="0" w:noHBand="0" w:noVBand="0"/>
      </w:tblPr>
      <w:tblGrid>
        <w:gridCol w:w="3700"/>
        <w:gridCol w:w="3180"/>
      </w:tblGrid>
      <w:tr w:rsidR="006929DD">
        <w:trPr>
          <w:trHeight w:val="462"/>
          <w:jc w:val="center"/>
        </w:trPr>
        <w:tc>
          <w:tcPr>
            <w:tcW w:w="3700" w:type="dxa"/>
            <w:tcBorders>
              <w:top w:val="single" w:sz="8" w:space="0" w:color="auto"/>
              <w:left w:val="single" w:sz="8" w:space="0" w:color="auto"/>
              <w:bottom w:val="nil"/>
              <w:right w:val="single" w:sz="8" w:space="0" w:color="auto"/>
            </w:tcBorders>
            <w:shd w:val="clear" w:color="auto" w:fill="C0C0C0"/>
            <w:tcMar>
              <w:top w:w="0" w:type="dxa"/>
              <w:left w:w="20" w:type="dxa"/>
              <w:bottom w:w="0" w:type="dxa"/>
              <w:right w:w="20" w:type="dxa"/>
            </w:tcMar>
          </w:tcPr>
          <w:p w:rsidR="006929DD" w:rsidRDefault="006929DD">
            <w:pPr>
              <w:jc w:val="center"/>
              <w:rPr>
                <w:b/>
                <w:bCs/>
                <w:i/>
                <w:iCs/>
                <w:szCs w:val="28"/>
              </w:rPr>
            </w:pPr>
            <w:r>
              <w:rPr>
                <w:b/>
                <w:bCs/>
                <w:i/>
                <w:iCs/>
                <w:szCs w:val="28"/>
              </w:rPr>
              <w:t>Страна, год</w:t>
            </w:r>
          </w:p>
        </w:tc>
        <w:tc>
          <w:tcPr>
            <w:tcW w:w="3180" w:type="dxa"/>
            <w:tcBorders>
              <w:top w:val="single" w:sz="8" w:space="0" w:color="auto"/>
              <w:left w:val="nil"/>
              <w:bottom w:val="nil"/>
              <w:right w:val="single" w:sz="8" w:space="0" w:color="auto"/>
            </w:tcBorders>
            <w:shd w:val="clear" w:color="auto" w:fill="C0C0C0"/>
            <w:tcMar>
              <w:top w:w="0" w:type="dxa"/>
              <w:left w:w="20" w:type="dxa"/>
              <w:bottom w:w="0" w:type="dxa"/>
              <w:right w:w="20" w:type="dxa"/>
            </w:tcMar>
          </w:tcPr>
          <w:p w:rsidR="006929DD" w:rsidRDefault="006929DD">
            <w:pPr>
              <w:jc w:val="center"/>
              <w:rPr>
                <w:b/>
                <w:bCs/>
                <w:i/>
                <w:iCs/>
                <w:szCs w:val="28"/>
              </w:rPr>
            </w:pPr>
            <w:r>
              <w:rPr>
                <w:b/>
                <w:bCs/>
                <w:i/>
                <w:iCs/>
                <w:szCs w:val="28"/>
              </w:rPr>
              <w:t>Рост цен, %</w:t>
            </w:r>
          </w:p>
        </w:tc>
      </w:tr>
      <w:tr w:rsidR="006929DD">
        <w:trPr>
          <w:trHeight w:val="462"/>
          <w:jc w:val="center"/>
        </w:trPr>
        <w:tc>
          <w:tcPr>
            <w:tcW w:w="370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rsidR="006929DD" w:rsidRDefault="006929DD">
            <w:pPr>
              <w:rPr>
                <w:szCs w:val="28"/>
              </w:rPr>
            </w:pPr>
            <w:r>
              <w:rPr>
                <w:szCs w:val="28"/>
              </w:rPr>
              <w:t>Россия (1992)</w:t>
            </w:r>
          </w:p>
        </w:tc>
        <w:tc>
          <w:tcPr>
            <w:tcW w:w="3180" w:type="dxa"/>
            <w:tcBorders>
              <w:top w:val="single" w:sz="4" w:space="0" w:color="auto"/>
              <w:left w:val="nil"/>
              <w:bottom w:val="single" w:sz="4" w:space="0" w:color="auto"/>
              <w:right w:val="single" w:sz="4" w:space="0" w:color="auto"/>
            </w:tcBorders>
            <w:tcMar>
              <w:top w:w="0" w:type="dxa"/>
              <w:left w:w="20" w:type="dxa"/>
              <w:bottom w:w="0" w:type="dxa"/>
              <w:right w:w="20" w:type="dxa"/>
            </w:tcMar>
          </w:tcPr>
          <w:p w:rsidR="006929DD" w:rsidRDefault="006929DD">
            <w:pPr>
              <w:jc w:val="center"/>
              <w:rPr>
                <w:szCs w:val="28"/>
              </w:rPr>
            </w:pPr>
            <w:r>
              <w:rPr>
                <w:szCs w:val="28"/>
              </w:rPr>
              <w:t>2501</w:t>
            </w:r>
          </w:p>
        </w:tc>
      </w:tr>
      <w:tr w:rsidR="006929DD">
        <w:trPr>
          <w:trHeight w:val="462"/>
          <w:jc w:val="center"/>
        </w:trPr>
        <w:tc>
          <w:tcPr>
            <w:tcW w:w="3700" w:type="dxa"/>
            <w:tcBorders>
              <w:top w:val="nil"/>
              <w:left w:val="single" w:sz="4" w:space="0" w:color="auto"/>
              <w:bottom w:val="single" w:sz="4" w:space="0" w:color="auto"/>
              <w:right w:val="single" w:sz="4" w:space="0" w:color="auto"/>
            </w:tcBorders>
            <w:tcMar>
              <w:top w:w="0" w:type="dxa"/>
              <w:left w:w="20" w:type="dxa"/>
              <w:bottom w:w="0" w:type="dxa"/>
              <w:right w:w="20" w:type="dxa"/>
            </w:tcMar>
          </w:tcPr>
          <w:p w:rsidR="006929DD" w:rsidRDefault="006929DD">
            <w:pPr>
              <w:rPr>
                <w:szCs w:val="28"/>
              </w:rPr>
            </w:pPr>
            <w:r>
              <w:rPr>
                <w:szCs w:val="28"/>
              </w:rPr>
              <w:t>Болгария (1991)</w:t>
            </w:r>
          </w:p>
        </w:tc>
        <w:tc>
          <w:tcPr>
            <w:tcW w:w="3180" w:type="dxa"/>
            <w:tcBorders>
              <w:top w:val="nil"/>
              <w:left w:val="nil"/>
              <w:bottom w:val="single" w:sz="4" w:space="0" w:color="auto"/>
              <w:right w:val="single" w:sz="4" w:space="0" w:color="auto"/>
            </w:tcBorders>
            <w:tcMar>
              <w:top w:w="0" w:type="dxa"/>
              <w:left w:w="20" w:type="dxa"/>
              <w:bottom w:w="0" w:type="dxa"/>
              <w:right w:w="20" w:type="dxa"/>
            </w:tcMar>
          </w:tcPr>
          <w:p w:rsidR="006929DD" w:rsidRDefault="006929DD">
            <w:pPr>
              <w:jc w:val="center"/>
              <w:rPr>
                <w:szCs w:val="28"/>
              </w:rPr>
            </w:pPr>
            <w:r>
              <w:rPr>
                <w:szCs w:val="28"/>
              </w:rPr>
              <w:t>457</w:t>
            </w:r>
          </w:p>
        </w:tc>
      </w:tr>
      <w:tr w:rsidR="006929DD">
        <w:trPr>
          <w:trHeight w:val="462"/>
          <w:jc w:val="center"/>
        </w:trPr>
        <w:tc>
          <w:tcPr>
            <w:tcW w:w="3700" w:type="dxa"/>
            <w:tcBorders>
              <w:top w:val="nil"/>
              <w:left w:val="single" w:sz="4" w:space="0" w:color="auto"/>
              <w:bottom w:val="single" w:sz="4" w:space="0" w:color="auto"/>
              <w:right w:val="single" w:sz="4" w:space="0" w:color="auto"/>
            </w:tcBorders>
            <w:tcMar>
              <w:top w:w="0" w:type="dxa"/>
              <w:left w:w="20" w:type="dxa"/>
              <w:bottom w:w="0" w:type="dxa"/>
              <w:right w:w="20" w:type="dxa"/>
            </w:tcMar>
          </w:tcPr>
          <w:p w:rsidR="006929DD" w:rsidRDefault="006929DD">
            <w:pPr>
              <w:rPr>
                <w:szCs w:val="28"/>
              </w:rPr>
            </w:pPr>
            <w:r>
              <w:rPr>
                <w:szCs w:val="28"/>
              </w:rPr>
              <w:t>Чехословакия (1991)</w:t>
            </w:r>
          </w:p>
        </w:tc>
        <w:tc>
          <w:tcPr>
            <w:tcW w:w="3180" w:type="dxa"/>
            <w:tcBorders>
              <w:top w:val="nil"/>
              <w:left w:val="nil"/>
              <w:bottom w:val="single" w:sz="4" w:space="0" w:color="auto"/>
              <w:right w:val="single" w:sz="4" w:space="0" w:color="auto"/>
            </w:tcBorders>
            <w:tcMar>
              <w:top w:w="0" w:type="dxa"/>
              <w:left w:w="20" w:type="dxa"/>
              <w:bottom w:w="0" w:type="dxa"/>
              <w:right w:w="20" w:type="dxa"/>
            </w:tcMar>
          </w:tcPr>
          <w:p w:rsidR="006929DD" w:rsidRDefault="006929DD">
            <w:pPr>
              <w:jc w:val="center"/>
              <w:rPr>
                <w:szCs w:val="28"/>
              </w:rPr>
            </w:pPr>
            <w:r>
              <w:rPr>
                <w:szCs w:val="28"/>
              </w:rPr>
              <w:t>54</w:t>
            </w:r>
          </w:p>
        </w:tc>
      </w:tr>
      <w:tr w:rsidR="006929DD">
        <w:trPr>
          <w:trHeight w:val="462"/>
          <w:jc w:val="center"/>
        </w:trPr>
        <w:tc>
          <w:tcPr>
            <w:tcW w:w="3700" w:type="dxa"/>
            <w:tcBorders>
              <w:top w:val="nil"/>
              <w:left w:val="single" w:sz="4" w:space="0" w:color="auto"/>
              <w:bottom w:val="single" w:sz="4" w:space="0" w:color="auto"/>
              <w:right w:val="single" w:sz="4" w:space="0" w:color="auto"/>
            </w:tcBorders>
            <w:tcMar>
              <w:top w:w="0" w:type="dxa"/>
              <w:left w:w="20" w:type="dxa"/>
              <w:bottom w:w="0" w:type="dxa"/>
              <w:right w:w="20" w:type="dxa"/>
            </w:tcMar>
          </w:tcPr>
          <w:p w:rsidR="006929DD" w:rsidRDefault="006929DD">
            <w:pPr>
              <w:rPr>
                <w:szCs w:val="28"/>
              </w:rPr>
            </w:pPr>
            <w:r>
              <w:rPr>
                <w:szCs w:val="28"/>
              </w:rPr>
              <w:t>Венгрия (1991)</w:t>
            </w:r>
          </w:p>
        </w:tc>
        <w:tc>
          <w:tcPr>
            <w:tcW w:w="3180" w:type="dxa"/>
            <w:tcBorders>
              <w:top w:val="nil"/>
              <w:left w:val="nil"/>
              <w:bottom w:val="single" w:sz="4" w:space="0" w:color="auto"/>
              <w:right w:val="single" w:sz="4" w:space="0" w:color="auto"/>
            </w:tcBorders>
            <w:tcMar>
              <w:top w:w="0" w:type="dxa"/>
              <w:left w:w="20" w:type="dxa"/>
              <w:bottom w:w="0" w:type="dxa"/>
              <w:right w:w="20" w:type="dxa"/>
            </w:tcMar>
          </w:tcPr>
          <w:p w:rsidR="006929DD" w:rsidRDefault="006929DD">
            <w:pPr>
              <w:jc w:val="center"/>
              <w:rPr>
                <w:szCs w:val="28"/>
              </w:rPr>
            </w:pPr>
            <w:r>
              <w:rPr>
                <w:szCs w:val="28"/>
              </w:rPr>
              <w:t>33</w:t>
            </w:r>
          </w:p>
        </w:tc>
      </w:tr>
      <w:tr w:rsidR="006929DD">
        <w:trPr>
          <w:trHeight w:val="462"/>
          <w:jc w:val="center"/>
        </w:trPr>
        <w:tc>
          <w:tcPr>
            <w:tcW w:w="3700" w:type="dxa"/>
            <w:tcBorders>
              <w:top w:val="nil"/>
              <w:left w:val="single" w:sz="4" w:space="0" w:color="auto"/>
              <w:bottom w:val="single" w:sz="4" w:space="0" w:color="auto"/>
              <w:right w:val="single" w:sz="4" w:space="0" w:color="auto"/>
            </w:tcBorders>
            <w:tcMar>
              <w:top w:w="0" w:type="dxa"/>
              <w:left w:w="20" w:type="dxa"/>
              <w:bottom w:w="0" w:type="dxa"/>
              <w:right w:w="20" w:type="dxa"/>
            </w:tcMar>
          </w:tcPr>
          <w:p w:rsidR="006929DD" w:rsidRDefault="006929DD">
            <w:pPr>
              <w:rPr>
                <w:szCs w:val="28"/>
              </w:rPr>
            </w:pPr>
            <w:r>
              <w:rPr>
                <w:szCs w:val="28"/>
              </w:rPr>
              <w:t>Польша (1990)</w:t>
            </w:r>
          </w:p>
        </w:tc>
        <w:tc>
          <w:tcPr>
            <w:tcW w:w="3180" w:type="dxa"/>
            <w:tcBorders>
              <w:top w:val="nil"/>
              <w:left w:val="nil"/>
              <w:bottom w:val="single" w:sz="4" w:space="0" w:color="auto"/>
              <w:right w:val="single" w:sz="4" w:space="0" w:color="auto"/>
            </w:tcBorders>
            <w:tcMar>
              <w:top w:w="0" w:type="dxa"/>
              <w:left w:w="20" w:type="dxa"/>
              <w:bottom w:w="0" w:type="dxa"/>
              <w:right w:w="20" w:type="dxa"/>
            </w:tcMar>
          </w:tcPr>
          <w:p w:rsidR="006929DD" w:rsidRDefault="006929DD">
            <w:pPr>
              <w:jc w:val="center"/>
              <w:rPr>
                <w:szCs w:val="28"/>
              </w:rPr>
            </w:pPr>
            <w:r>
              <w:rPr>
                <w:szCs w:val="28"/>
              </w:rPr>
              <w:t>249</w:t>
            </w:r>
          </w:p>
        </w:tc>
      </w:tr>
      <w:tr w:rsidR="006929DD">
        <w:trPr>
          <w:trHeight w:val="462"/>
          <w:jc w:val="center"/>
        </w:trPr>
        <w:tc>
          <w:tcPr>
            <w:tcW w:w="3700" w:type="dxa"/>
            <w:tcBorders>
              <w:top w:val="nil"/>
              <w:left w:val="single" w:sz="4" w:space="0" w:color="auto"/>
              <w:bottom w:val="single" w:sz="4" w:space="0" w:color="auto"/>
              <w:right w:val="single" w:sz="4" w:space="0" w:color="auto"/>
            </w:tcBorders>
            <w:tcMar>
              <w:top w:w="0" w:type="dxa"/>
              <w:left w:w="20" w:type="dxa"/>
              <w:bottom w:w="0" w:type="dxa"/>
              <w:right w:w="20" w:type="dxa"/>
            </w:tcMar>
          </w:tcPr>
          <w:p w:rsidR="006929DD" w:rsidRDefault="006929DD">
            <w:pPr>
              <w:rPr>
                <w:szCs w:val="28"/>
              </w:rPr>
            </w:pPr>
            <w:r>
              <w:rPr>
                <w:szCs w:val="28"/>
              </w:rPr>
              <w:t>Румыния (1991)</w:t>
            </w:r>
          </w:p>
        </w:tc>
        <w:tc>
          <w:tcPr>
            <w:tcW w:w="3180" w:type="dxa"/>
            <w:tcBorders>
              <w:top w:val="nil"/>
              <w:left w:val="nil"/>
              <w:bottom w:val="single" w:sz="4" w:space="0" w:color="auto"/>
              <w:right w:val="single" w:sz="4" w:space="0" w:color="auto"/>
            </w:tcBorders>
            <w:tcMar>
              <w:top w:w="0" w:type="dxa"/>
              <w:left w:w="20" w:type="dxa"/>
              <w:bottom w:w="0" w:type="dxa"/>
              <w:right w:w="20" w:type="dxa"/>
            </w:tcMar>
          </w:tcPr>
          <w:p w:rsidR="006929DD" w:rsidRDefault="006929DD">
            <w:pPr>
              <w:jc w:val="center"/>
              <w:rPr>
                <w:szCs w:val="28"/>
              </w:rPr>
            </w:pPr>
            <w:r>
              <w:rPr>
                <w:szCs w:val="28"/>
              </w:rPr>
              <w:t>252</w:t>
            </w:r>
          </w:p>
        </w:tc>
      </w:tr>
    </w:tbl>
    <w:p w:rsidR="006929DD" w:rsidRDefault="006929DD">
      <w:pPr>
        <w:jc w:val="both"/>
      </w:pPr>
    </w:p>
    <w:p w:rsidR="006929DD" w:rsidRDefault="006929DD">
      <w:pPr>
        <w:ind w:firstLine="709"/>
        <w:jc w:val="both"/>
      </w:pPr>
      <w:r>
        <w:t>Рост цен в промышленности оказался очень неравномерным. В оборонной промышленности  либерализация цен стала наиболее ощутимой, т. к. она лишила отрасль традиционно привилегированного доступа к материальным ресурсам.</w:t>
      </w:r>
    </w:p>
    <w:p w:rsidR="006929DD" w:rsidRDefault="006929DD">
      <w:pPr>
        <w:ind w:firstLine="709"/>
        <w:jc w:val="both"/>
      </w:pPr>
      <w:r>
        <w:t>В то время как цены выросли в 5-7раз, объем денежной массы у населения увеличился в первые месяцы после либерализации лишь на 25%. Тем самым избыточная денежная масса была ликвидирована уже в начале реформы. Поскольку рост заработной платы при этом почти вдвое отставал о роста потребительских цен (</w:t>
      </w:r>
      <w:r>
        <w:rPr>
          <w:i/>
          <w:iCs/>
        </w:rPr>
        <w:t>приложение А</w:t>
      </w:r>
      <w:r>
        <w:t>), а общая денежная масса повышалась еще медленнее, резкое падение спроса стала одной из главных причин сокращения производства.</w:t>
      </w:r>
    </w:p>
    <w:p w:rsidR="006929DD" w:rsidRDefault="006929DD">
      <w:pPr>
        <w:widowControl w:val="0"/>
        <w:tabs>
          <w:tab w:val="left" w:pos="360"/>
        </w:tabs>
        <w:ind w:left="19" w:firstLine="701"/>
        <w:jc w:val="both"/>
      </w:pPr>
      <w:r>
        <w:t>Незадолго до начала экономических реформ началось снижение объемов добычи в нефтегазовом секторе, ко</w:t>
      </w:r>
      <w:r>
        <w:softHyphen/>
        <w:t>торый в значительной степени ком</w:t>
      </w:r>
      <w:r>
        <w:softHyphen/>
        <w:t>пенсировал неэффективность других секторов. Если в 1985 году добыча не</w:t>
      </w:r>
      <w:r>
        <w:softHyphen/>
        <w:t>фти составляла 542 миллиона тонн, то в 1991 году она упала на 15 процен</w:t>
      </w:r>
      <w:r>
        <w:softHyphen/>
        <w:t>тов (до 462 миллионов тонн). В кон</w:t>
      </w:r>
      <w:r>
        <w:softHyphen/>
        <w:t>це 1991 года произошел распад СССР, сопровождавшийся нарушением мно</w:t>
      </w:r>
      <w:r>
        <w:softHyphen/>
        <w:t>гих производственных связей. В те</w:t>
      </w:r>
      <w:r>
        <w:softHyphen/>
        <w:t>чение нескольких последующих лет заключались межправительственные соглашения о взаимных поставках важ</w:t>
      </w:r>
      <w:r>
        <w:softHyphen/>
        <w:t>нейших видов продукции, однако они охватывали лишь небольшую часть ко</w:t>
      </w:r>
      <w:r>
        <w:softHyphen/>
        <w:t>операции, развивавшейся в Советс</w:t>
      </w:r>
      <w:r>
        <w:softHyphen/>
        <w:t>ком Союзе безотносительно к республиканскому делению. Незадолго до того прекратил свою деятельность Со</w:t>
      </w:r>
      <w:r>
        <w:softHyphen/>
        <w:t>вет экономической взаимопомощи, в рамках которого прежде происходила значительная интеграция рынков со</w:t>
      </w:r>
      <w:r>
        <w:softHyphen/>
        <w:t>циалистических стран. Перечислен</w:t>
      </w:r>
      <w:r>
        <w:softHyphen/>
        <w:t>ные обстоятельства внесли дополни</w:t>
      </w:r>
      <w:r>
        <w:softHyphen/>
        <w:t>тельный вклад в сокращение произ</w:t>
      </w:r>
      <w:r>
        <w:softHyphen/>
        <w:t>водства. Последовавший спад в свою очередь стал одним из генераторов ин</w:t>
      </w:r>
      <w:r>
        <w:softHyphen/>
        <w:t xml:space="preserve">фляции. </w:t>
      </w:r>
    </w:p>
    <w:p w:rsidR="006929DD" w:rsidRDefault="006929DD">
      <w:pPr>
        <w:widowControl w:val="0"/>
        <w:tabs>
          <w:tab w:val="left" w:pos="360"/>
        </w:tabs>
        <w:ind w:left="4" w:firstLine="701"/>
        <w:jc w:val="both"/>
      </w:pPr>
      <w:r>
        <w:t>В административной системе ко</w:t>
      </w:r>
      <w:r>
        <w:softHyphen/>
        <w:t>лоссальная дифференциация характе</w:t>
      </w:r>
      <w:r>
        <w:softHyphen/>
        <w:t>ризовала и предприятия обрабатыва</w:t>
      </w:r>
      <w:r>
        <w:softHyphen/>
        <w:t>ющей промышленности. Так, рента</w:t>
      </w:r>
      <w:r>
        <w:softHyphen/>
        <w:t>бельность предприятий электротехни</w:t>
      </w:r>
      <w:r>
        <w:softHyphen/>
        <w:t>ческой промышленности СССР в се</w:t>
      </w:r>
      <w:r>
        <w:softHyphen/>
        <w:t>редине 80-х годов охватывала диапа</w:t>
      </w:r>
      <w:r>
        <w:softHyphen/>
        <w:t>зон 50-230%. Подоб</w:t>
      </w:r>
      <w:r>
        <w:softHyphen/>
        <w:t>ное положение достигалось за счет централизованного перераспределения финансовых ресурсов. В результате современное обору</w:t>
      </w:r>
      <w:r>
        <w:softHyphen/>
        <w:t>дование, наиболее качественный ме</w:t>
      </w:r>
      <w:r>
        <w:softHyphen/>
        <w:t>талл и лучшие кадры направлялись в военно-промышлен</w:t>
      </w:r>
      <w:r>
        <w:softHyphen/>
        <w:t>ный комплекс и тяжелую промышлен</w:t>
      </w:r>
      <w:r>
        <w:softHyphen/>
        <w:t>ность в ущерб легкой, пищевой, сель</w:t>
      </w:r>
      <w:r>
        <w:softHyphen/>
        <w:t>скому хозяйству. В плановом хозяй</w:t>
      </w:r>
      <w:r>
        <w:softHyphen/>
        <w:t>стве сосуществование предприятий и секторов с резко различающейся эф</w:t>
      </w:r>
      <w:r>
        <w:softHyphen/>
        <w:t>фективностью обеспечивалось широ</w:t>
      </w:r>
      <w:r>
        <w:softHyphen/>
        <w:t>кой системой «нерыночных» механиз</w:t>
      </w:r>
      <w:r>
        <w:softHyphen/>
        <w:t>мов, включавшей цены, не учитыва</w:t>
      </w:r>
      <w:r>
        <w:softHyphen/>
        <w:t>ющие спрос и предложение, различ</w:t>
      </w:r>
      <w:r>
        <w:softHyphen/>
        <w:t>ные виды дотаций, поддержку «пла</w:t>
      </w:r>
      <w:r>
        <w:softHyphen/>
        <w:t>ново-убыточных» предприятий и т.д. В условиях перехода к рыночной эко</w:t>
      </w:r>
      <w:r>
        <w:softHyphen/>
        <w:t>номике, предполагающей выравнивание цен, межотраслевая и внутриот</w:t>
      </w:r>
      <w:r>
        <w:softHyphen/>
        <w:t>раслевая дифференциация эффектив</w:t>
      </w:r>
      <w:r>
        <w:softHyphen/>
        <w:t>ности производства оказывается мощ</w:t>
      </w:r>
      <w:r>
        <w:softHyphen/>
        <w:t>ным фактором, вынуждающим убы</w:t>
      </w:r>
      <w:r>
        <w:softHyphen/>
        <w:t>точные и низкоэффективные предпри</w:t>
      </w:r>
      <w:r>
        <w:softHyphen/>
        <w:t>ятия сохранять высокие темпы роста цен на свою продукцию (отраслевые цены формируются на уровне предель</w:t>
      </w:r>
      <w:r>
        <w:softHyphen/>
        <w:t xml:space="preserve">ных издержек). </w:t>
      </w:r>
    </w:p>
    <w:p w:rsidR="006929DD" w:rsidRDefault="006929DD">
      <w:pPr>
        <w:widowControl w:val="0"/>
        <w:tabs>
          <w:tab w:val="left" w:pos="360"/>
        </w:tabs>
        <w:ind w:left="24" w:firstLine="701"/>
        <w:jc w:val="both"/>
      </w:pPr>
      <w:r>
        <w:t>Другой важный источник инфляции мы видим в исходных диспропорциях внутренних и мировых цен. Сложив</w:t>
      </w:r>
      <w:r>
        <w:softHyphen/>
        <w:t>шиеся в рамках административной си</w:t>
      </w:r>
      <w:r>
        <w:softHyphen/>
        <w:t>стемы цены имели существенные пе</w:t>
      </w:r>
      <w:r>
        <w:softHyphen/>
        <w:t>рекосы: энергия и сырье были срав</w:t>
      </w:r>
      <w:r>
        <w:softHyphen/>
        <w:t>нительно дешевыми, а продукция об</w:t>
      </w:r>
      <w:r>
        <w:softHyphen/>
        <w:t>рабатывающей промышленности и сельского хозяйства - дорогими. В первую очередь это было обусловлено низкой общей эффективностью нашей обрабатывающей промышленности при измерении затрат и выпуска в ми</w:t>
      </w:r>
      <w:r>
        <w:softHyphen/>
        <w:t>ровых ценах. К этому добавлялась описанная выше целенаправленная политика «дискриминации» неприоритетных отраслей, усугублявшая от</w:t>
      </w:r>
      <w:r>
        <w:softHyphen/>
        <w:t xml:space="preserve">ставание потребительского сектора. </w:t>
      </w:r>
    </w:p>
    <w:p w:rsidR="006929DD" w:rsidRDefault="006929DD">
      <w:pPr>
        <w:pStyle w:val="20"/>
      </w:pPr>
      <w:r>
        <w:t>Относящиеся к 1987 году оценки Госкомстата РФ соотношений внут</w:t>
      </w:r>
      <w:r>
        <w:softHyphen/>
        <w:t>ренних и внешнеторговых цен дают в целом сходную картину при сравне</w:t>
      </w:r>
      <w:r>
        <w:softHyphen/>
        <w:t>нии и по кругу экспортируемых, и по кругу импортируемых товаров (см. Рис.</w:t>
      </w:r>
      <w:r>
        <w:rPr>
          <w:lang w:val="en-US"/>
        </w:rPr>
        <w:t>1</w:t>
      </w:r>
      <w:r>
        <w:t>). При этом важны не абсолют</w:t>
      </w:r>
      <w:r>
        <w:softHyphen/>
        <w:t>ные значения (обменный курс рубля весьма заметно отличался от его по</w:t>
      </w:r>
      <w:r>
        <w:softHyphen/>
        <w:t>купательной способности), а их раз</w:t>
      </w:r>
      <w:r>
        <w:softHyphen/>
        <w:t>личия по секторам.</w:t>
      </w:r>
    </w:p>
    <w:p w:rsidR="006929DD" w:rsidRDefault="009C7F87">
      <w:pPr>
        <w:widowControl w:val="0"/>
        <w:tabs>
          <w:tab w:val="left" w:pos="360"/>
        </w:tabs>
        <w:ind w:left="14" w:hanging="1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65pt">
            <v:imagedata r:id="rId7" o:title=""/>
          </v:shape>
        </w:pict>
      </w:r>
    </w:p>
    <w:p w:rsidR="006929DD" w:rsidRDefault="006929DD">
      <w:pPr>
        <w:pStyle w:val="ab"/>
        <w:ind w:left="1134" w:right="1274"/>
      </w:pPr>
      <w:r>
        <w:t>1-нефтегазовая; 2-черная металлургия; 3-цветная металлургия; 4-химическая и нефтехимическая; 5-машиностроение; 6-лесная, деревообрабатывающая и целлюлозно-бумажная; 7-промышленность стройматериалов; 8-легкая; 9-пищевая; 10-сельское хозяйство.</w:t>
      </w:r>
    </w:p>
    <w:p w:rsidR="006929DD" w:rsidRDefault="006929DD">
      <w:pPr>
        <w:pStyle w:val="10"/>
      </w:pPr>
      <w:r>
        <w:t>Рис.1. Соотношение внешнеторговых и внутренних цен в 1987г.</w:t>
      </w:r>
    </w:p>
    <w:p w:rsidR="006929DD" w:rsidRDefault="006929DD"/>
    <w:p w:rsidR="006929DD" w:rsidRDefault="006929DD">
      <w:pPr>
        <w:widowControl w:val="0"/>
        <w:tabs>
          <w:tab w:val="left" w:pos="360"/>
        </w:tabs>
        <w:ind w:left="9" w:firstLine="701"/>
        <w:jc w:val="both"/>
      </w:pPr>
      <w:r>
        <w:t>Такая ситуация могла существовать прежде всего благодаря тому, что вне</w:t>
      </w:r>
      <w:r>
        <w:softHyphen/>
        <w:t>шняя торговля была жестко центра</w:t>
      </w:r>
      <w:r>
        <w:softHyphen/>
        <w:t>лизована. Причем решения в очень небольшой степени учитывали эконо</w:t>
      </w:r>
      <w:r>
        <w:softHyphen/>
        <w:t>мическую эффективность, измеренную в действующих ценах: в расчетах с производителями применялся спектр специальных обменных курсов, диф</w:t>
      </w:r>
      <w:r>
        <w:softHyphen/>
        <w:t>ференцированных по отраслям и по группам продукции. В итоге Советс</w:t>
      </w:r>
      <w:r>
        <w:softHyphen/>
        <w:t>кий Союз имел сравнительно низкую интегрированность в мировую эконо</w:t>
      </w:r>
      <w:r>
        <w:softHyphen/>
        <w:t>мику. Экспорт и импорт охватывали довольно узкий и неизменный круг продукции (поставки преимуществен</w:t>
      </w:r>
      <w:r>
        <w:softHyphen/>
        <w:t>но нефти, газа, леса, военной тех</w:t>
      </w:r>
      <w:r>
        <w:softHyphen/>
        <w:t xml:space="preserve">ники и закупки зерна, оборудования, товаров легкой промышленности). </w:t>
      </w:r>
    </w:p>
    <w:p w:rsidR="006929DD" w:rsidRDefault="006929DD">
      <w:pPr>
        <w:widowControl w:val="0"/>
        <w:tabs>
          <w:tab w:val="left" w:pos="360"/>
        </w:tabs>
        <w:ind w:left="4" w:firstLine="701"/>
        <w:jc w:val="both"/>
      </w:pPr>
      <w:r>
        <w:t>"Открытие" экономики в ходе эко</w:t>
      </w:r>
      <w:r>
        <w:softHyphen/>
        <w:t>номических реформ, введение частич</w:t>
      </w:r>
      <w:r>
        <w:softHyphen/>
        <w:t>ной конвертируемости рубля неизбеж</w:t>
      </w:r>
      <w:r>
        <w:softHyphen/>
        <w:t>но должны были привести (и приве</w:t>
      </w:r>
      <w:r>
        <w:softHyphen/>
        <w:t>ли) к сближению первоначально очень далеких друг от друга систем цен, что также стало одним из главных источ</w:t>
      </w:r>
      <w:r>
        <w:softHyphen/>
        <w:t>ников инфляции. Переход к рыноч</w:t>
      </w:r>
      <w:r>
        <w:softHyphen/>
        <w:t>ному определению обменного курса (</w:t>
      </w:r>
      <w:r>
        <w:rPr>
          <w:i/>
          <w:iCs/>
        </w:rPr>
        <w:t>приложение Б)</w:t>
      </w:r>
      <w:r>
        <w:t xml:space="preserve"> привел к его неадекватному скачку в начале 1992 года и сделал все внут</w:t>
      </w:r>
      <w:r>
        <w:softHyphen/>
        <w:t>ренние цены в долларовом выражении на порядок меньшими мирового уров</w:t>
      </w:r>
      <w:r>
        <w:softHyphen/>
        <w:t>ня. Так, средняя цена нефти на рос</w:t>
      </w:r>
      <w:r>
        <w:softHyphen/>
        <w:t>сийском рынке составила в 1992 году лишь 11 долларов за тонну, газа - 3 доллара за тысячу кубометров. Вслед</w:t>
      </w:r>
      <w:r>
        <w:softHyphen/>
        <w:t>ствие этого вся экономика испытыва</w:t>
      </w:r>
      <w:r>
        <w:softHyphen/>
        <w:t>ла инфляционное давление со сторо</w:t>
      </w:r>
      <w:r>
        <w:softHyphen/>
        <w:t xml:space="preserve">ны цен экспортируемых товаров. </w:t>
      </w:r>
    </w:p>
    <w:p w:rsidR="006929DD" w:rsidRDefault="006929DD">
      <w:pPr>
        <w:widowControl w:val="0"/>
        <w:tabs>
          <w:tab w:val="left" w:pos="360"/>
        </w:tabs>
        <w:ind w:left="14" w:firstLine="701"/>
        <w:jc w:val="both"/>
      </w:pPr>
      <w:r>
        <w:t>Как уже отмечалось, важную роль в поддержании инфляции сыграл так</w:t>
      </w:r>
      <w:r>
        <w:softHyphen/>
        <w:t>же происшедший за годы реформ глу</w:t>
      </w:r>
      <w:r>
        <w:softHyphen/>
        <w:t>бокий спад производства (</w:t>
      </w:r>
      <w:r>
        <w:rPr>
          <w:i/>
          <w:iCs/>
        </w:rPr>
        <w:t>приложение В</w:t>
      </w:r>
      <w:r>
        <w:t>). В первом квартале 1996 года объем промышлен</w:t>
      </w:r>
      <w:r>
        <w:softHyphen/>
        <w:t>ного производства составил 49 про</w:t>
      </w:r>
      <w:r>
        <w:softHyphen/>
        <w:t>центов по сравнению с аналогичным периодом 1991 года. Часть этого спа</w:t>
      </w:r>
      <w:r>
        <w:softHyphen/>
        <w:t>да объясняется такими упоминавши</w:t>
      </w:r>
      <w:r>
        <w:softHyphen/>
        <w:t>мися "внешними" причинами, как дезинтеграция единого рынка бывшего СССР и распад СЭВ, однако другая - тесно связана с проводимыми ре</w:t>
      </w:r>
      <w:r>
        <w:softHyphen/>
        <w:t>формами и стабилизационной поли</w:t>
      </w:r>
      <w:r>
        <w:softHyphen/>
        <w:t>тикой. Значительная часть спада, на наш взгляд, обусловлена быстрым "от</w:t>
      </w:r>
      <w:r>
        <w:softHyphen/>
        <w:t>крытием" экономики, в результате че</w:t>
      </w:r>
      <w:r>
        <w:softHyphen/>
        <w:t>го многие предприятия легкой и пи</w:t>
      </w:r>
      <w:r>
        <w:softHyphen/>
        <w:t>щевой промышленности, бытовой электроники и т.д. оказались потес</w:t>
      </w:r>
      <w:r>
        <w:softHyphen/>
        <w:t xml:space="preserve">нены на отечественном рынке. </w:t>
      </w:r>
    </w:p>
    <w:p w:rsidR="006929DD" w:rsidRDefault="006929DD">
      <w:pPr>
        <w:widowControl w:val="0"/>
        <w:tabs>
          <w:tab w:val="left" w:pos="360"/>
        </w:tabs>
        <w:ind w:left="4" w:firstLine="701"/>
        <w:jc w:val="both"/>
      </w:pPr>
      <w:r>
        <w:t>Взаимосвязь спада производства и инфляции проявляется в следующем. Во-первых, в процессе сокращения производства значительно растут из</w:t>
      </w:r>
      <w:r>
        <w:softHyphen/>
        <w:t>держки на единицу продукции, по</w:t>
      </w:r>
      <w:r>
        <w:softHyphen/>
        <w:t>скольку существенную их долю состав</w:t>
      </w:r>
      <w:r>
        <w:softHyphen/>
        <w:t>ляют "фиксированные затраты". В ча</w:t>
      </w:r>
      <w:r>
        <w:softHyphen/>
        <w:t>стности, спад не сопровождался адекватным сокращением численнос</w:t>
      </w:r>
      <w:r>
        <w:softHyphen/>
        <w:t>ти занятых. Таким образом, умень</w:t>
      </w:r>
      <w:r>
        <w:softHyphen/>
        <w:t>шение объемов производства создает затратное давление на цены. Во-вторых, в рамках стабилизационных программ правительство вы</w:t>
      </w:r>
      <w:r>
        <w:softHyphen/>
        <w:t>нуждено идти на уменьшение своих расходов, сокращая тем самым конеч</w:t>
      </w:r>
      <w:r>
        <w:softHyphen/>
        <w:t>ный спрос. Это влечет за собой до</w:t>
      </w:r>
      <w:r>
        <w:softHyphen/>
        <w:t xml:space="preserve">полнительное уменьшение выпуска и, следовательно, дальнейшее снижение поступления налогов. </w:t>
      </w:r>
    </w:p>
    <w:p w:rsidR="006929DD" w:rsidRDefault="006929DD">
      <w:pPr>
        <w:widowControl w:val="0"/>
        <w:tabs>
          <w:tab w:val="left" w:pos="360"/>
        </w:tabs>
        <w:ind w:left="9" w:firstLine="701"/>
        <w:jc w:val="both"/>
      </w:pPr>
      <w:r>
        <w:t>Традиционное представление об оп</w:t>
      </w:r>
      <w:r>
        <w:softHyphen/>
        <w:t>тимизирующем воздействии рыночных механизмов на структуру производства основано на предпосылке о свобод</w:t>
      </w:r>
      <w:r>
        <w:softHyphen/>
        <w:t>ном перетоке ресурсов из депрессив</w:t>
      </w:r>
      <w:r>
        <w:softHyphen/>
        <w:t>ных отраслей в более эффективные. Что касается трудовых ресурсов, то их территориальная мобильность в Рос</w:t>
      </w:r>
      <w:r>
        <w:softHyphen/>
        <w:t>сии была всегда резко ограничена из-за дефицита жилья и отсутствия его рынка, больших расстояний между промышленными центрами. О перетоках капитала бессмысленно говорить в условиях, когда объем производ</w:t>
      </w:r>
      <w:r>
        <w:softHyphen/>
        <w:t>ственных капитальных вложений сни</w:t>
      </w:r>
      <w:r>
        <w:softHyphen/>
        <w:t>зился в 4 раза по сравнению с предреформенными годами. Неопределен</w:t>
      </w:r>
      <w:r>
        <w:softHyphen/>
        <w:t>ность, непредсказуемость даже близ</w:t>
      </w:r>
      <w:r>
        <w:softHyphen/>
        <w:t>кого будущего (в частности, из-за вы</w:t>
      </w:r>
      <w:r>
        <w:softHyphen/>
        <w:t>сокой инфляции), неурегулирован</w:t>
      </w:r>
      <w:r>
        <w:softHyphen/>
        <w:t>ность прав собственности и т.д. яви</w:t>
      </w:r>
      <w:r>
        <w:softHyphen/>
        <w:t>лись тормозом для отечественных и зарубежных инвестиций, а, следова</w:t>
      </w:r>
      <w:r>
        <w:softHyphen/>
        <w:t>тельно, и для перестройки производ</w:t>
      </w:r>
      <w:r>
        <w:softHyphen/>
        <w:t>ственной структуры. В результате дисбаланс спроса и предложения раз</w:t>
      </w:r>
      <w:r>
        <w:softHyphen/>
        <w:t>решался только одним способом: сни</w:t>
      </w:r>
      <w:r>
        <w:softHyphen/>
        <w:t xml:space="preserve">жением предложения. </w:t>
      </w:r>
    </w:p>
    <w:p w:rsidR="006929DD" w:rsidRDefault="006929DD">
      <w:pPr>
        <w:widowControl w:val="0"/>
        <w:tabs>
          <w:tab w:val="left" w:pos="360"/>
        </w:tabs>
        <w:ind w:left="4" w:firstLine="701"/>
        <w:jc w:val="both"/>
      </w:pPr>
      <w:r>
        <w:t>Двустороннюю связь между темпа</w:t>
      </w:r>
      <w:r>
        <w:softHyphen/>
        <w:t>ми инфляции и объемом производства иллюстрирует динамика этих показа</w:t>
      </w:r>
      <w:r>
        <w:softHyphen/>
        <w:t>телей в 1995 и начале 1996 годов. Ос</w:t>
      </w:r>
      <w:r>
        <w:softHyphen/>
        <w:t>лабление инфляции совпало по вре</w:t>
      </w:r>
      <w:r>
        <w:softHyphen/>
        <w:t>мени с периодом ослабления про</w:t>
      </w:r>
      <w:r>
        <w:softHyphen/>
        <w:t>мышленного спада - можно предпо</w:t>
      </w:r>
      <w:r>
        <w:softHyphen/>
        <w:t>ложить, что здесь имеется и некото</w:t>
      </w:r>
      <w:r>
        <w:softHyphen/>
        <w:t>рая причинная связь. Вместе с тем ужесточение монетарной политики в 1995 году привело в октябре-ноябре к локальному конъюнктурному спаду. Рассмотрим сформировавшиеся в ре</w:t>
      </w:r>
      <w:r>
        <w:softHyphen/>
        <w:t xml:space="preserve">зультате действия описанных факторов отраслевые пропорции (Рис.2, 3). </w:t>
      </w:r>
    </w:p>
    <w:p w:rsidR="006929DD" w:rsidRDefault="009C7F87">
      <w:pPr>
        <w:widowControl w:val="0"/>
        <w:tabs>
          <w:tab w:val="left" w:pos="360"/>
        </w:tabs>
        <w:ind w:left="9" w:hanging="9"/>
        <w:jc w:val="center"/>
      </w:pPr>
      <w:r>
        <w:pict>
          <v:shape id="_x0000_i1026" type="#_x0000_t75" style="width:321pt;height:147.75pt">
            <v:imagedata r:id="rId8" o:title=""/>
          </v:shape>
        </w:pict>
      </w:r>
    </w:p>
    <w:p w:rsidR="006929DD" w:rsidRDefault="006929DD">
      <w:pPr>
        <w:pStyle w:val="31"/>
        <w:jc w:val="center"/>
      </w:pPr>
      <w:r>
        <w:t>Рис.2.Отностительный рост оптовых цен производителей в 1990-1995 гг.</w:t>
      </w:r>
    </w:p>
    <w:p w:rsidR="006929DD" w:rsidRDefault="006929DD">
      <w:pPr>
        <w:widowControl w:val="0"/>
        <w:tabs>
          <w:tab w:val="left" w:pos="360"/>
        </w:tabs>
        <w:ind w:left="9" w:firstLine="701"/>
        <w:jc w:val="both"/>
      </w:pPr>
    </w:p>
    <w:p w:rsidR="006929DD" w:rsidRDefault="009C7F87">
      <w:pPr>
        <w:widowControl w:val="0"/>
        <w:tabs>
          <w:tab w:val="left" w:pos="360"/>
        </w:tabs>
        <w:ind w:left="9" w:hanging="9"/>
        <w:jc w:val="center"/>
      </w:pPr>
      <w:r>
        <w:pict>
          <v:shape id="_x0000_i1027" type="#_x0000_t75" style="width:303pt;height:147.75pt">
            <v:imagedata r:id="rId9" o:title=""/>
          </v:shape>
        </w:pict>
      </w:r>
    </w:p>
    <w:p w:rsidR="006929DD" w:rsidRDefault="006929DD">
      <w:pPr>
        <w:widowControl w:val="0"/>
        <w:tabs>
          <w:tab w:val="left" w:pos="360"/>
        </w:tabs>
        <w:ind w:left="1560" w:right="1416" w:hanging="9"/>
        <w:jc w:val="both"/>
        <w:rPr>
          <w:sz w:val="20"/>
        </w:rPr>
      </w:pPr>
      <w:r>
        <w:rPr>
          <w:sz w:val="20"/>
        </w:rPr>
        <w:t>1-электроэнергетика; 2-топливная промышленность; 3-черная металлургия; 4-цветная металлургия; 5-химическая и нефтехимическая; 6-машиностроение; 7--лесная, деревообрабатывающая и целлюлозно-бумажная; 8-промышленность стройматериалов; 9-легкая; 10-пищевая; 11-промышленность в целом; 12-строительство; 13-сельское хозяйство; 14-транспорт.</w:t>
      </w:r>
    </w:p>
    <w:p w:rsidR="006929DD" w:rsidRDefault="006929DD">
      <w:pPr>
        <w:widowControl w:val="0"/>
        <w:tabs>
          <w:tab w:val="left" w:pos="360"/>
        </w:tabs>
        <w:ind w:left="9" w:firstLine="701"/>
        <w:jc w:val="center"/>
      </w:pPr>
      <w:r>
        <w:t>Рис.3.Индексы физического объема производства в 1995г. по отношению к 1990г. (%)</w:t>
      </w:r>
    </w:p>
    <w:p w:rsidR="006929DD" w:rsidRDefault="006929DD">
      <w:pPr>
        <w:widowControl w:val="0"/>
        <w:tabs>
          <w:tab w:val="left" w:pos="360"/>
        </w:tabs>
        <w:ind w:left="9" w:firstLine="701"/>
        <w:jc w:val="both"/>
      </w:pPr>
    </w:p>
    <w:p w:rsidR="006929DD" w:rsidRDefault="006929DD">
      <w:pPr>
        <w:widowControl w:val="0"/>
        <w:tabs>
          <w:tab w:val="left" w:pos="360"/>
        </w:tabs>
        <w:ind w:left="9" w:firstLine="701"/>
        <w:jc w:val="both"/>
      </w:pPr>
      <w:r>
        <w:t>Приведенные данные свидетель</w:t>
      </w:r>
      <w:r>
        <w:softHyphen/>
        <w:t>ствуют, что соотношения цен суще</w:t>
      </w:r>
      <w:r>
        <w:softHyphen/>
        <w:t>ственно приблизились к соотношени</w:t>
      </w:r>
      <w:r>
        <w:softHyphen/>
        <w:t>ям цен на мировых рынках. Обраща</w:t>
      </w:r>
      <w:r>
        <w:softHyphen/>
        <w:t>ет на себя внимание тот факт, что близкую зависимость имеют и индек</w:t>
      </w:r>
      <w:r>
        <w:softHyphen/>
        <w:t>сы спада. Очевидно, эти показатели  менялись в тесной зависимости. Пе</w:t>
      </w:r>
      <w:r>
        <w:softHyphen/>
        <w:t>рераспределение добавленной стоимо</w:t>
      </w:r>
      <w:r>
        <w:softHyphen/>
        <w:t>сти, происходившее в рамках инфля</w:t>
      </w:r>
      <w:r>
        <w:softHyphen/>
        <w:t>ции, определялось преимущественно "силой" сторон в переговорах о ценах поставок. Здесь играли роль следую</w:t>
      </w:r>
      <w:r>
        <w:softHyphen/>
        <w:t xml:space="preserve">щие факторы. </w:t>
      </w:r>
    </w:p>
    <w:p w:rsidR="006929DD" w:rsidRDefault="006929DD">
      <w:pPr>
        <w:widowControl w:val="0"/>
        <w:tabs>
          <w:tab w:val="left" w:pos="360"/>
        </w:tabs>
        <w:ind w:left="38" w:firstLine="701"/>
        <w:jc w:val="both"/>
      </w:pPr>
      <w:r>
        <w:rPr>
          <w:b/>
        </w:rPr>
        <w:t>-</w:t>
      </w:r>
      <w:r>
        <w:t xml:space="preserve"> Соотношение между внутрен</w:t>
      </w:r>
      <w:r>
        <w:softHyphen/>
        <w:t>ней и мировой ценой. Сырьевые от</w:t>
      </w:r>
      <w:r>
        <w:softHyphen/>
        <w:t>расли, имеющие благоприятные со</w:t>
      </w:r>
      <w:r>
        <w:softHyphen/>
        <w:t>отношения этих цен, получили воз</w:t>
      </w:r>
      <w:r>
        <w:softHyphen/>
        <w:t>можность экспортировать свою про</w:t>
      </w:r>
      <w:r>
        <w:softHyphen/>
        <w:t>дукцию по ценам, значительно пре</w:t>
      </w:r>
      <w:r>
        <w:softHyphen/>
        <w:t>вышающим внутренние. Это не толь</w:t>
      </w:r>
      <w:r>
        <w:softHyphen/>
        <w:t>ко усилило их переговорные позиции, но и привело к тому, что до недавне</w:t>
      </w:r>
      <w:r>
        <w:softHyphen/>
        <w:t>го времени они нередко вообще не бы</w:t>
      </w:r>
      <w:r>
        <w:softHyphen/>
        <w:t>ли заинтересованы в сохранении по</w:t>
      </w:r>
      <w:r>
        <w:softHyphen/>
        <w:t>купателя на внутреннем рынке (какая бы цена ни была согласована, экспор</w:t>
      </w:r>
      <w:r>
        <w:softHyphen/>
        <w:t>тные поставки все равно были выгод</w:t>
      </w:r>
      <w:r>
        <w:softHyphen/>
        <w:t>нее). Если сырьевые отрасли имели возможность вывозить свою продук</w:t>
      </w:r>
      <w:r>
        <w:softHyphen/>
        <w:t>цию, то производители потребитель</w:t>
      </w:r>
      <w:r>
        <w:softHyphen/>
        <w:t>ских товаров, наоборот, были вынуж</w:t>
      </w:r>
      <w:r>
        <w:softHyphen/>
        <w:t>дены бороться (и не слишком успеш</w:t>
      </w:r>
      <w:r>
        <w:softHyphen/>
        <w:t xml:space="preserve">но) с конкуренцией иностранных фирм на внутреннем рынке. </w:t>
      </w:r>
    </w:p>
    <w:p w:rsidR="006929DD" w:rsidRDefault="006929DD">
      <w:pPr>
        <w:widowControl w:val="0"/>
        <w:tabs>
          <w:tab w:val="left" w:pos="360"/>
        </w:tabs>
        <w:ind w:left="38" w:firstLine="701"/>
        <w:jc w:val="both"/>
      </w:pPr>
      <w:r>
        <w:rPr>
          <w:b/>
        </w:rPr>
        <w:t>-</w:t>
      </w:r>
      <w:r>
        <w:t xml:space="preserve"> Монопольная структура россий</w:t>
      </w:r>
      <w:r>
        <w:softHyphen/>
        <w:t>ской экономики. Средний размер про</w:t>
      </w:r>
      <w:r>
        <w:softHyphen/>
        <w:t>мышленного предприятия в нашей стра</w:t>
      </w:r>
      <w:r>
        <w:softHyphen/>
        <w:t>не в 10 раз выше, чем в США. Если там средняя численность работающих на одном предприятии составляет 80 чело</w:t>
      </w:r>
      <w:r>
        <w:softHyphen/>
        <w:t>век, то в России - 800. Заметим, что степень монополизации, грубо характе</w:t>
      </w:r>
      <w:r>
        <w:softHyphen/>
        <w:t>ризуемая размерами предприятий, за</w:t>
      </w:r>
      <w:r>
        <w:softHyphen/>
        <w:t>метно различалась по отраслям: она бы</w:t>
      </w:r>
      <w:r>
        <w:softHyphen/>
        <w:t>ла максимальной в отраслях тяжелой промышленности (где среднеотраслевая численность превышала 1,6 тысячи че</w:t>
      </w:r>
      <w:r>
        <w:softHyphen/>
        <w:t>ловек) и минимальной в отраслях потребительского сектора и сельском хо</w:t>
      </w:r>
      <w:r>
        <w:softHyphen/>
        <w:t>зяйстве (0,6 тысячи человек и менее). Анализ средних размеров предприятий по отраслям делают вполне обоснован</w:t>
      </w:r>
      <w:r>
        <w:softHyphen/>
        <w:t>ной гипотезу, что крупные размеры предприятий в отрасли - фактор, спо</w:t>
      </w:r>
      <w:r>
        <w:softHyphen/>
        <w:t xml:space="preserve">собствующий поддержанию высокого уровня относительных цен. </w:t>
      </w:r>
    </w:p>
    <w:p w:rsidR="006929DD" w:rsidRDefault="006929DD">
      <w:pPr>
        <w:pStyle w:val="31"/>
        <w:ind w:left="0" w:firstLine="709"/>
      </w:pPr>
      <w:r>
        <w:t>Отметим, что в индустриально раз</w:t>
      </w:r>
      <w:r>
        <w:softHyphen/>
        <w:t>витых странах важнейшее нормализу</w:t>
      </w:r>
      <w:r>
        <w:softHyphen/>
        <w:t>ющее влияние на стабилизацию цен и формирование их структуры оказы</w:t>
      </w:r>
      <w:r>
        <w:softHyphen/>
        <w:t>вают (особенно в последние десяти</w:t>
      </w:r>
      <w:r>
        <w:softHyphen/>
        <w:t>летия) ассоциации предприятий и крупные корпорации, связанные меж</w:t>
      </w:r>
      <w:r>
        <w:softHyphen/>
        <w:t>ду собой долгосрочными соглашени</w:t>
      </w:r>
      <w:r>
        <w:softHyphen/>
        <w:t>ями. Функции такой организацион</w:t>
      </w:r>
      <w:r>
        <w:softHyphen/>
        <w:t>ной системы во многом сходны с ро</w:t>
      </w:r>
      <w:r>
        <w:softHyphen/>
        <w:t>лью, выполнявшейся в СССР аппа</w:t>
      </w:r>
      <w:r>
        <w:softHyphen/>
        <w:t>ратом министерств и ведомств. В на</w:t>
      </w:r>
      <w:r>
        <w:softHyphen/>
        <w:t>стоящее время процесс образования в России финансово-промышленных групп и крупных корпораций только начался. Отсутствие юридически оформленных межотраслевых корпо</w:t>
      </w:r>
      <w:r>
        <w:softHyphen/>
        <w:t>раций - еще одна важная причина, затрудняющая формирование согласо</w:t>
      </w:r>
      <w:r>
        <w:softHyphen/>
        <w:t xml:space="preserve">ванной рациональной системы цен. </w:t>
      </w:r>
    </w:p>
    <w:p w:rsidR="006929DD" w:rsidRDefault="006929DD">
      <w:pPr>
        <w:pStyle w:val="20"/>
      </w:pPr>
      <w:r>
        <w:t>Данные о межотраслевых ценовых пропорциях полностью объяснимы приведенными факторами. Несколь</w:t>
      </w:r>
      <w:r>
        <w:softHyphen/>
        <w:t>ко выпадает на первый взгляд из об</w:t>
      </w:r>
      <w:r>
        <w:softHyphen/>
        <w:t>щей тенденции лишь пищевая промышленность. Однако ее сравнитель</w:t>
      </w:r>
      <w:r>
        <w:softHyphen/>
        <w:t>но высокий уровень цен может быть объяснен тем, что предприятия этой отрасли являются, как правило, "ло</w:t>
      </w:r>
      <w:r>
        <w:softHyphen/>
        <w:t>кальными монополистами", что по</w:t>
      </w:r>
      <w:r>
        <w:softHyphen/>
        <w:t>зволяет им диктовать цены произво</w:t>
      </w:r>
      <w:r>
        <w:softHyphen/>
        <w:t>дителям сельскохозяйственного сырья.</w:t>
      </w:r>
    </w:p>
    <w:p w:rsidR="006929DD" w:rsidRDefault="006929DD"/>
    <w:p w:rsidR="006929DD" w:rsidRDefault="006929DD">
      <w:pPr>
        <w:pStyle w:val="3"/>
      </w:pPr>
      <w:bookmarkStart w:id="46" w:name="_Toc533456920"/>
      <w:bookmarkStart w:id="47" w:name="_Toc533464819"/>
      <w:r>
        <w:t>2.2.2.Кредитная эмиссия ЦБ – главный источник инфляции</w:t>
      </w:r>
      <w:bookmarkEnd w:id="46"/>
      <w:bookmarkEnd w:id="47"/>
    </w:p>
    <w:p w:rsidR="006929DD" w:rsidRDefault="006929DD">
      <w:pPr>
        <w:widowControl w:val="0"/>
        <w:tabs>
          <w:tab w:val="left" w:pos="0"/>
        </w:tabs>
        <w:ind w:firstLine="709"/>
        <w:jc w:val="both"/>
        <w:rPr>
          <w:rFonts w:cs="Times New Roman"/>
        </w:rPr>
      </w:pPr>
      <w:r>
        <w:rPr>
          <w:rFonts w:cs="Times New Roman"/>
        </w:rPr>
        <w:t>По структуре активов Центрально</w:t>
      </w:r>
      <w:r>
        <w:rPr>
          <w:rFonts w:cs="Times New Roman"/>
        </w:rPr>
        <w:softHyphen/>
        <w:t>го банка можно судить о структуре источников инфляции, в нашем слу</w:t>
      </w:r>
      <w:r>
        <w:rPr>
          <w:rFonts w:cs="Times New Roman"/>
        </w:rPr>
        <w:softHyphen/>
        <w:t>чае - российской. Весь прирост ак</w:t>
      </w:r>
      <w:r>
        <w:rPr>
          <w:rFonts w:cs="Times New Roman"/>
        </w:rPr>
        <w:softHyphen/>
        <w:t xml:space="preserve">тивов за последние годы шел по пяти основным направлениям. </w:t>
      </w:r>
    </w:p>
    <w:p w:rsidR="006929DD" w:rsidRDefault="006929DD">
      <w:pPr>
        <w:widowControl w:val="0"/>
        <w:tabs>
          <w:tab w:val="left" w:pos="0"/>
        </w:tabs>
        <w:ind w:firstLine="567"/>
        <w:jc w:val="both"/>
        <w:rPr>
          <w:rFonts w:cs="Times New Roman"/>
        </w:rPr>
      </w:pPr>
      <w:r>
        <w:rPr>
          <w:rFonts w:cs="Times New Roman"/>
        </w:rPr>
        <w:t>1. Прирост чистых международных резервов в виде драгоценных метал</w:t>
      </w:r>
      <w:r>
        <w:rPr>
          <w:rFonts w:cs="Times New Roman"/>
        </w:rPr>
        <w:softHyphen/>
        <w:t xml:space="preserve">лов и увеличения чистой валютной позиции ЦБ. </w:t>
      </w:r>
    </w:p>
    <w:p w:rsidR="006929DD" w:rsidRDefault="006929DD">
      <w:pPr>
        <w:widowControl w:val="0"/>
        <w:tabs>
          <w:tab w:val="left" w:pos="0"/>
        </w:tabs>
        <w:ind w:firstLine="567"/>
        <w:jc w:val="both"/>
        <w:rPr>
          <w:rFonts w:cs="Times New Roman"/>
        </w:rPr>
      </w:pPr>
      <w:r>
        <w:rPr>
          <w:rFonts w:cs="Times New Roman"/>
        </w:rPr>
        <w:t>2. Прирост кредитов правительству (Минфину) в виде прямого креди</w:t>
      </w:r>
      <w:r>
        <w:rPr>
          <w:rFonts w:cs="Times New Roman"/>
        </w:rPr>
        <w:softHyphen/>
        <w:t>тования дефицита федерального бюд</w:t>
      </w:r>
      <w:r>
        <w:rPr>
          <w:rFonts w:cs="Times New Roman"/>
        </w:rPr>
        <w:softHyphen/>
        <w:t>жета, централизованных кредитов отдельным секторам экономики, а также в виде косвенного кредитова</w:t>
      </w:r>
      <w:r>
        <w:rPr>
          <w:rFonts w:cs="Times New Roman"/>
        </w:rPr>
        <w:softHyphen/>
        <w:t xml:space="preserve">ния дефицита путем приобретения государственных ценных бумаг. </w:t>
      </w:r>
    </w:p>
    <w:p w:rsidR="006929DD" w:rsidRDefault="006929DD">
      <w:pPr>
        <w:widowControl w:val="0"/>
        <w:tabs>
          <w:tab w:val="left" w:pos="0"/>
        </w:tabs>
        <w:ind w:firstLine="567"/>
        <w:jc w:val="both"/>
        <w:rPr>
          <w:rFonts w:cs="Times New Roman"/>
        </w:rPr>
      </w:pPr>
      <w:r>
        <w:rPr>
          <w:rFonts w:cs="Times New Roman"/>
        </w:rPr>
        <w:t>3. Прирост кредитов коммерчес</w:t>
      </w:r>
      <w:r>
        <w:rPr>
          <w:rFonts w:cs="Times New Roman"/>
        </w:rPr>
        <w:softHyphen/>
        <w:t>ким банкам как в виде прямого кре</w:t>
      </w:r>
      <w:r>
        <w:rPr>
          <w:rFonts w:cs="Times New Roman"/>
        </w:rPr>
        <w:softHyphen/>
        <w:t>дитования путем предоставления централизованных кредитов, через «открытое окошко», кредитные аук</w:t>
      </w:r>
      <w:r>
        <w:rPr>
          <w:rFonts w:cs="Times New Roman"/>
        </w:rPr>
        <w:softHyphen/>
        <w:t>ционы, в виде овердрафта, при про</w:t>
      </w:r>
      <w:r>
        <w:rPr>
          <w:rFonts w:cs="Times New Roman"/>
        </w:rPr>
        <w:softHyphen/>
        <w:t xml:space="preserve">ведении операций типа «репа» - выкупа у банков государственных ценных бумаг. </w:t>
      </w:r>
    </w:p>
    <w:p w:rsidR="006929DD" w:rsidRDefault="006929DD">
      <w:pPr>
        <w:widowControl w:val="0"/>
        <w:tabs>
          <w:tab w:val="left" w:pos="0"/>
        </w:tabs>
        <w:ind w:firstLine="567"/>
        <w:jc w:val="both"/>
        <w:rPr>
          <w:rFonts w:cs="Times New Roman"/>
        </w:rPr>
      </w:pPr>
      <w:r>
        <w:rPr>
          <w:rFonts w:cs="Times New Roman"/>
        </w:rPr>
        <w:t>4. Прирост кредитов «прочим за</w:t>
      </w:r>
      <w:r>
        <w:rPr>
          <w:rFonts w:cs="Times New Roman"/>
        </w:rPr>
        <w:softHyphen/>
        <w:t>емщикам» - незначительное креди</w:t>
      </w:r>
      <w:r>
        <w:rPr>
          <w:rFonts w:cs="Times New Roman"/>
        </w:rPr>
        <w:softHyphen/>
        <w:t>тование отдельных предприятий не</w:t>
      </w:r>
      <w:r>
        <w:rPr>
          <w:rFonts w:cs="Times New Roman"/>
        </w:rPr>
        <w:softHyphen/>
        <w:t>посредственно ЦБ, минуя коммер</w:t>
      </w:r>
      <w:r>
        <w:rPr>
          <w:rFonts w:cs="Times New Roman"/>
        </w:rPr>
        <w:softHyphen/>
        <w:t xml:space="preserve">ческие банки, что имело место в 1992-1993 гг. </w:t>
      </w:r>
    </w:p>
    <w:p w:rsidR="006929DD" w:rsidRDefault="006929DD">
      <w:pPr>
        <w:widowControl w:val="0"/>
        <w:tabs>
          <w:tab w:val="left" w:pos="0"/>
        </w:tabs>
        <w:ind w:firstLine="567"/>
        <w:jc w:val="both"/>
        <w:rPr>
          <w:rFonts w:cs="Times New Roman"/>
        </w:rPr>
      </w:pPr>
      <w:r>
        <w:rPr>
          <w:rFonts w:cs="Times New Roman"/>
        </w:rPr>
        <w:t>5. Прирост кредитов, предостав</w:t>
      </w:r>
      <w:r>
        <w:rPr>
          <w:rFonts w:cs="Times New Roman"/>
        </w:rPr>
        <w:softHyphen/>
        <w:t xml:space="preserve">ленных государствам рублевой зоны. </w:t>
      </w:r>
    </w:p>
    <w:p w:rsidR="006929DD" w:rsidRDefault="006929DD">
      <w:pPr>
        <w:pStyle w:val="20"/>
        <w:widowControl w:val="0"/>
        <w:tabs>
          <w:tab w:val="clear" w:pos="360"/>
          <w:tab w:val="left" w:pos="0"/>
        </w:tabs>
      </w:pPr>
      <w:r>
        <w:t>Темпы прироста активов Централь</w:t>
      </w:r>
      <w:r>
        <w:softHyphen/>
        <w:t>ного банка России были наиболее высокими в 1992 году. Высокое со</w:t>
      </w:r>
      <w:r>
        <w:softHyphen/>
        <w:t>отношение приростов его активов к валовому внутреннему продукту - 41,1% - было обусловлено, прежде всего, масштабным кредитованием, как государственного бюдже</w:t>
      </w:r>
      <w:r>
        <w:softHyphen/>
        <w:t>та, так и коммерческих банков и го</w:t>
      </w:r>
      <w:r>
        <w:softHyphen/>
        <w:t xml:space="preserve">сударств рублевой зоны. </w:t>
      </w:r>
    </w:p>
    <w:p w:rsidR="006929DD" w:rsidRDefault="006929DD">
      <w:pPr>
        <w:widowControl w:val="0"/>
        <w:tabs>
          <w:tab w:val="left" w:pos="0"/>
        </w:tabs>
        <w:ind w:firstLine="709"/>
        <w:jc w:val="both"/>
        <w:rPr>
          <w:rFonts w:cs="Times New Roman"/>
        </w:rPr>
      </w:pPr>
      <w:r>
        <w:rPr>
          <w:rFonts w:cs="Times New Roman"/>
        </w:rPr>
        <w:t>В 1993 году российскому прави</w:t>
      </w:r>
      <w:r>
        <w:rPr>
          <w:rFonts w:cs="Times New Roman"/>
        </w:rPr>
        <w:softHyphen/>
        <w:t>тельству удалось существенно сокра</w:t>
      </w:r>
      <w:r>
        <w:rPr>
          <w:rFonts w:cs="Times New Roman"/>
        </w:rPr>
        <w:softHyphen/>
        <w:t>тить величину бюджетного дефици</w:t>
      </w:r>
      <w:r>
        <w:rPr>
          <w:rFonts w:cs="Times New Roman"/>
        </w:rPr>
        <w:softHyphen/>
        <w:t>та (</w:t>
      </w:r>
      <w:r>
        <w:rPr>
          <w:rFonts w:cs="Times New Roman"/>
          <w:i/>
          <w:iCs/>
        </w:rPr>
        <w:t>приложение Д</w:t>
      </w:r>
      <w:r>
        <w:rPr>
          <w:rFonts w:cs="Times New Roman"/>
        </w:rPr>
        <w:t xml:space="preserve">), что уменьшило потребность в кредитах ЦБ. Кроме того, к концу года было полностью прекращено кредитование государств рублевой зоны. В то же время существенно увеличился удельный вес кредитов коммерческим банкам. В целом прирост активов ЦБ снизился до 17,7% ВВП. </w:t>
      </w:r>
    </w:p>
    <w:p w:rsidR="006929DD" w:rsidRDefault="006929DD">
      <w:pPr>
        <w:widowControl w:val="0"/>
        <w:tabs>
          <w:tab w:val="left" w:pos="0"/>
        </w:tabs>
        <w:ind w:firstLine="709"/>
        <w:jc w:val="both"/>
        <w:rPr>
          <w:rFonts w:cs="Times New Roman"/>
        </w:rPr>
      </w:pPr>
      <w:r>
        <w:rPr>
          <w:rFonts w:cs="Times New Roman"/>
        </w:rPr>
        <w:t>В 1994 году ЦБ прекратил выдачу кредитов коммерческим банкам по субсидированным ставкам. В то же время он был вынужден увеличить кредитование дефицита бюджета, существенно возросшего по сравне</w:t>
      </w:r>
      <w:r>
        <w:rPr>
          <w:rFonts w:cs="Times New Roman"/>
        </w:rPr>
        <w:softHyphen/>
        <w:t xml:space="preserve">нию с 1993 годом. На эти цели был направлен практически весь прирост кредитов Центробанка, составивший 12,6 процента ВВП. </w:t>
      </w:r>
    </w:p>
    <w:p w:rsidR="006929DD" w:rsidRDefault="006929DD">
      <w:pPr>
        <w:widowControl w:val="0"/>
        <w:tabs>
          <w:tab w:val="left" w:pos="0"/>
        </w:tabs>
        <w:ind w:firstLine="709"/>
        <w:jc w:val="both"/>
        <w:rPr>
          <w:rFonts w:cs="Times New Roman"/>
        </w:rPr>
      </w:pPr>
      <w:r>
        <w:rPr>
          <w:rFonts w:cs="Times New Roman"/>
        </w:rPr>
        <w:t>Переход к не эмиссионному финан</w:t>
      </w:r>
      <w:r>
        <w:rPr>
          <w:rFonts w:cs="Times New Roman"/>
        </w:rPr>
        <w:softHyphen/>
        <w:t>сированию дефицита бюджета в 1995 году закрыл и этот источник кредит</w:t>
      </w:r>
      <w:r>
        <w:rPr>
          <w:rFonts w:cs="Times New Roman"/>
        </w:rPr>
        <w:softHyphen/>
        <w:t>ной эмиссии. Практически весь при</w:t>
      </w:r>
      <w:r>
        <w:rPr>
          <w:rFonts w:cs="Times New Roman"/>
        </w:rPr>
        <w:softHyphen/>
        <w:t>рост активов ЦБ в 1995 году, соста</w:t>
      </w:r>
      <w:r>
        <w:rPr>
          <w:rFonts w:cs="Times New Roman"/>
        </w:rPr>
        <w:softHyphen/>
        <w:t xml:space="preserve">вивший 3,9% а </w:t>
      </w:r>
      <w:r>
        <w:rPr>
          <w:rFonts w:cs="Times New Roman"/>
          <w:bCs/>
        </w:rPr>
        <w:t>ВВП</w:t>
      </w:r>
      <w:r>
        <w:rPr>
          <w:rFonts w:cs="Times New Roman"/>
          <w:b/>
        </w:rPr>
        <w:t xml:space="preserve">, </w:t>
      </w:r>
      <w:r>
        <w:rPr>
          <w:rFonts w:cs="Times New Roman"/>
        </w:rPr>
        <w:t xml:space="preserve">был обусловлен увеличением валютных резервов денежных властей. </w:t>
      </w:r>
    </w:p>
    <w:p w:rsidR="006929DD" w:rsidRDefault="006929DD">
      <w:pPr>
        <w:widowControl w:val="0"/>
        <w:tabs>
          <w:tab w:val="left" w:pos="0"/>
        </w:tabs>
        <w:ind w:firstLine="709"/>
        <w:jc w:val="both"/>
        <w:rPr>
          <w:rFonts w:cs="Times New Roman"/>
          <w:b/>
        </w:rPr>
      </w:pPr>
      <w:r>
        <w:rPr>
          <w:rFonts w:cs="Times New Roman"/>
        </w:rPr>
        <w:t>В начале 1996 года основной при</w:t>
      </w:r>
      <w:r>
        <w:rPr>
          <w:rFonts w:cs="Times New Roman"/>
        </w:rPr>
        <w:softHyphen/>
        <w:t>рост активов ЦБ был направлен на косвенное кредитование государст</w:t>
      </w:r>
      <w:r>
        <w:rPr>
          <w:rFonts w:cs="Times New Roman"/>
        </w:rPr>
        <w:softHyphen/>
        <w:t>венного бюджета. Общий прирост активов Центробанка в первом квар</w:t>
      </w:r>
      <w:r>
        <w:rPr>
          <w:rFonts w:cs="Times New Roman"/>
        </w:rPr>
        <w:softHyphen/>
        <w:t xml:space="preserve">тале 1996 года составил 5,0% </w:t>
      </w:r>
      <w:r>
        <w:rPr>
          <w:rFonts w:cs="Times New Roman"/>
          <w:bCs/>
        </w:rPr>
        <w:t>ВВП</w:t>
      </w:r>
      <w:r>
        <w:rPr>
          <w:rFonts w:cs="Times New Roman"/>
          <w:b/>
        </w:rPr>
        <w:t xml:space="preserve">. </w:t>
      </w:r>
    </w:p>
    <w:p w:rsidR="006929DD" w:rsidRDefault="006929DD">
      <w:pPr>
        <w:widowControl w:val="0"/>
        <w:tabs>
          <w:tab w:val="left" w:pos="0"/>
        </w:tabs>
        <w:ind w:firstLine="709"/>
        <w:jc w:val="both"/>
        <w:rPr>
          <w:rFonts w:cs="Times New Roman"/>
        </w:rPr>
      </w:pPr>
      <w:r>
        <w:rPr>
          <w:rFonts w:cs="Times New Roman"/>
        </w:rPr>
        <w:t>Наращивание кредитной эмиссии Центрального банка приводит к воз</w:t>
      </w:r>
      <w:r>
        <w:rPr>
          <w:rFonts w:cs="Times New Roman"/>
        </w:rPr>
        <w:softHyphen/>
        <w:t>растанию объемов денежной базы и денежной массы. Наиболее высокие темпы прироста денежной массы (аг</w:t>
      </w:r>
      <w:r>
        <w:rPr>
          <w:rFonts w:cs="Times New Roman"/>
        </w:rPr>
        <w:softHyphen/>
        <w:t>регат М2) наблюдались в 1992 году - в среднем 19,9% в месяц. Затем в результате перехода к уме</w:t>
      </w:r>
      <w:r>
        <w:rPr>
          <w:rFonts w:cs="Times New Roman"/>
        </w:rPr>
        <w:softHyphen/>
        <w:t>ренно ограничительной, ограничи</w:t>
      </w:r>
      <w:r>
        <w:rPr>
          <w:rFonts w:cs="Times New Roman"/>
        </w:rPr>
        <w:softHyphen/>
        <w:t>тельной, а затем и достаточно сдер</w:t>
      </w:r>
      <w:r>
        <w:rPr>
          <w:rFonts w:cs="Times New Roman"/>
        </w:rPr>
        <w:softHyphen/>
        <w:t>жанной денежно-кредитной полити</w:t>
      </w:r>
      <w:r>
        <w:rPr>
          <w:rFonts w:cs="Times New Roman"/>
        </w:rPr>
        <w:softHyphen/>
        <w:t>ке ее темпы последовательно снижа</w:t>
      </w:r>
      <w:r>
        <w:rPr>
          <w:rFonts w:cs="Times New Roman"/>
        </w:rPr>
        <w:softHyphen/>
        <w:t xml:space="preserve">лись - до 13% в 1993-м, 9,5% - в 1994-м, 4,7% - в 1995-м и 3% - в первом квартале 1996 года. </w:t>
      </w:r>
    </w:p>
    <w:p w:rsidR="006929DD" w:rsidRDefault="006929DD">
      <w:pPr>
        <w:widowControl w:val="0"/>
        <w:tabs>
          <w:tab w:val="left" w:pos="0"/>
        </w:tabs>
        <w:ind w:firstLine="709"/>
        <w:jc w:val="both"/>
        <w:rPr>
          <w:rFonts w:cs="Times New Roman"/>
        </w:rPr>
      </w:pPr>
      <w:r>
        <w:rPr>
          <w:rFonts w:cs="Times New Roman"/>
        </w:rPr>
        <w:t>Другим важнейшим фактором, постоянно влиявшим на темпы инфляции, выступала скорость денеж</w:t>
      </w:r>
      <w:r>
        <w:rPr>
          <w:rFonts w:cs="Times New Roman"/>
        </w:rPr>
        <w:softHyphen/>
        <w:t>ного обращения. За последние годы динамика этого показателя несколь</w:t>
      </w:r>
      <w:r>
        <w:rPr>
          <w:rFonts w:cs="Times New Roman"/>
        </w:rPr>
        <w:softHyphen/>
        <w:t>ко раз менялась, что свидетельство</w:t>
      </w:r>
      <w:r>
        <w:rPr>
          <w:rFonts w:cs="Times New Roman"/>
        </w:rPr>
        <w:softHyphen/>
        <w:t>вало о серьезных изменениях в рос</w:t>
      </w:r>
      <w:r>
        <w:rPr>
          <w:rFonts w:cs="Times New Roman"/>
        </w:rPr>
        <w:softHyphen/>
        <w:t xml:space="preserve">сийском денежном механизме. </w:t>
      </w:r>
    </w:p>
    <w:p w:rsidR="006929DD" w:rsidRDefault="006929DD">
      <w:pPr>
        <w:widowControl w:val="0"/>
        <w:tabs>
          <w:tab w:val="left" w:pos="0"/>
        </w:tabs>
        <w:ind w:firstLine="709"/>
        <w:jc w:val="both"/>
        <w:rPr>
          <w:rFonts w:cs="Times New Roman"/>
        </w:rPr>
      </w:pPr>
      <w:r>
        <w:rPr>
          <w:rFonts w:cs="Times New Roman"/>
        </w:rPr>
        <w:t>В первой половине 1992 года его значение росло, в августе - ноябре того же года - падало. С декабря 1992 года по апрель 1994 года скорость об</w:t>
      </w:r>
      <w:r>
        <w:rPr>
          <w:rFonts w:cs="Times New Roman"/>
        </w:rPr>
        <w:softHyphen/>
        <w:t>ращения денег в российской эконо</w:t>
      </w:r>
      <w:r>
        <w:rPr>
          <w:rFonts w:cs="Times New Roman"/>
        </w:rPr>
        <w:softHyphen/>
        <w:t>мике вновь стабильно возрастала, увеличившись за полтора года почти вдвое - с 5,4 до 10,6 раза. После короткого периода уменьшения до 8,8 раза в мае-августе 1994 года в течение следующего года она устой</w:t>
      </w:r>
      <w:r>
        <w:rPr>
          <w:rFonts w:cs="Times New Roman"/>
        </w:rPr>
        <w:softHyphen/>
        <w:t>чиво росла, поднявшись к сентябрю 1995 года на 35% - до 1,8 раза. Однако явное приближение финансовой стабилизации осенью 1995 года способствовало резкому сокращению скорости денежного обращения: за октябрь 1995 года - март 1996 года она упала на 25%.</w:t>
      </w:r>
    </w:p>
    <w:p w:rsidR="006929DD" w:rsidRDefault="006929DD">
      <w:pPr>
        <w:widowControl w:val="0"/>
        <w:tabs>
          <w:tab w:val="left" w:pos="0"/>
        </w:tabs>
        <w:ind w:firstLine="709"/>
        <w:jc w:val="both"/>
        <w:rPr>
          <w:rFonts w:cs="Times New Roman"/>
        </w:rPr>
      </w:pPr>
      <w:r>
        <w:rPr>
          <w:rFonts w:cs="Times New Roman"/>
        </w:rPr>
        <w:t>В результате взаимодействия обо</w:t>
      </w:r>
      <w:r>
        <w:rPr>
          <w:rFonts w:cs="Times New Roman"/>
        </w:rPr>
        <w:softHyphen/>
        <w:t>их важнейших факторов инфляции - динамики денежной массы и скоро</w:t>
      </w:r>
      <w:r>
        <w:rPr>
          <w:rFonts w:cs="Times New Roman"/>
        </w:rPr>
        <w:softHyphen/>
        <w:t>сти ее обращения - среднемесячные темпы инфляции последовательно снижались. Если в 1992 году они до</w:t>
      </w:r>
      <w:r>
        <w:rPr>
          <w:rFonts w:cs="Times New Roman"/>
        </w:rPr>
        <w:softHyphen/>
        <w:t>стигали 31,2%, то в 1993 году:</w:t>
      </w:r>
    </w:p>
    <w:p w:rsidR="006929DD" w:rsidRDefault="006929DD">
      <w:pPr>
        <w:pStyle w:val="20"/>
        <w:widowControl w:val="0"/>
        <w:tabs>
          <w:tab w:val="clear" w:pos="360"/>
          <w:tab w:val="left" w:pos="0"/>
        </w:tabs>
      </w:pPr>
      <w:r>
        <w:t xml:space="preserve">- 20,6, в 1994-м - 10,0, в 1995-м - 7,2, а в первой половине 1996 года они упали до 2,5 процента,  а в таблице указаны еженедельные темпы инфляции за период с 27 февраля по 9 апреля 1997 года. </w:t>
      </w:r>
    </w:p>
    <w:p w:rsidR="006929DD" w:rsidRDefault="006929DD">
      <w:pPr>
        <w:pStyle w:val="4"/>
        <w:widowControl w:val="0"/>
        <w:tabs>
          <w:tab w:val="left" w:pos="-284"/>
        </w:tabs>
        <w:rPr>
          <w:rFonts w:cs="Times New Roman"/>
          <w:iCs/>
        </w:rPr>
      </w:pPr>
      <w:bookmarkStart w:id="48" w:name="_Toc533453247"/>
      <w:bookmarkStart w:id="49" w:name="_Toc533454974"/>
      <w:bookmarkStart w:id="50" w:name="_Toc533455151"/>
      <w:bookmarkStart w:id="51" w:name="_Toc533456921"/>
      <w:r>
        <w:rPr>
          <w:rFonts w:cs="Times New Roman"/>
          <w:iCs/>
        </w:rPr>
        <w:t>Табл.4</w:t>
      </w:r>
      <w:bookmarkEnd w:id="48"/>
      <w:bookmarkEnd w:id="49"/>
      <w:bookmarkEnd w:id="50"/>
      <w:bookmarkEnd w:id="51"/>
    </w:p>
    <w:p w:rsidR="006929DD" w:rsidRDefault="006929DD">
      <w:pPr>
        <w:widowControl w:val="0"/>
        <w:tabs>
          <w:tab w:val="left" w:pos="1843"/>
        </w:tabs>
        <w:ind w:left="2268" w:firstLine="709"/>
        <w:jc w:val="both"/>
        <w:rPr>
          <w:rFonts w:cs="Times New Roman"/>
        </w:rPr>
      </w:pPr>
      <w:r>
        <w:rPr>
          <w:rFonts w:cs="Times New Roman"/>
        </w:rPr>
        <w:t xml:space="preserve"> Еженедельные темпы инфляции (%).</w:t>
      </w:r>
    </w:p>
    <w:tbl>
      <w:tblPr>
        <w:tblW w:w="9240" w:type="dxa"/>
        <w:jc w:val="center"/>
        <w:tblLayout w:type="fixed"/>
        <w:tblCellMar>
          <w:left w:w="0" w:type="dxa"/>
          <w:right w:w="0" w:type="dxa"/>
        </w:tblCellMar>
        <w:tblLook w:val="0000" w:firstRow="0" w:lastRow="0" w:firstColumn="0" w:lastColumn="0" w:noHBand="0" w:noVBand="0"/>
      </w:tblPr>
      <w:tblGrid>
        <w:gridCol w:w="1459"/>
        <w:gridCol w:w="1459"/>
        <w:gridCol w:w="1621"/>
        <w:gridCol w:w="1621"/>
        <w:gridCol w:w="806"/>
        <w:gridCol w:w="825"/>
        <w:gridCol w:w="1449"/>
      </w:tblGrid>
      <w:tr w:rsidR="006929DD">
        <w:trPr>
          <w:trHeight w:val="255"/>
          <w:jc w:val="center"/>
        </w:trPr>
        <w:tc>
          <w:tcPr>
            <w:tcW w:w="6966" w:type="dxa"/>
            <w:gridSpan w:val="5"/>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6929DD" w:rsidRDefault="006929DD">
            <w:pPr>
              <w:jc w:val="center"/>
              <w:rPr>
                <w:rFonts w:cs="Times New Roman"/>
                <w:b/>
                <w:bCs/>
              </w:rPr>
            </w:pPr>
            <w:r>
              <w:rPr>
                <w:rFonts w:cs="Times New Roman" w:hint="eastAsia"/>
                <w:b/>
                <w:bCs/>
              </w:rPr>
              <w:t>Март</w:t>
            </w:r>
          </w:p>
        </w:tc>
        <w:tc>
          <w:tcPr>
            <w:tcW w:w="2274" w:type="dxa"/>
            <w:gridSpan w:val="2"/>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6929DD" w:rsidRDefault="006929DD">
            <w:pPr>
              <w:jc w:val="center"/>
              <w:rPr>
                <w:rFonts w:cs="Times New Roman"/>
                <w:b/>
                <w:bCs/>
              </w:rPr>
            </w:pPr>
            <w:r>
              <w:rPr>
                <w:rFonts w:cs="Times New Roman" w:hint="eastAsia"/>
                <w:b/>
                <w:bCs/>
              </w:rPr>
              <w:t>Апрель</w:t>
            </w:r>
          </w:p>
        </w:tc>
      </w:tr>
      <w:tr w:rsidR="006929DD">
        <w:trPr>
          <w:trHeight w:val="255"/>
          <w:jc w:val="center"/>
        </w:trPr>
        <w:tc>
          <w:tcPr>
            <w:tcW w:w="14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929DD" w:rsidRDefault="006929DD">
            <w:pPr>
              <w:rPr>
                <w:rFonts w:cs="Times New Roman"/>
              </w:rPr>
            </w:pPr>
            <w:r>
              <w:rPr>
                <w:rFonts w:cs="Times New Roman"/>
              </w:rPr>
              <w:t>27.02-5.03</w:t>
            </w:r>
          </w:p>
        </w:tc>
        <w:tc>
          <w:tcPr>
            <w:tcW w:w="14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rPr>
                <w:rFonts w:cs="Times New Roman"/>
              </w:rPr>
            </w:pPr>
            <w:r>
              <w:rPr>
                <w:rFonts w:cs="Times New Roman"/>
              </w:rPr>
              <w:t>6.03-12.03</w:t>
            </w:r>
          </w:p>
        </w:tc>
        <w:tc>
          <w:tcPr>
            <w:tcW w:w="16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rPr>
                <w:rFonts w:cs="Times New Roman"/>
              </w:rPr>
            </w:pPr>
            <w:r>
              <w:rPr>
                <w:rFonts w:cs="Times New Roman"/>
              </w:rPr>
              <w:t>13.03-19.03</w:t>
            </w:r>
          </w:p>
        </w:tc>
        <w:tc>
          <w:tcPr>
            <w:tcW w:w="16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rPr>
                <w:rFonts w:cs="Times New Roman"/>
              </w:rPr>
            </w:pPr>
            <w:r>
              <w:rPr>
                <w:rFonts w:cs="Times New Roman"/>
              </w:rPr>
              <w:t>20.03-26.03</w:t>
            </w:r>
          </w:p>
        </w:tc>
        <w:tc>
          <w:tcPr>
            <w:tcW w:w="163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rPr>
                <w:rFonts w:cs="Times New Roman"/>
              </w:rPr>
            </w:pPr>
            <w:r>
              <w:rPr>
                <w:rFonts w:cs="Times New Roman"/>
              </w:rPr>
              <w:t>27.03-2.04</w:t>
            </w:r>
          </w:p>
        </w:tc>
        <w:tc>
          <w:tcPr>
            <w:tcW w:w="14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rPr>
                <w:rFonts w:cs="Times New Roman"/>
              </w:rPr>
            </w:pPr>
            <w:r>
              <w:rPr>
                <w:rFonts w:cs="Times New Roman"/>
              </w:rPr>
              <w:t>3.04-9.04</w:t>
            </w:r>
          </w:p>
        </w:tc>
      </w:tr>
      <w:tr w:rsidR="006929DD">
        <w:trPr>
          <w:trHeight w:val="255"/>
          <w:jc w:val="center"/>
        </w:trPr>
        <w:tc>
          <w:tcPr>
            <w:tcW w:w="14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929DD" w:rsidRDefault="006929DD">
            <w:pPr>
              <w:jc w:val="right"/>
              <w:rPr>
                <w:rFonts w:cs="Times New Roman"/>
              </w:rPr>
            </w:pPr>
            <w:r>
              <w:rPr>
                <w:rFonts w:cs="Times New Roman"/>
              </w:rPr>
              <w:t>0,30%</w:t>
            </w:r>
          </w:p>
        </w:tc>
        <w:tc>
          <w:tcPr>
            <w:tcW w:w="14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jc w:val="right"/>
              <w:rPr>
                <w:rFonts w:cs="Times New Roman"/>
              </w:rPr>
            </w:pPr>
            <w:r>
              <w:rPr>
                <w:rFonts w:cs="Times New Roman"/>
              </w:rPr>
              <w:t>0,40%</w:t>
            </w:r>
          </w:p>
        </w:tc>
        <w:tc>
          <w:tcPr>
            <w:tcW w:w="16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jc w:val="right"/>
              <w:rPr>
                <w:rFonts w:cs="Times New Roman"/>
              </w:rPr>
            </w:pPr>
            <w:r>
              <w:rPr>
                <w:rFonts w:cs="Times New Roman"/>
              </w:rPr>
              <w:t>0,30%</w:t>
            </w:r>
          </w:p>
        </w:tc>
        <w:tc>
          <w:tcPr>
            <w:tcW w:w="162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jc w:val="right"/>
              <w:rPr>
                <w:rFonts w:cs="Times New Roman"/>
              </w:rPr>
            </w:pPr>
            <w:r>
              <w:rPr>
                <w:rFonts w:cs="Times New Roman"/>
              </w:rPr>
              <w:t>0,30%</w:t>
            </w:r>
          </w:p>
        </w:tc>
        <w:tc>
          <w:tcPr>
            <w:tcW w:w="163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jc w:val="right"/>
              <w:rPr>
                <w:rFonts w:cs="Times New Roman"/>
              </w:rPr>
            </w:pPr>
            <w:r>
              <w:rPr>
                <w:rFonts w:cs="Times New Roman"/>
              </w:rPr>
              <w:t>0,20%</w:t>
            </w:r>
          </w:p>
        </w:tc>
        <w:tc>
          <w:tcPr>
            <w:tcW w:w="14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929DD" w:rsidRDefault="006929DD">
            <w:pPr>
              <w:jc w:val="right"/>
              <w:rPr>
                <w:rFonts w:cs="Times New Roman"/>
              </w:rPr>
            </w:pPr>
            <w:r>
              <w:rPr>
                <w:rFonts w:cs="Times New Roman"/>
              </w:rPr>
              <w:t>0,20%</w:t>
            </w:r>
          </w:p>
        </w:tc>
      </w:tr>
    </w:tbl>
    <w:p w:rsidR="006929DD" w:rsidRDefault="006929DD">
      <w:pPr>
        <w:widowControl w:val="0"/>
        <w:tabs>
          <w:tab w:val="left" w:pos="1843"/>
        </w:tabs>
        <w:ind w:left="2268" w:firstLine="709"/>
        <w:jc w:val="both"/>
        <w:rPr>
          <w:rFonts w:cs="Times New Roman"/>
        </w:rPr>
      </w:pPr>
    </w:p>
    <w:p w:rsidR="006929DD" w:rsidRDefault="006929DD">
      <w:pPr>
        <w:pStyle w:val="20"/>
        <w:tabs>
          <w:tab w:val="clear" w:pos="360"/>
          <w:tab w:val="left" w:pos="0"/>
        </w:tabs>
      </w:pPr>
      <w:r>
        <w:t>Таким образом, за последние пять лет произошел последовательный переход российского правительства и Центрального банка от весьма мяг</w:t>
      </w:r>
      <w:r>
        <w:softHyphen/>
        <w:t>кой денежно-кредитной политики к умеренной и, наконец, к достаточ</w:t>
      </w:r>
      <w:r>
        <w:softHyphen/>
        <w:t>но сдержанной. Закономерным ре</w:t>
      </w:r>
      <w:r>
        <w:softHyphen/>
        <w:t>зультатом этого стало последователь</w:t>
      </w:r>
      <w:r>
        <w:softHyphen/>
        <w:t>ное замедление темпов инфляции.</w:t>
      </w:r>
    </w:p>
    <w:p w:rsidR="006929DD" w:rsidRDefault="006929DD">
      <w:pPr>
        <w:pStyle w:val="3"/>
      </w:pPr>
      <w:bookmarkStart w:id="52" w:name="_Toc533456922"/>
      <w:bookmarkStart w:id="53" w:name="_Toc533464820"/>
      <w:r>
        <w:t>2.2.3.Причины кризиса 17 августа 1998 г.</w:t>
      </w:r>
      <w:bookmarkEnd w:id="52"/>
      <w:bookmarkEnd w:id="53"/>
    </w:p>
    <w:p w:rsidR="006929DD" w:rsidRDefault="006929DD">
      <w:pPr>
        <w:pStyle w:val="a5"/>
        <w:suppressAutoHyphens w:val="0"/>
      </w:pPr>
      <w:r>
        <w:t>Воздействие государства на экономику, особенно через систему финансовых регуляторов, требует создания новых для постсоциалистических стран экономических механизмов и глубокой реформы действующих механизмов. В противном случае постсоциалистическое государство теряет способность выполнять те функции, которые присущи государству в рыночной экономике. Это может провоцировать кризисы в переходной экономике, которая и без того переживает трудные времена. Например, нереформированность бюджетной системы в России послужила в конечном итоге причиной обвала экономики в августе 1998 г.</w:t>
      </w:r>
    </w:p>
    <w:p w:rsidR="006929DD" w:rsidRDefault="006929DD">
      <w:pPr>
        <w:ind w:firstLine="720"/>
        <w:jc w:val="both"/>
        <w:rPr>
          <w:i/>
          <w:iCs/>
        </w:rPr>
      </w:pPr>
      <w:r>
        <w:t xml:space="preserve">За десятилетия господства командно-административной системы в нашей стране созданы мощная промышленность, сильная армия и большая социальная сфера, которые целиком и полностью финансировались государством. После начала реформ потребность в их финансировании со стороны государства сохранилась на очень высоком уровне. Социальная сфера и особенно армия в принципе существуют только за счет бюджета, а промышленность оказалась в таком глубоком кризисе, что также не может обойтись без тех или иных форм государственной поддержки. Иными словами, </w:t>
      </w:r>
      <w:r>
        <w:rPr>
          <w:i/>
          <w:iCs/>
        </w:rPr>
        <w:t>сохранились высокие обязательства государства.</w:t>
      </w:r>
    </w:p>
    <w:p w:rsidR="006929DD" w:rsidRDefault="006929DD">
      <w:pPr>
        <w:pStyle w:val="a5"/>
        <w:suppressAutoHyphens w:val="0"/>
      </w:pPr>
      <w:r>
        <w:t>Но доходная часть бюджета резко сократилась за счет спада производства, неудачной системы налогообложения, огромного развития теневого сектора и утечки капитала за границу. Дефицит госбюджета в годы реформ ежегодно составлял огромную цифру – 5-10% ВВП (</w:t>
      </w:r>
      <w:r>
        <w:rPr>
          <w:i/>
          <w:iCs/>
        </w:rPr>
        <w:t>приложение Д</w:t>
      </w:r>
      <w:r>
        <w:t>).</w:t>
      </w:r>
    </w:p>
    <w:p w:rsidR="006929DD" w:rsidRDefault="006929DD">
      <w:pPr>
        <w:pStyle w:val="a5"/>
        <w:suppressAutoHyphens w:val="0"/>
      </w:pPr>
      <w:r>
        <w:t>Бюджетный кризис обусловил неуклонное углубление кризиса производства. Дело в том, что при хронической нехватке средств в казне государство оказалось лишенным возможности оказывать действенную поддержку промышленности. Основная часть средств бюджета направляется на погашение обязательств перед работниками бюджетной сферы и содержание армии, здравоохранения, образования и социального обеспечения. Этих средств, однако, не хватает, что порождает хроническую задолженность государства по выплате заработной плате.</w:t>
      </w:r>
    </w:p>
    <w:p w:rsidR="006929DD" w:rsidRDefault="006929DD">
      <w:pPr>
        <w:ind w:firstLine="720"/>
        <w:jc w:val="both"/>
      </w:pPr>
      <w:r>
        <w:t>Несмотря на неизбежность бюджетного кризиса, обусловленную объективным несоответствием между доходами и расходами бюджета в переходный период, кризис можно было бы значительно смягчить, проведя своевременные реформы здравоохранения, армии, жилищно-коммунального хозяйства и других сфер, которые финансируются в основном за счет бюджета. Ведь кризис усугублялся тем, что скудные государственные средства расходовались крайне нерационально.</w:t>
      </w:r>
    </w:p>
    <w:p w:rsidR="006929DD" w:rsidRDefault="006929DD">
      <w:pPr>
        <w:ind w:firstLine="720"/>
        <w:jc w:val="both"/>
      </w:pPr>
      <w:r>
        <w:t>Однако вместо реформ еще в 1995 г. был выбран путь покрытия бюджетного дефицита за счет заимствований на внутреннем и внешнем рынке. Несколько лет механизм заимствований через выпуск ГКО и других ценных бумаг государством справлялся с задачей покрытия бюджетного дефицита. Решение о запуске этого механизма было оправданным для середины 90-х годов, но должно было сопровождаться мерами по подъему производства с тем, чтобы государство начало получать средства для погашения своих долгов. Вместо этого долги государства по ценным бумагам погашались за счет выпуска новых ценных бумаг, из-за чего систему ГКО начали называть «государственной финансовой пирамидой». И когда летом 1998 г. государство потеряло возможность рассчитываться по своим долгам с кредиторами, главным образом из-за финансовых потрясений в мировой экономике и падения цен на нефть, оно было вынуждено объявить дефолт, за которым последовало трехкратное падение рубля (</w:t>
      </w:r>
      <w:r>
        <w:rPr>
          <w:i/>
          <w:iCs/>
        </w:rPr>
        <w:t>приложение Б</w:t>
      </w:r>
      <w:r>
        <w:t>) и новый приток экономического кризиса.</w:t>
      </w:r>
    </w:p>
    <w:p w:rsidR="006929DD" w:rsidRDefault="006929DD">
      <w:pPr>
        <w:pStyle w:val="1"/>
      </w:pPr>
      <w:r>
        <w:br w:type="page"/>
      </w:r>
      <w:bookmarkStart w:id="54" w:name="_Toc533456923"/>
      <w:bookmarkStart w:id="55" w:name="_Toc533464821"/>
      <w:r>
        <w:t>Глава 3.Антиинфляционная политика государства</w:t>
      </w:r>
      <w:bookmarkEnd w:id="54"/>
      <w:bookmarkEnd w:id="55"/>
    </w:p>
    <w:p w:rsidR="006929DD" w:rsidRDefault="006929DD">
      <w:pPr>
        <w:pStyle w:val="2"/>
      </w:pPr>
      <w:bookmarkStart w:id="56" w:name="_Toc533456924"/>
      <w:bookmarkStart w:id="57" w:name="_Toc533464822"/>
      <w:r>
        <w:t>3.1.Концепция антиинфляционной политики</w:t>
      </w:r>
      <w:bookmarkEnd w:id="56"/>
      <w:bookmarkEnd w:id="57"/>
    </w:p>
    <w:p w:rsidR="006929DD" w:rsidRDefault="006929DD">
      <w:pPr>
        <w:ind w:firstLine="709"/>
        <w:jc w:val="both"/>
        <w:rPr>
          <w:snapToGrid w:val="0"/>
        </w:rPr>
      </w:pPr>
      <w:r>
        <w:rPr>
          <w:snapToGrid w:val="0"/>
        </w:rPr>
        <w:t>Высокая инфляция, переходящая в гиперинфляцию, оборачивается бедствием для всей экономики. В долгосрочном периоде страдают все экономические агенты - домашние хозяйства, бизнес, государственный бюджет. Гиперинфляция не дает деньгам выполнять их основные функции и разрушает банковскую систему. Как же бороться с инфляцией?</w:t>
      </w:r>
    </w:p>
    <w:p w:rsidR="006929DD" w:rsidRDefault="006929DD">
      <w:pPr>
        <w:ind w:firstLine="709"/>
        <w:jc w:val="both"/>
        <w:rPr>
          <w:snapToGrid w:val="0"/>
        </w:rPr>
      </w:pPr>
      <w:r>
        <w:rPr>
          <w:snapToGrid w:val="0"/>
        </w:rPr>
        <w:t>Если полностью избавиться от инфляции нельзя в силу институциональных причин (монополия Центральных банков на эмиссию денег</w:t>
      </w:r>
      <w:r>
        <w:rPr>
          <w:rStyle w:val="a9"/>
          <w:snapToGrid w:val="0"/>
        </w:rPr>
        <w:footnoteReference w:id="4"/>
      </w:r>
      <w:r>
        <w:rPr>
          <w:snapToGrid w:val="0"/>
          <w:color w:val="008000"/>
        </w:rPr>
        <w:t>,</w:t>
      </w:r>
      <w:r>
        <w:rPr>
          <w:snapToGrid w:val="0"/>
        </w:rPr>
        <w:t xml:space="preserve"> монополизм профсоюзов и фирм), то нужно снизить ее темпы до минимально возможного и предсказуемого уровня. Стратегическая цель антиинфляционной политики -  привести темпы роста денежной массы в соответствие с темпами роста товарной массы (или реального ВВП) в краткосрочном плане, а объем и структуру совокупного предложения с объемом и структурой совокупного спроса в долгосрочном плане.</w:t>
      </w:r>
    </w:p>
    <w:p w:rsidR="006929DD" w:rsidRDefault="006929DD">
      <w:pPr>
        <w:ind w:firstLine="709"/>
        <w:jc w:val="both"/>
        <w:rPr>
          <w:snapToGrid w:val="0"/>
        </w:rPr>
      </w:pPr>
      <w:r>
        <w:rPr>
          <w:snapToGrid w:val="0"/>
        </w:rPr>
        <w:t>Методы борьбы с открытой инфляцией зависят от характера инфляции, т.</w:t>
      </w:r>
      <w:r>
        <w:rPr>
          <w:snapToGrid w:val="0"/>
          <w:color w:val="008000"/>
        </w:rPr>
        <w:t>е.</w:t>
      </w:r>
      <w:r>
        <w:rPr>
          <w:snapToGrid w:val="0"/>
        </w:rPr>
        <w:t xml:space="preserve"> от причин ее возникновения и от темпов роста цен.</w:t>
      </w:r>
    </w:p>
    <w:p w:rsidR="006929DD" w:rsidRDefault="006929DD">
      <w:pPr>
        <w:ind w:firstLine="709"/>
        <w:jc w:val="both"/>
        <w:rPr>
          <w:snapToGrid w:val="0"/>
        </w:rPr>
      </w:pPr>
      <w:r>
        <w:rPr>
          <w:b/>
          <w:snapToGrid w:val="0"/>
        </w:rPr>
        <w:t>Очень высокая инфляция или гиперинфляция приобретает самоусиливающийся, инерционный характер:</w:t>
      </w:r>
      <w:r>
        <w:rPr>
          <w:snapToGrid w:val="0"/>
        </w:rPr>
        <w:t xml:space="preserve"> во-первых, темпы инфляции становятся функцией инфляционных ожиданий </w:t>
      </w:r>
      <w:r>
        <w:rPr>
          <w:rFonts w:cs="Times New Roman"/>
          <w:sz w:val="32"/>
          <w:lang w:val="en-US"/>
        </w:rPr>
        <w:sym w:font="Symbol" w:char="F070"/>
      </w:r>
      <w:r>
        <w:rPr>
          <w:rFonts w:cs="Times New Roman"/>
          <w:sz w:val="32"/>
        </w:rPr>
        <w:t>=</w:t>
      </w:r>
      <w:r>
        <w:rPr>
          <w:rFonts w:cs="Times New Roman"/>
          <w:sz w:val="32"/>
          <w:lang w:val="en-US"/>
        </w:rPr>
        <w:sym w:font="Symbol" w:char="F070"/>
      </w:r>
      <w:r>
        <w:rPr>
          <w:rFonts w:cs="Times New Roman"/>
          <w:sz w:val="32"/>
        </w:rPr>
        <w:t>(</w:t>
      </w:r>
      <w:r>
        <w:rPr>
          <w:rFonts w:cs="Times New Roman"/>
          <w:sz w:val="32"/>
          <w:lang w:val="en-US"/>
        </w:rPr>
        <w:sym w:font="Symbol" w:char="F070"/>
      </w:r>
      <w:r>
        <w:rPr>
          <w:rFonts w:cs="Times New Roman"/>
          <w:i/>
          <w:iCs/>
          <w:sz w:val="32"/>
          <w:vertAlign w:val="superscript"/>
        </w:rPr>
        <w:t>е</w:t>
      </w:r>
      <w:r>
        <w:rPr>
          <w:rFonts w:cs="Times New Roman"/>
          <w:sz w:val="32"/>
        </w:rPr>
        <w:t xml:space="preserve">) </w:t>
      </w:r>
      <w:r>
        <w:rPr>
          <w:snapToGrid w:val="0"/>
        </w:rPr>
        <w:t xml:space="preserve">и, во-вторых, огромная денежная база даже при маленьком денежном мультипликаторе продуцирует гигантские темпы роста денежной массы. Любые меры (эмиссионные или бюджетные, а также индексация доходов) стимулирования производства через совокупный спрос повысят инфляцию и инфляционные ожидания. Поэтому при гиперинфляции невозможно привести темпы роста денежной массы в соответствие с темпами роста реального ВВП посредством </w:t>
      </w:r>
      <w:r>
        <w:rPr>
          <w:snapToGrid w:val="0"/>
          <w:color w:val="008000"/>
        </w:rPr>
        <w:t>бюджетно-налоговой</w:t>
      </w:r>
      <w:r>
        <w:rPr>
          <w:snapToGrid w:val="0"/>
        </w:rPr>
        <w:t xml:space="preserve"> политики. Гиперинфляция делает производство убыточным, сводя на нет финансовые и налоговые льготы. Следовательно, </w:t>
      </w:r>
      <w:r>
        <w:rPr>
          <w:i/>
          <w:snapToGrid w:val="0"/>
        </w:rPr>
        <w:t>погасить гиперинфляцию можно лишь монетарными методами.</w:t>
      </w:r>
      <w:r>
        <w:rPr>
          <w:snapToGrid w:val="0"/>
        </w:rPr>
        <w:t xml:space="preserve"> В первую очередь, необходимо максимально ослабить источник ее инерционности - инфляционные ожидания.</w:t>
      </w:r>
    </w:p>
    <w:p w:rsidR="006929DD" w:rsidRDefault="006929DD">
      <w:pPr>
        <w:ind w:firstLine="709"/>
        <w:jc w:val="both"/>
        <w:rPr>
          <w:snapToGrid w:val="0"/>
        </w:rPr>
      </w:pPr>
      <w:r>
        <w:rPr>
          <w:snapToGrid w:val="0"/>
        </w:rPr>
        <w:t xml:space="preserve">Очень опасно сбивать инфляционные ожидания введением ценовых ограничений, даже на время. Фиксирование цен в рыночной системе вызывает резкий дефицит товаров и загоняет инфляционные ожидания вглубь, способствует свертыванию производства. Рано или поздно фиксированные цены придется отпустить, и сжатая ценовая пружина выстрелит еще большей инфляцией, </w:t>
      </w:r>
      <w:r>
        <w:rPr>
          <w:snapToGrid w:val="0"/>
          <w:color w:val="008000"/>
        </w:rPr>
        <w:t>разбалансированностью</w:t>
      </w:r>
      <w:r>
        <w:rPr>
          <w:snapToGrid w:val="0"/>
        </w:rPr>
        <w:t xml:space="preserve"> спроса и предложения. Однако если поддерживать фиксированные цены долгие годы, то необходимо вводить жесткий и всеобъемлющий централизованный контроль, т.</w:t>
      </w:r>
      <w:r>
        <w:rPr>
          <w:snapToGrid w:val="0"/>
          <w:color w:val="008000"/>
        </w:rPr>
        <w:t>е.</w:t>
      </w:r>
      <w:r>
        <w:rPr>
          <w:snapToGrid w:val="0"/>
        </w:rPr>
        <w:t xml:space="preserve"> командно-административную систему. Поэтому в условиях гиперинфляции нужно фиксировать не цены, а объем денежной массы. Сначала необходимо минимизировать темпы ее прироста, а затем ввести ежегодную фиксацию или рамки изменения объема денежной массы в течение года. Такая политика называется </w:t>
      </w:r>
      <w:r>
        <w:rPr>
          <w:snapToGrid w:val="0"/>
          <w:color w:val="008000"/>
        </w:rPr>
        <w:t>таргетированием</w:t>
      </w:r>
      <w:r>
        <w:rPr>
          <w:snapToGrid w:val="0"/>
        </w:rPr>
        <w:t xml:space="preserve"> денежной массы. При этом необходимо учитывать скорость обращения денег, увеличение которой усиливает инфляцию. Как же ограничить рост денежной массы? Идеаль</w:t>
      </w:r>
      <w:r>
        <w:rPr>
          <w:snapToGrid w:val="0"/>
          <w:color w:val="008000"/>
        </w:rPr>
        <w:t>ный</w:t>
      </w:r>
      <w:r>
        <w:rPr>
          <w:snapToGrid w:val="0"/>
        </w:rPr>
        <w:t xml:space="preserve"> вариант - одновременно повысить норму обязательного резервирования, ограничить операции, ведущие к </w:t>
      </w:r>
      <w:r>
        <w:rPr>
          <w:snapToGrid w:val="0"/>
          <w:color w:val="008000"/>
        </w:rPr>
        <w:t>депозитарному</w:t>
      </w:r>
      <w:r>
        <w:rPr>
          <w:snapToGrid w:val="0"/>
        </w:rPr>
        <w:t xml:space="preserve"> расширению денежной массы, временно прекратить эмиссию. Для этого нужно устранить причины дополнительной эмиссии: урегулировать структурный дефицит бюджета, сократив, прежде всего, непроизводительные расходы, прекратить индексацию доходов населения. Конечно же, такие меры непопулярны, поэтому их может проводить только сильное правительство, пользующееся </w:t>
      </w:r>
      <w:r>
        <w:rPr>
          <w:i/>
          <w:snapToGrid w:val="0"/>
        </w:rPr>
        <w:t>доверием населения.</w:t>
      </w:r>
      <w:r>
        <w:rPr>
          <w:snapToGrid w:val="0"/>
        </w:rPr>
        <w:t xml:space="preserve"> Доверие выступает как своеобразный «ценовой якорь», сдерживающий раскручивание инфляционной спирали. В обстановке гиперинфляции это единственный способ переломить инфляционные ожидания, остановить инерционную инфляцию.</w:t>
      </w:r>
    </w:p>
    <w:p w:rsidR="006929DD" w:rsidRDefault="006929DD">
      <w:pPr>
        <w:ind w:firstLine="709"/>
        <w:jc w:val="both"/>
        <w:rPr>
          <w:snapToGrid w:val="0"/>
        </w:rPr>
      </w:pPr>
      <w:r>
        <w:rPr>
          <w:snapToGrid w:val="0"/>
        </w:rPr>
        <w:t>Следующий шаг после погашения гиперинфляции монетарными методами - решение проблем реального сектора. Необходимо заняться балансировкой темпов роста производства, платежеспособного спроса и темпов роста цен. Вариантом такого балансирования является</w:t>
      </w:r>
      <w:r>
        <w:rPr>
          <w:b/>
          <w:snapToGrid w:val="0"/>
        </w:rPr>
        <w:t xml:space="preserve"> политика цен и заработной платы.</w:t>
      </w:r>
      <w:r>
        <w:rPr>
          <w:snapToGrid w:val="0"/>
        </w:rPr>
        <w:t xml:space="preserve"> Она заключается в ограничении движения цен ростом номинальной ставки заработной платы, которая тесно привязывается к изменению производительности труда</w:t>
      </w:r>
      <w:r>
        <w:rPr>
          <w:snapToGrid w:val="0"/>
          <w:color w:val="008000"/>
        </w:rPr>
        <w:t>.</w:t>
      </w:r>
      <w:r>
        <w:rPr>
          <w:rStyle w:val="a9"/>
          <w:snapToGrid w:val="0"/>
          <w:color w:val="008000"/>
        </w:rPr>
        <w:footnoteReference w:id="5"/>
      </w:r>
      <w:r>
        <w:rPr>
          <w:snapToGrid w:val="0"/>
        </w:rPr>
        <w:t xml:space="preserve"> Сторонники этой политики считают, что она, во-первых, устраняет инфляционные ожидания и, во-вторых, ограничивает монополизм фирм и профсоюзов. Одновременно нужно сохранять жесткость денежной и кредитной политики, а также не допускать роста бюджетного дефицита. Только в комплексе эти меры способны снизить темпы инфляции до регулируемого уровня.</w:t>
      </w:r>
    </w:p>
    <w:p w:rsidR="006929DD" w:rsidRDefault="006929DD">
      <w:pPr>
        <w:ind w:firstLine="709"/>
        <w:jc w:val="both"/>
        <w:rPr>
          <w:snapToGrid w:val="0"/>
        </w:rPr>
      </w:pPr>
      <w:r>
        <w:rPr>
          <w:snapToGrid w:val="0"/>
        </w:rPr>
        <w:t>Третий шаг - закрепление достигнутых результатов в долгосрочном плане. При невысоких темпах инфляции уже возможно проводить промышленную и структурную политику, направленную на повышение производительности труда и снижение издержек. Необходимо привести в соответствие структуру предложения со структурой спроса, а не только балансировать их объемы.</w:t>
      </w:r>
    </w:p>
    <w:p w:rsidR="006929DD" w:rsidRDefault="006929DD">
      <w:pPr>
        <w:ind w:firstLine="709"/>
        <w:jc w:val="both"/>
        <w:rPr>
          <w:snapToGrid w:val="0"/>
        </w:rPr>
      </w:pPr>
      <w:r>
        <w:rPr>
          <w:snapToGrid w:val="0"/>
        </w:rPr>
        <w:t xml:space="preserve">Необходима и профилактика инфляции. В еще более долгосрочном плане в условиях полной занятости нужно стимулировать расширение потенциального </w:t>
      </w:r>
      <w:r>
        <w:rPr>
          <w:snapToGrid w:val="0"/>
          <w:color w:val="008000"/>
        </w:rPr>
        <w:t>ВНП</w:t>
      </w:r>
      <w:r>
        <w:rPr>
          <w:snapToGrid w:val="0"/>
        </w:rPr>
        <w:t xml:space="preserve"> с помощью структурной и научно-технической политики. Причем, отдавать предпочтение здесь надо не бюджетному финансированию, а созданию экономических стимулов для повышения производительности труда, внедрения новых технологий и создания новых производств, преобразования старых отраслей на новой технической базе и т. д. Для проведения таких преобразований в стимулируемых отраслях необходимо создать систему льгот в налогообложении и условиях кредита (включая налоговые каникулы, увеличение нормы амортизации, госзаказ на конкурсной основе). </w:t>
      </w:r>
    </w:p>
    <w:p w:rsidR="006929DD" w:rsidRDefault="006929DD">
      <w:pPr>
        <w:ind w:firstLine="709"/>
        <w:jc w:val="both"/>
        <w:rPr>
          <w:snapToGrid w:val="0"/>
        </w:rPr>
      </w:pPr>
      <w:r>
        <w:rPr>
          <w:snapToGrid w:val="0"/>
        </w:rPr>
        <w:t>Очень важным условием антиинфляционной политики является независимость правительства от групп давления: антиинфляционные меры нужно проводить последовательно и взвешенно. Нарушение алгоритма антиинфляционной борьбы в угоду группам интересов приводит к прямо противоположным результатам.</w:t>
      </w:r>
    </w:p>
    <w:p w:rsidR="006929DD" w:rsidRDefault="006929DD">
      <w:pPr>
        <w:ind w:firstLine="709"/>
        <w:jc w:val="both"/>
        <w:rPr>
          <w:snapToGrid w:val="0"/>
        </w:rPr>
      </w:pPr>
      <w:r>
        <w:rPr>
          <w:snapToGrid w:val="0"/>
        </w:rPr>
        <w:t>Итак, основной принцип борьбы с инфляцией - уничтожение ее источников. Необходимо иметь в виду, что временные лаги в принятии политических решений и их лоббирование - это причины монетарного раскручивания инфляции, так как они ведут к неэффективности бюджетных расходов, разбуханию денежной массы и, в конечном итоге, к искажению ценового сигнала. Инерционность производства, связанная с эффектом акселератора, дискретность и неравномерность появления и внедрения новых технологий, скачкообразное развитие экономической системы - это объективные причины немонетарного искажения ценового сигнала в долгосрочном плане. Следовательно, если существуют объективные причины возникновения инфляции, то полностью это явление не устранимо. Поэтому наиболее реалистичной целью антиинфляционной политики является не абсолютное уничтожение инфляции, а снижение инфляционного накала и поддержание ее темпов на стабильно низком и предсказуемом уровне.</w:t>
      </w:r>
    </w:p>
    <w:p w:rsidR="006929DD" w:rsidRDefault="006929DD">
      <w:pPr>
        <w:ind w:firstLine="709"/>
      </w:pPr>
    </w:p>
    <w:p w:rsidR="006929DD" w:rsidRDefault="006929DD">
      <w:pPr>
        <w:pStyle w:val="2"/>
      </w:pPr>
      <w:bookmarkStart w:id="58" w:name="_Toc533456925"/>
      <w:bookmarkStart w:id="59" w:name="_Toc533464823"/>
      <w:r>
        <w:t>3.2.Оценка стабилизационной политики правительства</w:t>
      </w:r>
      <w:bookmarkEnd w:id="58"/>
      <w:bookmarkEnd w:id="59"/>
    </w:p>
    <w:p w:rsidR="006929DD" w:rsidRDefault="006929DD">
      <w:pPr>
        <w:widowControl w:val="0"/>
        <w:tabs>
          <w:tab w:val="left" w:pos="360"/>
        </w:tabs>
        <w:ind w:left="9" w:firstLine="700"/>
        <w:jc w:val="both"/>
        <w:rPr>
          <w:rFonts w:cs="Times New Roman"/>
        </w:rPr>
      </w:pPr>
      <w:r>
        <w:rPr>
          <w:rFonts w:cs="Times New Roman"/>
        </w:rPr>
        <w:t>Чтобы оценить проводившуюся пра</w:t>
      </w:r>
      <w:r>
        <w:rPr>
          <w:rFonts w:cs="Times New Roman"/>
        </w:rPr>
        <w:softHyphen/>
        <w:t>вительством стабилизационную поли</w:t>
      </w:r>
      <w:r>
        <w:rPr>
          <w:rFonts w:cs="Times New Roman"/>
        </w:rPr>
        <w:softHyphen/>
        <w:t>тику, рассмотрим некоторые ее ре</w:t>
      </w:r>
      <w:r>
        <w:rPr>
          <w:rFonts w:cs="Times New Roman"/>
        </w:rPr>
        <w:softHyphen/>
        <w:t>зультаты. Как уже отмечалось, зна</w:t>
      </w:r>
      <w:r>
        <w:rPr>
          <w:rFonts w:cs="Times New Roman"/>
        </w:rPr>
        <w:softHyphen/>
        <w:t>чительно снизились в последние ме</w:t>
      </w:r>
      <w:r>
        <w:rPr>
          <w:rFonts w:cs="Times New Roman"/>
        </w:rPr>
        <w:softHyphen/>
        <w:t>сяцы темпы инфляции. Анализ ди</w:t>
      </w:r>
      <w:r>
        <w:rPr>
          <w:rFonts w:cs="Times New Roman"/>
        </w:rPr>
        <w:softHyphen/>
        <w:t>намики ценовых соотношений пока</w:t>
      </w:r>
      <w:r>
        <w:rPr>
          <w:rFonts w:cs="Times New Roman"/>
        </w:rPr>
        <w:softHyphen/>
        <w:t>зывает, что они в основном стабилизировались. За последний год основ</w:t>
      </w:r>
      <w:r>
        <w:rPr>
          <w:rFonts w:cs="Times New Roman"/>
        </w:rPr>
        <w:softHyphen/>
        <w:t>ное изменение пропорций было свя</w:t>
      </w:r>
      <w:r>
        <w:rPr>
          <w:rFonts w:cs="Times New Roman"/>
        </w:rPr>
        <w:softHyphen/>
        <w:t>зано с заметным относительным удо</w:t>
      </w:r>
      <w:r>
        <w:rPr>
          <w:rFonts w:cs="Times New Roman"/>
        </w:rPr>
        <w:softHyphen/>
        <w:t>рожанием энергоносителей. Причи</w:t>
      </w:r>
      <w:r>
        <w:rPr>
          <w:rFonts w:cs="Times New Roman"/>
        </w:rPr>
        <w:softHyphen/>
        <w:t>ной, по-видимому, послужили как отмена экспортных квот на нефть и нефтепродукты, так и увеличение включаемых в цену акцизов. Однако в настоящее время стоимость нефти и газа на внутреннем рынке (соответ</w:t>
      </w:r>
      <w:r>
        <w:rPr>
          <w:rFonts w:cs="Times New Roman"/>
        </w:rPr>
        <w:softHyphen/>
        <w:t>ственно 87 долларов за тонну и 66 дол</w:t>
      </w:r>
      <w:r>
        <w:rPr>
          <w:rFonts w:cs="Times New Roman"/>
        </w:rPr>
        <w:softHyphen/>
        <w:t>ларов за тысячу кубометров) вплот</w:t>
      </w:r>
      <w:r>
        <w:rPr>
          <w:rFonts w:cs="Times New Roman"/>
        </w:rPr>
        <w:softHyphen/>
        <w:t>ную приблизилась к ценам их экспор</w:t>
      </w:r>
      <w:r>
        <w:rPr>
          <w:rFonts w:cs="Times New Roman"/>
        </w:rPr>
        <w:softHyphen/>
        <w:t>та, таким образом, потенциал их даль</w:t>
      </w:r>
      <w:r>
        <w:rPr>
          <w:rFonts w:cs="Times New Roman"/>
        </w:rPr>
        <w:softHyphen/>
        <w:t>нейшего роста в основном исчерпан. В 1995 году был достигнут сравнитель</w:t>
      </w:r>
      <w:r>
        <w:rPr>
          <w:rFonts w:cs="Times New Roman"/>
        </w:rPr>
        <w:softHyphen/>
        <w:t xml:space="preserve">но небольшой дефицит федерального бюджета. </w:t>
      </w:r>
    </w:p>
    <w:p w:rsidR="006929DD" w:rsidRDefault="006929DD">
      <w:pPr>
        <w:widowControl w:val="0"/>
        <w:tabs>
          <w:tab w:val="left" w:pos="360"/>
        </w:tabs>
        <w:ind w:left="4" w:firstLine="700"/>
        <w:jc w:val="both"/>
        <w:rPr>
          <w:rFonts w:cs="Times New Roman"/>
        </w:rPr>
      </w:pPr>
      <w:r>
        <w:rPr>
          <w:rFonts w:cs="Times New Roman"/>
        </w:rPr>
        <w:t>Вместе с тем ряд обстоятельств не позволяет говорить о том, что задача стабилизации близка к решению. С са</w:t>
      </w:r>
      <w:r>
        <w:rPr>
          <w:rFonts w:cs="Times New Roman"/>
        </w:rPr>
        <w:softHyphen/>
        <w:t>мого начала реформ обнаружилось, что предприятия реагируют на моне</w:t>
      </w:r>
      <w:r>
        <w:rPr>
          <w:rFonts w:cs="Times New Roman"/>
        </w:rPr>
        <w:softHyphen/>
        <w:t>тарные ограничения не замедлением роста цен, а нарастанием неплатежей. Этому правительство так ничего и не противопоставило. Попеременно ос</w:t>
      </w:r>
      <w:r>
        <w:rPr>
          <w:rFonts w:cs="Times New Roman"/>
        </w:rPr>
        <w:softHyphen/>
        <w:t>лабевая или усиливаясь, такое поло</w:t>
      </w:r>
      <w:r>
        <w:rPr>
          <w:rFonts w:cs="Times New Roman"/>
        </w:rPr>
        <w:softHyphen/>
        <w:t>жение просуществовало до настояще</w:t>
      </w:r>
      <w:r>
        <w:rPr>
          <w:rFonts w:cs="Times New Roman"/>
        </w:rPr>
        <w:softHyphen/>
        <w:t>го момента. В рамках действующих цен взаимные задолженности дают возможность держаться на плаву эко</w:t>
      </w:r>
      <w:r>
        <w:rPr>
          <w:rFonts w:cs="Times New Roman"/>
        </w:rPr>
        <w:softHyphen/>
        <w:t>номически неэффективным предпри</w:t>
      </w:r>
      <w:r>
        <w:rPr>
          <w:rFonts w:cs="Times New Roman"/>
        </w:rPr>
        <w:softHyphen/>
        <w:t>ятиям за счет перераспределения в их пользу чистого дохода успешно фун</w:t>
      </w:r>
      <w:r>
        <w:rPr>
          <w:rFonts w:cs="Times New Roman"/>
        </w:rPr>
        <w:softHyphen/>
        <w:t>кционирующих участников рынка. Таким образом, они заменяют в ры</w:t>
      </w:r>
      <w:r>
        <w:rPr>
          <w:rFonts w:cs="Times New Roman"/>
        </w:rPr>
        <w:softHyphen/>
        <w:t xml:space="preserve">ночных условиях механизм, который обеспечивал сосуществование разно- эффективных предприятий в плановом хозяйстве, но делают это в более широких масштабах. </w:t>
      </w:r>
    </w:p>
    <w:p w:rsidR="006929DD" w:rsidRDefault="006929DD">
      <w:pPr>
        <w:widowControl w:val="0"/>
        <w:tabs>
          <w:tab w:val="left" w:pos="360"/>
        </w:tabs>
        <w:ind w:left="76" w:firstLine="700"/>
        <w:jc w:val="both"/>
        <w:rPr>
          <w:rFonts w:cs="Times New Roman"/>
        </w:rPr>
      </w:pPr>
      <w:r>
        <w:rPr>
          <w:rFonts w:cs="Times New Roman"/>
        </w:rPr>
        <w:t>Если в 1991 году убыточные пред</w:t>
      </w:r>
      <w:r>
        <w:rPr>
          <w:rFonts w:cs="Times New Roman"/>
        </w:rPr>
        <w:softHyphen/>
        <w:t>приятия в промышленности составля</w:t>
      </w:r>
      <w:r>
        <w:rPr>
          <w:rFonts w:cs="Times New Roman"/>
        </w:rPr>
        <w:softHyphen/>
        <w:t>ли 3%, то в начале 1996 года их доля возросла до 28%. С другой стороны, широкое распрост</w:t>
      </w:r>
      <w:r>
        <w:rPr>
          <w:rFonts w:cs="Times New Roman"/>
        </w:rPr>
        <w:softHyphen/>
        <w:t>ранение неплатежей сигнализирует, что значительная часть производите</w:t>
      </w:r>
      <w:r>
        <w:rPr>
          <w:rFonts w:cs="Times New Roman"/>
        </w:rPr>
        <w:softHyphen/>
        <w:t>лей сопротивляется изменениям цено</w:t>
      </w:r>
      <w:r>
        <w:rPr>
          <w:rFonts w:cs="Times New Roman"/>
        </w:rPr>
        <w:softHyphen/>
        <w:t>вых соотношений, превышающим их адаптационные возможности. До тех пор, пока не будет решена проблема неплатежей, нельзя говорить об устой</w:t>
      </w:r>
      <w:r>
        <w:rPr>
          <w:rFonts w:cs="Times New Roman"/>
        </w:rPr>
        <w:softHyphen/>
        <w:t xml:space="preserve">чивости системы цен. </w:t>
      </w:r>
    </w:p>
    <w:p w:rsidR="006929DD" w:rsidRDefault="006929DD">
      <w:pPr>
        <w:widowControl w:val="0"/>
        <w:tabs>
          <w:tab w:val="left" w:pos="360"/>
        </w:tabs>
        <w:ind w:left="62" w:firstLine="700"/>
        <w:jc w:val="both"/>
        <w:rPr>
          <w:rFonts w:cs="Times New Roman"/>
        </w:rPr>
      </w:pPr>
      <w:r>
        <w:rPr>
          <w:rFonts w:cs="Times New Roman"/>
        </w:rPr>
        <w:t>При этом следует иметь в виду, что неплатежи отраслей, находящихся в неблагоприятном финансовом поло</w:t>
      </w:r>
      <w:r>
        <w:rPr>
          <w:rFonts w:cs="Times New Roman"/>
        </w:rPr>
        <w:softHyphen/>
        <w:t>жении, перераспределяются как на наиболее рентабельные сектора эко</w:t>
      </w:r>
      <w:r>
        <w:rPr>
          <w:rFonts w:cs="Times New Roman"/>
        </w:rPr>
        <w:softHyphen/>
        <w:t>номики (в первую очередь ТЭК), так и на государственный бюджет, во многом сводя на нет усилия по стаби</w:t>
      </w:r>
      <w:r>
        <w:rPr>
          <w:rFonts w:cs="Times New Roman"/>
        </w:rPr>
        <w:softHyphen/>
        <w:t>лизации. В самом деле, в 1993-1994 годах такой лидирующий сектор рос</w:t>
      </w:r>
      <w:r>
        <w:rPr>
          <w:rFonts w:cs="Times New Roman"/>
        </w:rPr>
        <w:softHyphen/>
        <w:t>сийской экономики, как ТЭК, компенсировал задолженность ему потре</w:t>
      </w:r>
      <w:r>
        <w:rPr>
          <w:rFonts w:cs="Times New Roman"/>
        </w:rPr>
        <w:softHyphen/>
        <w:t>бителей значительными налоговыми льготами. В частности, были осво</w:t>
      </w:r>
      <w:r>
        <w:rPr>
          <w:rFonts w:cs="Times New Roman"/>
        </w:rPr>
        <w:softHyphen/>
        <w:t>бождены от пошлин все экспортные поставки нефти и газа, совершаемые в пределах квот (что относилось к по</w:t>
      </w:r>
      <w:r>
        <w:rPr>
          <w:rFonts w:cs="Times New Roman"/>
        </w:rPr>
        <w:softHyphen/>
        <w:t>давляющему большинству экспорта), а дополнительный доход от экспорта был освобожден от налога на при</w:t>
      </w:r>
      <w:r>
        <w:rPr>
          <w:rFonts w:cs="Times New Roman"/>
        </w:rPr>
        <w:softHyphen/>
        <w:t>быль.  По оценкам МВФ</w:t>
      </w:r>
      <w:r>
        <w:rPr>
          <w:rStyle w:val="a9"/>
          <w:rFonts w:cs="Times New Roman"/>
        </w:rPr>
        <w:footnoteReference w:id="6"/>
      </w:r>
      <w:r>
        <w:rPr>
          <w:rFonts w:cs="Times New Roman"/>
        </w:rPr>
        <w:t>, фактичес</w:t>
      </w:r>
      <w:r>
        <w:rPr>
          <w:rFonts w:cs="Times New Roman"/>
        </w:rPr>
        <w:softHyphen/>
        <w:t>кая налоговая нагрузка в нефтяной промышленности составляла в 1993-1994 годах 40-43% от номи</w:t>
      </w:r>
      <w:r>
        <w:rPr>
          <w:rFonts w:cs="Times New Roman"/>
        </w:rPr>
        <w:softHyphen/>
        <w:t>нальной, а в газовой - лишь 30-31%. В 1995 году, когда перекла</w:t>
      </w:r>
      <w:r>
        <w:rPr>
          <w:rFonts w:cs="Times New Roman"/>
        </w:rPr>
        <w:softHyphen/>
        <w:t>дывать взаимные задолженности на го</w:t>
      </w:r>
      <w:r>
        <w:rPr>
          <w:rFonts w:cs="Times New Roman"/>
        </w:rPr>
        <w:softHyphen/>
        <w:t>сударство за счет получения льгот ста</w:t>
      </w:r>
      <w:r>
        <w:rPr>
          <w:rFonts w:cs="Times New Roman"/>
        </w:rPr>
        <w:softHyphen/>
        <w:t>ло сложнее, предприятия увеличили долю неплатежей непосредственно в бюджет. За период с 1 марта 1995 го</w:t>
      </w:r>
      <w:r>
        <w:rPr>
          <w:rFonts w:cs="Times New Roman"/>
        </w:rPr>
        <w:softHyphen/>
        <w:t>да по 1 марта 1996 года такая доля в приросте просроченной задолженно</w:t>
      </w:r>
      <w:r>
        <w:rPr>
          <w:rFonts w:cs="Times New Roman"/>
        </w:rPr>
        <w:softHyphen/>
        <w:t>сти составила 27% по срав</w:t>
      </w:r>
      <w:r>
        <w:rPr>
          <w:rFonts w:cs="Times New Roman"/>
        </w:rPr>
        <w:softHyphen/>
        <w:t>нению с 21 за предшествующий пе</w:t>
      </w:r>
      <w:r>
        <w:rPr>
          <w:rFonts w:cs="Times New Roman"/>
        </w:rPr>
        <w:softHyphen/>
        <w:t>риод. Всего же в результате действия всех рассматривавшихся выше факто</w:t>
      </w:r>
      <w:r>
        <w:rPr>
          <w:rFonts w:cs="Times New Roman"/>
        </w:rPr>
        <w:softHyphen/>
        <w:t>ров поступление налогов в консолиди</w:t>
      </w:r>
      <w:r>
        <w:rPr>
          <w:rFonts w:cs="Times New Roman"/>
        </w:rPr>
        <w:softHyphen/>
        <w:t xml:space="preserve">рованный бюджет снизилось с 29,5% от ВВП в 1992 году до 17,5% в январе-феврале 1996 года. </w:t>
      </w:r>
    </w:p>
    <w:p w:rsidR="006929DD" w:rsidRDefault="006929DD">
      <w:pPr>
        <w:widowControl w:val="0"/>
        <w:tabs>
          <w:tab w:val="left" w:pos="360"/>
        </w:tabs>
        <w:ind w:left="19" w:firstLine="700"/>
        <w:jc w:val="both"/>
        <w:rPr>
          <w:rFonts w:cs="Times New Roman"/>
        </w:rPr>
      </w:pPr>
      <w:r>
        <w:rPr>
          <w:rFonts w:cs="Times New Roman"/>
        </w:rPr>
        <w:t>Общие возможные подходы к про</w:t>
      </w:r>
      <w:r>
        <w:rPr>
          <w:rFonts w:cs="Times New Roman"/>
        </w:rPr>
        <w:softHyphen/>
        <w:t xml:space="preserve">ведению реформ можно было бы сформулировать в виде следующих двух позиций. </w:t>
      </w:r>
    </w:p>
    <w:p w:rsidR="006929DD" w:rsidRDefault="006929DD">
      <w:pPr>
        <w:widowControl w:val="0"/>
        <w:tabs>
          <w:tab w:val="left" w:pos="360"/>
        </w:tabs>
        <w:ind w:left="4" w:firstLine="700"/>
        <w:jc w:val="both"/>
        <w:rPr>
          <w:rFonts w:cs="Times New Roman"/>
        </w:rPr>
      </w:pPr>
      <w:r>
        <w:rPr>
          <w:rFonts w:cs="Times New Roman"/>
          <w:i/>
        </w:rPr>
        <w:t>Позиция сторонников жесткой мо</w:t>
      </w:r>
      <w:r>
        <w:rPr>
          <w:rFonts w:cs="Times New Roman"/>
          <w:i/>
        </w:rPr>
        <w:softHyphen/>
        <w:t xml:space="preserve">нетарной политики. </w:t>
      </w:r>
      <w:r>
        <w:rPr>
          <w:rFonts w:cs="Times New Roman"/>
        </w:rPr>
        <w:t>Усиление госу</w:t>
      </w:r>
      <w:r>
        <w:rPr>
          <w:rFonts w:cs="Times New Roman"/>
        </w:rPr>
        <w:softHyphen/>
        <w:t>дарственного регулирования экономи</w:t>
      </w:r>
      <w:r>
        <w:rPr>
          <w:rFonts w:cs="Times New Roman"/>
        </w:rPr>
        <w:softHyphen/>
        <w:t>ки, использование тех или иных ад</w:t>
      </w:r>
      <w:r>
        <w:rPr>
          <w:rFonts w:cs="Times New Roman"/>
        </w:rPr>
        <w:softHyphen/>
        <w:t>министративных ограничений либо не эффективно, либо грозит возвраще</w:t>
      </w:r>
      <w:r>
        <w:rPr>
          <w:rFonts w:cs="Times New Roman"/>
        </w:rPr>
        <w:softHyphen/>
        <w:t>нием государственной административ</w:t>
      </w:r>
      <w:r>
        <w:rPr>
          <w:rFonts w:cs="Times New Roman"/>
        </w:rPr>
        <w:softHyphen/>
        <w:t>ной системы. Главное препятствие на пути выхода из кризиса с последую</w:t>
      </w:r>
      <w:r>
        <w:rPr>
          <w:rFonts w:cs="Times New Roman"/>
        </w:rPr>
        <w:softHyphen/>
        <w:t>щим переходом к экономическому ро</w:t>
      </w:r>
      <w:r>
        <w:rPr>
          <w:rFonts w:cs="Times New Roman"/>
        </w:rPr>
        <w:softHyphen/>
        <w:t>сту - инфляция. Если денежная мас</w:t>
      </w:r>
      <w:r>
        <w:rPr>
          <w:rFonts w:cs="Times New Roman"/>
        </w:rPr>
        <w:softHyphen/>
        <w:t>са и спрос (особенно на промежуточ</w:t>
      </w:r>
      <w:r>
        <w:rPr>
          <w:rFonts w:cs="Times New Roman"/>
        </w:rPr>
        <w:softHyphen/>
        <w:t>ную продукцию) будут расти ограни</w:t>
      </w:r>
      <w:r>
        <w:rPr>
          <w:rFonts w:cs="Times New Roman"/>
        </w:rPr>
        <w:softHyphen/>
        <w:t>ченно, предприятия рано или поздно перестанут повышать цены. Правда, при этом производство сократится. Но сокращение произойдет за счет не</w:t>
      </w:r>
      <w:r>
        <w:rPr>
          <w:rFonts w:cs="Times New Roman"/>
        </w:rPr>
        <w:softHyphen/>
        <w:t>эффективных, убыточных произ</w:t>
      </w:r>
      <w:r>
        <w:rPr>
          <w:rFonts w:cs="Times New Roman"/>
        </w:rPr>
        <w:softHyphen/>
        <w:t>водств. Это неизбежно и в определен</w:t>
      </w:r>
      <w:r>
        <w:rPr>
          <w:rFonts w:cs="Times New Roman"/>
        </w:rPr>
        <w:softHyphen/>
        <w:t>ной степени желательно, поскольку высвободит ресурсы для развития эф</w:t>
      </w:r>
      <w:r>
        <w:rPr>
          <w:rFonts w:cs="Times New Roman"/>
        </w:rPr>
        <w:softHyphen/>
        <w:t>фективных, прибыльных предприя</w:t>
      </w:r>
      <w:r>
        <w:rPr>
          <w:rFonts w:cs="Times New Roman"/>
        </w:rPr>
        <w:softHyphen/>
        <w:t>тий, которые и станут базой последу</w:t>
      </w:r>
      <w:r>
        <w:rPr>
          <w:rFonts w:cs="Times New Roman"/>
        </w:rPr>
        <w:softHyphen/>
        <w:t xml:space="preserve">ющего подъема экономики. </w:t>
      </w:r>
    </w:p>
    <w:p w:rsidR="006929DD" w:rsidRDefault="006929DD">
      <w:pPr>
        <w:widowControl w:val="0"/>
        <w:tabs>
          <w:tab w:val="left" w:pos="360"/>
        </w:tabs>
        <w:ind w:left="4" w:firstLine="700"/>
        <w:jc w:val="both"/>
        <w:rPr>
          <w:rFonts w:cs="Times New Roman"/>
        </w:rPr>
      </w:pPr>
      <w:r>
        <w:rPr>
          <w:rFonts w:cs="Times New Roman"/>
          <w:i/>
        </w:rPr>
        <w:t xml:space="preserve">Позиция оппонентов. </w:t>
      </w:r>
      <w:r>
        <w:rPr>
          <w:rFonts w:cs="Times New Roman"/>
        </w:rPr>
        <w:t>При резких диспропорциях в технологическом раз</w:t>
      </w:r>
      <w:r>
        <w:rPr>
          <w:rFonts w:cs="Times New Roman"/>
        </w:rPr>
        <w:softHyphen/>
        <w:t>витии отраслей, в условиях нестабиль</w:t>
      </w:r>
      <w:r>
        <w:rPr>
          <w:rFonts w:cs="Times New Roman"/>
        </w:rPr>
        <w:softHyphen/>
        <w:t>ности и непредсказуемости, блокирующих инвестиции в производство, не</w:t>
      </w:r>
      <w:r>
        <w:rPr>
          <w:rFonts w:cs="Times New Roman"/>
        </w:rPr>
        <w:softHyphen/>
        <w:t>развитости систем экономической ин</w:t>
      </w:r>
      <w:r>
        <w:rPr>
          <w:rFonts w:cs="Times New Roman"/>
        </w:rPr>
        <w:softHyphen/>
        <w:t>формации и т.д. относительное сжа</w:t>
      </w:r>
      <w:r>
        <w:rPr>
          <w:rFonts w:cs="Times New Roman"/>
        </w:rPr>
        <w:softHyphen/>
        <w:t>тие денежной массы и образующийся в результате разрыв между плате</w:t>
      </w:r>
      <w:r>
        <w:rPr>
          <w:rFonts w:cs="Times New Roman"/>
        </w:rPr>
        <w:softHyphen/>
        <w:t>жеспособным спросом и инфляцион</w:t>
      </w:r>
      <w:r>
        <w:rPr>
          <w:rFonts w:cs="Times New Roman"/>
        </w:rPr>
        <w:softHyphen/>
        <w:t>ным нарастанием затрат ведет к паде</w:t>
      </w:r>
      <w:r>
        <w:rPr>
          <w:rFonts w:cs="Times New Roman"/>
        </w:rPr>
        <w:softHyphen/>
        <w:t>нию производства и огромным разры</w:t>
      </w:r>
      <w:r>
        <w:rPr>
          <w:rFonts w:cs="Times New Roman"/>
        </w:rPr>
        <w:softHyphen/>
        <w:t>вам в финансовом положении отрас</w:t>
      </w:r>
      <w:r>
        <w:rPr>
          <w:rFonts w:cs="Times New Roman"/>
        </w:rPr>
        <w:softHyphen/>
        <w:t>лей. Это недопустимо в социальном плане, подрывает возможности струк</w:t>
      </w:r>
      <w:r>
        <w:rPr>
          <w:rFonts w:cs="Times New Roman"/>
        </w:rPr>
        <w:softHyphen/>
        <w:t>турной перестройки экономики, ве</w:t>
      </w:r>
      <w:r>
        <w:rPr>
          <w:rFonts w:cs="Times New Roman"/>
        </w:rPr>
        <w:softHyphen/>
        <w:t>дет к сокращению налоговых поступ</w:t>
      </w:r>
      <w:r>
        <w:rPr>
          <w:rFonts w:cs="Times New Roman"/>
        </w:rPr>
        <w:softHyphen/>
        <w:t xml:space="preserve">лений в бюджет.[1] </w:t>
      </w:r>
    </w:p>
    <w:p w:rsidR="006929DD" w:rsidRDefault="006929DD">
      <w:pPr>
        <w:widowControl w:val="0"/>
        <w:tabs>
          <w:tab w:val="left" w:pos="360"/>
        </w:tabs>
        <w:ind w:left="14" w:firstLine="700"/>
        <w:jc w:val="both"/>
        <w:rPr>
          <w:rFonts w:cs="Times New Roman"/>
        </w:rPr>
      </w:pPr>
      <w:r>
        <w:rPr>
          <w:rFonts w:cs="Times New Roman"/>
        </w:rPr>
        <w:t>Альтернативная по отношению к проводимой правительством стратегиям может быть основана на "гетерогенной" политике, предусматривающей соче</w:t>
      </w:r>
      <w:r>
        <w:rPr>
          <w:rFonts w:cs="Times New Roman"/>
        </w:rPr>
        <w:softHyphen/>
        <w:t>тание монетарных рычагов и непос</w:t>
      </w:r>
      <w:r>
        <w:rPr>
          <w:rFonts w:cs="Times New Roman"/>
        </w:rPr>
        <w:softHyphen/>
        <w:t>редственного государственного регу</w:t>
      </w:r>
      <w:r>
        <w:rPr>
          <w:rFonts w:cs="Times New Roman"/>
        </w:rPr>
        <w:softHyphen/>
        <w:t>лирования. Последнее может быть на</w:t>
      </w:r>
      <w:r>
        <w:rPr>
          <w:rFonts w:cs="Times New Roman"/>
        </w:rPr>
        <w:softHyphen/>
        <w:t>правлено в первую очередь на исправ</w:t>
      </w:r>
      <w:r>
        <w:rPr>
          <w:rFonts w:cs="Times New Roman"/>
        </w:rPr>
        <w:softHyphen/>
        <w:t>ление и стабилизацию межотраслевых соотношений цен, стимулирование и гарантирование инвестиций в приори</w:t>
      </w:r>
      <w:r>
        <w:rPr>
          <w:rFonts w:cs="Times New Roman"/>
        </w:rPr>
        <w:softHyphen/>
        <w:t>тетные сектора производства, повы</w:t>
      </w:r>
      <w:r>
        <w:rPr>
          <w:rFonts w:cs="Times New Roman"/>
        </w:rPr>
        <w:softHyphen/>
        <w:t>шение предсказуемости экономичес</w:t>
      </w:r>
      <w:r>
        <w:rPr>
          <w:rFonts w:cs="Times New Roman"/>
        </w:rPr>
        <w:softHyphen/>
        <w:t>кой ситуации. Задача преодоления инфляции не рассматривается в этом случае как самоцель, а решается со</w:t>
      </w:r>
      <w:r>
        <w:rPr>
          <w:rFonts w:cs="Times New Roman"/>
        </w:rPr>
        <w:softHyphen/>
        <w:t>вместно со стабилизацией производ</w:t>
      </w:r>
      <w:r>
        <w:rPr>
          <w:rFonts w:cs="Times New Roman"/>
        </w:rPr>
        <w:softHyphen/>
        <w:t xml:space="preserve">ства. </w:t>
      </w:r>
    </w:p>
    <w:p w:rsidR="006929DD" w:rsidRDefault="006929DD">
      <w:pPr>
        <w:widowControl w:val="0"/>
        <w:tabs>
          <w:tab w:val="left" w:pos="360"/>
        </w:tabs>
        <w:ind w:left="4" w:firstLine="700"/>
        <w:jc w:val="both"/>
        <w:rPr>
          <w:rFonts w:cs="Times New Roman"/>
        </w:rPr>
      </w:pPr>
      <w:r>
        <w:rPr>
          <w:rFonts w:cs="Times New Roman"/>
        </w:rPr>
        <w:t>Различие между указанными подхо</w:t>
      </w:r>
      <w:r>
        <w:rPr>
          <w:rFonts w:cs="Times New Roman"/>
        </w:rPr>
        <w:softHyphen/>
        <w:t>дами можно сравнить с выбором меж</w:t>
      </w:r>
      <w:r>
        <w:rPr>
          <w:rFonts w:cs="Times New Roman"/>
        </w:rPr>
        <w:softHyphen/>
        <w:t>ду хирургическим и терапевтическим лечением тяжелого больного - ответ зависит от того, выдержит ли "паци</w:t>
      </w:r>
      <w:r>
        <w:rPr>
          <w:rFonts w:cs="Times New Roman"/>
        </w:rPr>
        <w:softHyphen/>
        <w:t>ент" радикальное лечение и есть ли время для менее болезненной, но дли</w:t>
      </w:r>
      <w:r>
        <w:rPr>
          <w:rFonts w:cs="Times New Roman"/>
        </w:rPr>
        <w:softHyphen/>
        <w:t>тельной терапии. Практика покажет, на каком из этих путей удастся добить</w:t>
      </w:r>
      <w:r>
        <w:rPr>
          <w:rFonts w:cs="Times New Roman"/>
        </w:rPr>
        <w:softHyphen/>
        <w:t>ся устойчивой стабилизации, а затем и подъема российской экономики. В любом случае изучение этого процес</w:t>
      </w:r>
      <w:r>
        <w:rPr>
          <w:rFonts w:cs="Times New Roman"/>
        </w:rPr>
        <w:softHyphen/>
        <w:t>са обогатит представления о принци</w:t>
      </w:r>
      <w:r>
        <w:rPr>
          <w:rFonts w:cs="Times New Roman"/>
        </w:rPr>
        <w:softHyphen/>
        <w:t xml:space="preserve">пах и методах преодоления кризисов современных экономических систем. </w:t>
      </w:r>
    </w:p>
    <w:p w:rsidR="006929DD" w:rsidRDefault="006929DD">
      <w:pPr>
        <w:pStyle w:val="1"/>
      </w:pPr>
      <w:r>
        <w:br w:type="page"/>
      </w:r>
      <w:bookmarkStart w:id="60" w:name="_Toc533456926"/>
      <w:bookmarkStart w:id="61" w:name="_Toc533464824"/>
      <w:r>
        <w:t>Заключение</w:t>
      </w:r>
      <w:bookmarkEnd w:id="60"/>
      <w:bookmarkEnd w:id="61"/>
    </w:p>
    <w:p w:rsidR="006929DD" w:rsidRDefault="006929DD"/>
    <w:p w:rsidR="006929DD" w:rsidRDefault="006929DD">
      <w:pPr>
        <w:pStyle w:val="1"/>
      </w:pPr>
      <w:r>
        <w:br w:type="page"/>
      </w:r>
      <w:bookmarkStart w:id="62" w:name="_Toc533456927"/>
      <w:bookmarkStart w:id="63" w:name="_Toc533464825"/>
      <w:r>
        <w:t>Список литературы</w:t>
      </w:r>
      <w:bookmarkEnd w:id="62"/>
      <w:bookmarkEnd w:id="63"/>
    </w:p>
    <w:p w:rsidR="006929DD" w:rsidRDefault="006929DD"/>
    <w:p w:rsidR="006929DD" w:rsidRDefault="006929DD">
      <w:pPr>
        <w:numPr>
          <w:ilvl w:val="0"/>
          <w:numId w:val="3"/>
        </w:numPr>
      </w:pPr>
      <w:r>
        <w:t>Глазьев С. Грядет ли новый финансовый кризис в России?// Вопросы экономики. – 2000. -№6. – С.19-20.</w:t>
      </w:r>
    </w:p>
    <w:p w:rsidR="006929DD" w:rsidRDefault="006929DD">
      <w:pPr>
        <w:numPr>
          <w:ilvl w:val="0"/>
          <w:numId w:val="3"/>
        </w:numPr>
      </w:pPr>
      <w:r>
        <w:t>Голиченко О.Н. Деньги, инфляция, производство: моделирование в условия несовершенной конкуренции. - М., 1997. - 96 с.</w:t>
      </w:r>
    </w:p>
    <w:p w:rsidR="006929DD" w:rsidRDefault="006929DD">
      <w:pPr>
        <w:numPr>
          <w:ilvl w:val="0"/>
          <w:numId w:val="3"/>
        </w:numPr>
      </w:pPr>
      <w:r>
        <w:t>Илларионов А. Экономическая политика в открытой экономике со значительным сырьевым фактором// Вопросы экономики. – 2001. - №4. – С.12-14,20.</w:t>
      </w:r>
    </w:p>
    <w:p w:rsidR="006929DD" w:rsidRDefault="006929DD">
      <w:pPr>
        <w:numPr>
          <w:ilvl w:val="0"/>
          <w:numId w:val="3"/>
        </w:numPr>
      </w:pPr>
      <w:r>
        <w:t>Казанцев С.В. Скрытая природа российской инфляции // ЭКО. - 1996. - N 3. - С.2-20.</w:t>
      </w:r>
    </w:p>
    <w:p w:rsidR="006929DD" w:rsidRDefault="006929DD">
      <w:pPr>
        <w:numPr>
          <w:ilvl w:val="0"/>
          <w:numId w:val="3"/>
        </w:numPr>
      </w:pPr>
      <w:r>
        <w:t>Курс экономической теории: учебник/ Ред.коллегия: М.Н. Чепурин, Е.А. Киселева. – 4-е изд., перераб. И доп. – Киров: «АСА», 2001 г. – 752 с.</w:t>
      </w:r>
    </w:p>
    <w:p w:rsidR="006929DD" w:rsidRDefault="006929DD">
      <w:pPr>
        <w:numPr>
          <w:ilvl w:val="0"/>
          <w:numId w:val="3"/>
        </w:numPr>
      </w:pPr>
      <w:r>
        <w:t>Лубнев Ю.П., Кравцова Н.И. Краткая энциклопедия по экономической теории и практики: /Рост.гос.эконом.акад. - Ростов н/Д.,2000. – 318 с.</w:t>
      </w:r>
    </w:p>
    <w:p w:rsidR="006929DD" w:rsidRDefault="006929DD">
      <w:pPr>
        <w:numPr>
          <w:ilvl w:val="0"/>
          <w:numId w:val="3"/>
        </w:numPr>
      </w:pPr>
      <w:r>
        <w:t xml:space="preserve">Макконел К.Р., Брю С.Л. Экономикс: принципы, проблемы и политика/Пер. с 13-го англ.изд. – М.: ИНФРА-М,2001. – </w:t>
      </w:r>
      <w:r>
        <w:rPr>
          <w:lang w:val="en-US"/>
        </w:rPr>
        <w:t>XXXIV</w:t>
      </w:r>
      <w:r>
        <w:t>, 974 с.</w:t>
      </w:r>
    </w:p>
    <w:p w:rsidR="006929DD" w:rsidRDefault="006929DD">
      <w:pPr>
        <w:numPr>
          <w:ilvl w:val="0"/>
          <w:numId w:val="3"/>
        </w:numPr>
      </w:pPr>
      <w:r>
        <w:t>Новая иллюстрированная энциклопедия. Кн.7. Жа-Ит: - М.: Большая Российская энциклопедия, 2000. – 255 с.:ил.</w:t>
      </w:r>
    </w:p>
    <w:p w:rsidR="006929DD" w:rsidRDefault="006929DD">
      <w:pPr>
        <w:numPr>
          <w:ilvl w:val="0"/>
          <w:numId w:val="3"/>
        </w:numPr>
      </w:pPr>
      <w:r>
        <w:t>Олихов Е.Б.Оценка реформ в РФ// Вопросы экономики. – 2001. - №1. – С.12.</w:t>
      </w:r>
    </w:p>
    <w:p w:rsidR="006929DD" w:rsidRDefault="006929DD">
      <w:pPr>
        <w:numPr>
          <w:ilvl w:val="0"/>
          <w:numId w:val="3"/>
        </w:numPr>
      </w:pPr>
      <w:r>
        <w:t>Пешехонов Ю.В. Особенности инфляционного развития экономики России // Финансы. - 1995. - N 3. - С.3-7.</w:t>
      </w:r>
    </w:p>
    <w:p w:rsidR="006929DD" w:rsidRDefault="006929DD">
      <w:pPr>
        <w:numPr>
          <w:ilvl w:val="0"/>
          <w:numId w:val="3"/>
        </w:numPr>
      </w:pPr>
      <w:r>
        <w:t>Проблемы антиинфляционной стратегии и политики в России // Деньги и кредит. - 1995. - N 1. - С.11-20.</w:t>
      </w:r>
    </w:p>
    <w:p w:rsidR="006929DD" w:rsidRDefault="006929DD">
      <w:pPr>
        <w:numPr>
          <w:ilvl w:val="0"/>
          <w:numId w:val="3"/>
        </w:numPr>
      </w:pPr>
      <w:r>
        <w:t>Райская Н.Н. Особенности измерения инфляции в переходной экономике / Н.Н.Райская, Л.В.Сергиенко, А.А.Френкель // ЭКО. - 1997. - N 9. - С.2-14.</w:t>
      </w:r>
    </w:p>
    <w:p w:rsidR="006929DD" w:rsidRDefault="006929DD">
      <w:pPr>
        <w:numPr>
          <w:ilvl w:val="0"/>
          <w:numId w:val="3"/>
        </w:numPr>
      </w:pPr>
      <w:r>
        <w:t>Рогова О. Инфляция или дестабилизация денежного обращения в России? // Вопр. экономики. - 1992. - N 12. - С.66-74.</w:t>
      </w:r>
    </w:p>
    <w:p w:rsidR="006929DD" w:rsidRDefault="006929DD">
      <w:pPr>
        <w:numPr>
          <w:ilvl w:val="0"/>
          <w:numId w:val="3"/>
        </w:numPr>
      </w:pPr>
      <w:r>
        <w:t>Рябикин В.И. Инфляция: оценка причин и следствий / В.И.Рябикин, В.П.Семенов // Финансы. - 1998. - N 6. - С.62-64.</w:t>
      </w:r>
    </w:p>
    <w:p w:rsidR="006929DD" w:rsidRDefault="006929DD">
      <w:pPr>
        <w:numPr>
          <w:ilvl w:val="0"/>
          <w:numId w:val="3"/>
        </w:numPr>
      </w:pPr>
      <w:r>
        <w:t>Шенаев В.И. К вопросу о преодолении инфляции в России // Деньги и кредит. - 1998. - N 11. - С.25-28.</w:t>
      </w:r>
    </w:p>
    <w:p w:rsidR="006929DD" w:rsidRDefault="006929DD"/>
    <w:p w:rsidR="006929DD" w:rsidRDefault="006929DD">
      <w:pPr>
        <w:pStyle w:val="1"/>
      </w:pPr>
      <w:r>
        <w:br w:type="page"/>
      </w:r>
      <w:bookmarkStart w:id="64" w:name="_Toc533456928"/>
      <w:bookmarkStart w:id="65" w:name="_Toc533464826"/>
      <w:r>
        <w:t>Приложение А</w:t>
      </w:r>
      <w:bookmarkEnd w:id="64"/>
      <w:bookmarkEnd w:id="65"/>
    </w:p>
    <w:p w:rsidR="006929DD" w:rsidRDefault="006929DD"/>
    <w:p w:rsidR="006929DD" w:rsidRDefault="006929DD">
      <w:pPr>
        <w:ind w:left="567" w:right="566"/>
        <w:jc w:val="center"/>
        <w:rPr>
          <w:b/>
          <w:bCs/>
        </w:rPr>
      </w:pPr>
      <w:r>
        <w:rPr>
          <w:b/>
          <w:bCs/>
        </w:rPr>
        <w:t>Среднегодовой рост прироста потребительских цен в % к предыдущему году</w:t>
      </w:r>
    </w:p>
    <w:tbl>
      <w:tblPr>
        <w:tblW w:w="7680" w:type="dxa"/>
        <w:jc w:val="center"/>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tblGrid>
      <w:tr w:rsidR="006929DD">
        <w:trPr>
          <w:trHeight w:val="525"/>
          <w:jc w:val="center"/>
        </w:trPr>
        <w:tc>
          <w:tcPr>
            <w:tcW w:w="960"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1994</w:t>
            </w:r>
          </w:p>
        </w:tc>
        <w:tc>
          <w:tcPr>
            <w:tcW w:w="960" w:type="dxa"/>
            <w:tcBorders>
              <w:top w:val="single" w:sz="8"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1995</w:t>
            </w:r>
          </w:p>
        </w:tc>
        <w:tc>
          <w:tcPr>
            <w:tcW w:w="960" w:type="dxa"/>
            <w:tcBorders>
              <w:top w:val="single" w:sz="8"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1996</w:t>
            </w:r>
          </w:p>
        </w:tc>
        <w:tc>
          <w:tcPr>
            <w:tcW w:w="960" w:type="dxa"/>
            <w:tcBorders>
              <w:top w:val="single" w:sz="8"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1997</w:t>
            </w:r>
          </w:p>
        </w:tc>
        <w:tc>
          <w:tcPr>
            <w:tcW w:w="960" w:type="dxa"/>
            <w:tcBorders>
              <w:top w:val="single" w:sz="8"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1998</w:t>
            </w:r>
          </w:p>
        </w:tc>
        <w:tc>
          <w:tcPr>
            <w:tcW w:w="960" w:type="dxa"/>
            <w:tcBorders>
              <w:top w:val="single" w:sz="8"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1999</w:t>
            </w:r>
          </w:p>
        </w:tc>
        <w:tc>
          <w:tcPr>
            <w:tcW w:w="960" w:type="dxa"/>
            <w:tcBorders>
              <w:top w:val="single" w:sz="8"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2000</w:t>
            </w:r>
          </w:p>
        </w:tc>
        <w:tc>
          <w:tcPr>
            <w:tcW w:w="960" w:type="dxa"/>
            <w:tcBorders>
              <w:top w:val="single" w:sz="8" w:space="0" w:color="auto"/>
              <w:left w:val="nil"/>
              <w:bottom w:val="single" w:sz="4" w:space="0" w:color="auto"/>
              <w:right w:val="single" w:sz="8" w:space="0" w:color="auto"/>
            </w:tcBorders>
            <w:shd w:val="clear" w:color="auto" w:fill="C0C0C0"/>
            <w:noWrap/>
            <w:vAlign w:val="center"/>
          </w:tcPr>
          <w:p w:rsidR="006929DD" w:rsidRDefault="006929DD">
            <w:pPr>
              <w:jc w:val="center"/>
              <w:rPr>
                <w:rFonts w:ascii="Arial" w:hAnsi="Arial"/>
                <w:sz w:val="20"/>
              </w:rPr>
            </w:pPr>
            <w:r>
              <w:rPr>
                <w:rFonts w:ascii="Arial" w:hAnsi="Arial"/>
                <w:sz w:val="20"/>
              </w:rPr>
              <w:t>2001</w:t>
            </w:r>
          </w:p>
        </w:tc>
      </w:tr>
      <w:tr w:rsidR="006929DD">
        <w:trPr>
          <w:trHeight w:val="510"/>
          <w:jc w:val="center"/>
        </w:trPr>
        <w:tc>
          <w:tcPr>
            <w:tcW w:w="0" w:type="auto"/>
            <w:tcBorders>
              <w:top w:val="nil"/>
              <w:left w:val="single" w:sz="8" w:space="0" w:color="auto"/>
              <w:bottom w:val="single" w:sz="8"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309,0</w:t>
            </w:r>
          </w:p>
        </w:tc>
        <w:tc>
          <w:tcPr>
            <w:tcW w:w="0" w:type="auto"/>
            <w:tcBorders>
              <w:top w:val="nil"/>
              <w:left w:val="nil"/>
              <w:bottom w:val="single" w:sz="8"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197,4</w:t>
            </w:r>
          </w:p>
        </w:tc>
        <w:tc>
          <w:tcPr>
            <w:tcW w:w="0" w:type="auto"/>
            <w:tcBorders>
              <w:top w:val="nil"/>
              <w:left w:val="nil"/>
              <w:bottom w:val="single" w:sz="8"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47,8</w:t>
            </w:r>
          </w:p>
        </w:tc>
        <w:tc>
          <w:tcPr>
            <w:tcW w:w="0" w:type="auto"/>
            <w:tcBorders>
              <w:top w:val="nil"/>
              <w:left w:val="nil"/>
              <w:bottom w:val="single" w:sz="8"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14,7</w:t>
            </w:r>
          </w:p>
        </w:tc>
        <w:tc>
          <w:tcPr>
            <w:tcW w:w="0" w:type="auto"/>
            <w:tcBorders>
              <w:top w:val="nil"/>
              <w:left w:val="nil"/>
              <w:bottom w:val="single" w:sz="8"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27,8</w:t>
            </w:r>
          </w:p>
        </w:tc>
        <w:tc>
          <w:tcPr>
            <w:tcW w:w="0" w:type="auto"/>
            <w:tcBorders>
              <w:top w:val="nil"/>
              <w:left w:val="nil"/>
              <w:bottom w:val="single" w:sz="8"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85,7</w:t>
            </w:r>
          </w:p>
        </w:tc>
        <w:tc>
          <w:tcPr>
            <w:tcW w:w="0" w:type="auto"/>
            <w:tcBorders>
              <w:top w:val="nil"/>
              <w:left w:val="nil"/>
              <w:bottom w:val="single" w:sz="8"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20,8</w:t>
            </w:r>
          </w:p>
        </w:tc>
        <w:tc>
          <w:tcPr>
            <w:tcW w:w="0" w:type="auto"/>
            <w:tcBorders>
              <w:top w:val="nil"/>
              <w:left w:val="nil"/>
              <w:bottom w:val="single" w:sz="8" w:space="0" w:color="auto"/>
              <w:right w:val="single" w:sz="8"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25,0</w:t>
            </w:r>
          </w:p>
        </w:tc>
      </w:tr>
    </w:tbl>
    <w:p w:rsidR="006929DD" w:rsidRDefault="009C7F87">
      <w:pPr>
        <w:pStyle w:val="1"/>
      </w:pPr>
      <w:bookmarkStart w:id="66" w:name="_Toc533464827"/>
      <w:r>
        <w:pict>
          <v:shape id="_x0000_i1028" type="#_x0000_t75" style="width:398.25pt;height:207pt">
            <v:imagedata r:id="rId10" o:title=""/>
          </v:shape>
        </w:pict>
      </w:r>
      <w:bookmarkEnd w:id="66"/>
    </w:p>
    <w:p w:rsidR="006929DD" w:rsidRDefault="006929DD"/>
    <w:p w:rsidR="006929DD" w:rsidRDefault="006929DD"/>
    <w:p w:rsidR="006929DD" w:rsidRDefault="006929DD">
      <w:r>
        <w:tab/>
        <w:t>Источник: Вопросы экономики, №4 2001.</w:t>
      </w:r>
    </w:p>
    <w:p w:rsidR="006929DD" w:rsidRDefault="006929DD">
      <w:pPr>
        <w:pStyle w:val="1"/>
      </w:pPr>
      <w:r>
        <w:br w:type="page"/>
      </w:r>
      <w:bookmarkStart w:id="67" w:name="_Toc533456929"/>
      <w:bookmarkStart w:id="68" w:name="_Toc533464828"/>
      <w:r>
        <w:t>Приложение Б</w:t>
      </w:r>
      <w:bookmarkEnd w:id="67"/>
      <w:bookmarkEnd w:id="68"/>
    </w:p>
    <w:p w:rsidR="006929DD" w:rsidRDefault="006929DD">
      <w:pPr>
        <w:pStyle w:val="10"/>
      </w:pPr>
    </w:p>
    <w:p w:rsidR="006929DD" w:rsidRDefault="006929DD">
      <w:pPr>
        <w:jc w:val="center"/>
        <w:rPr>
          <w:b/>
          <w:bCs/>
        </w:rPr>
      </w:pPr>
      <w:r>
        <w:rPr>
          <w:b/>
          <w:bCs/>
        </w:rPr>
        <w:t>Валютный курс руб./долл.</w:t>
      </w:r>
    </w:p>
    <w:tbl>
      <w:tblPr>
        <w:tblW w:w="8360" w:type="dxa"/>
        <w:jc w:val="center"/>
        <w:tblCellMar>
          <w:left w:w="0" w:type="dxa"/>
          <w:right w:w="0" w:type="dxa"/>
        </w:tblCellMar>
        <w:tblLook w:val="0000" w:firstRow="0" w:lastRow="0" w:firstColumn="0" w:lastColumn="0" w:noHBand="0" w:noVBand="0"/>
      </w:tblPr>
      <w:tblGrid>
        <w:gridCol w:w="760"/>
        <w:gridCol w:w="760"/>
        <w:gridCol w:w="760"/>
        <w:gridCol w:w="760"/>
        <w:gridCol w:w="760"/>
        <w:gridCol w:w="760"/>
        <w:gridCol w:w="760"/>
        <w:gridCol w:w="760"/>
        <w:gridCol w:w="760"/>
        <w:gridCol w:w="760"/>
        <w:gridCol w:w="760"/>
      </w:tblGrid>
      <w:tr w:rsidR="006929DD">
        <w:trPr>
          <w:trHeight w:val="499"/>
          <w:jc w:val="center"/>
        </w:trPr>
        <w:tc>
          <w:tcPr>
            <w:tcW w:w="7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1991</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1992</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1993</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1994</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1995</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1996</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1997</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1998</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1999</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2000</w:t>
            </w:r>
          </w:p>
        </w:tc>
        <w:tc>
          <w:tcPr>
            <w:tcW w:w="760" w:type="dxa"/>
            <w:tcBorders>
              <w:top w:val="single" w:sz="4" w:space="0" w:color="auto"/>
              <w:left w:val="nil"/>
              <w:bottom w:val="single" w:sz="4" w:space="0" w:color="auto"/>
              <w:right w:val="single" w:sz="4" w:space="0" w:color="auto"/>
            </w:tcBorders>
            <w:shd w:val="clear" w:color="auto" w:fill="C0C0C0"/>
            <w:noWrap/>
            <w:vAlign w:val="center"/>
          </w:tcPr>
          <w:p w:rsidR="006929DD" w:rsidRDefault="006929DD">
            <w:pPr>
              <w:jc w:val="center"/>
              <w:rPr>
                <w:rFonts w:ascii="Arial" w:hAnsi="Arial"/>
                <w:sz w:val="20"/>
              </w:rPr>
            </w:pPr>
            <w:r>
              <w:rPr>
                <w:rFonts w:ascii="Arial" w:hAnsi="Arial"/>
                <w:sz w:val="20"/>
              </w:rPr>
              <w:t>2001</w:t>
            </w:r>
          </w:p>
        </w:tc>
      </w:tr>
      <w:tr w:rsidR="006929DD">
        <w:trPr>
          <w:trHeight w:val="499"/>
          <w:jc w:val="center"/>
        </w:trPr>
        <w:tc>
          <w:tcPr>
            <w:tcW w:w="0" w:type="auto"/>
            <w:tcBorders>
              <w:top w:val="nil"/>
              <w:left w:val="single" w:sz="4" w:space="0" w:color="auto"/>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0,0</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0,2</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0,9</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2,3</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4,6</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5,1</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5,8</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9,7</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24,6</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28,1</w:t>
            </w:r>
          </w:p>
        </w:tc>
        <w:tc>
          <w:tcPr>
            <w:tcW w:w="0" w:type="auto"/>
            <w:tcBorders>
              <w:top w:val="nil"/>
              <w:left w:val="nil"/>
              <w:bottom w:val="single" w:sz="4" w:space="0" w:color="auto"/>
              <w:right w:val="single" w:sz="4" w:space="0" w:color="auto"/>
            </w:tcBorders>
            <w:shd w:val="clear" w:color="auto" w:fill="969696"/>
            <w:noWrap/>
            <w:vAlign w:val="center"/>
          </w:tcPr>
          <w:p w:rsidR="006929DD" w:rsidRDefault="006929DD">
            <w:pPr>
              <w:jc w:val="center"/>
              <w:rPr>
                <w:rFonts w:ascii="Arial" w:hAnsi="Arial"/>
                <w:b/>
                <w:bCs/>
                <w:sz w:val="20"/>
              </w:rPr>
            </w:pPr>
            <w:r>
              <w:rPr>
                <w:rFonts w:ascii="Arial" w:hAnsi="Arial"/>
                <w:b/>
                <w:bCs/>
                <w:sz w:val="20"/>
              </w:rPr>
              <w:t>30,0</w:t>
            </w:r>
          </w:p>
        </w:tc>
      </w:tr>
    </w:tbl>
    <w:p w:rsidR="006929DD" w:rsidRDefault="006929DD">
      <w:pPr>
        <w:jc w:val="center"/>
        <w:rPr>
          <w:b/>
          <w:bCs/>
        </w:rPr>
      </w:pPr>
    </w:p>
    <w:p w:rsidR="006929DD" w:rsidRDefault="009C7F87">
      <w:pPr>
        <w:pStyle w:val="10"/>
      </w:pPr>
      <w:r>
        <w:pict>
          <v:shape id="_x0000_i1029" type="#_x0000_t75" style="width:423pt;height:213pt">
            <v:imagedata r:id="rId11" o:title=""/>
          </v:shape>
        </w:pict>
      </w:r>
    </w:p>
    <w:p w:rsidR="006929DD" w:rsidRDefault="006929DD"/>
    <w:p w:rsidR="006929DD" w:rsidRDefault="006929DD">
      <w:pPr>
        <w:pStyle w:val="10"/>
      </w:pPr>
      <w:r>
        <w:t>Источник: Вопросы экономики, №4 2001.</w:t>
      </w:r>
    </w:p>
    <w:p w:rsidR="006929DD" w:rsidRDefault="006929DD">
      <w:pPr>
        <w:pStyle w:val="1"/>
      </w:pPr>
      <w:r>
        <w:br w:type="page"/>
      </w:r>
      <w:bookmarkStart w:id="69" w:name="_Toc533456930"/>
      <w:bookmarkStart w:id="70" w:name="_Toc533464829"/>
      <w:r>
        <w:t>Приложение В</w:t>
      </w:r>
      <w:bookmarkEnd w:id="69"/>
      <w:bookmarkEnd w:id="70"/>
    </w:p>
    <w:p w:rsidR="006929DD" w:rsidRDefault="006929DD"/>
    <w:p w:rsidR="006929DD" w:rsidRDefault="009C7F87">
      <w:pPr>
        <w:pStyle w:val="1"/>
      </w:pPr>
      <w:bookmarkStart w:id="71" w:name="_Toc533464830"/>
      <w:r>
        <w:pict>
          <v:shape id="_x0000_i1030" type="#_x0000_t75" style="width:367.5pt;height:216.75pt">
            <v:imagedata r:id="rId12" o:title="2"/>
          </v:shape>
        </w:pict>
      </w:r>
      <w:bookmarkEnd w:id="71"/>
    </w:p>
    <w:p w:rsidR="006929DD" w:rsidRDefault="006929DD">
      <w:r>
        <w:tab/>
      </w:r>
    </w:p>
    <w:p w:rsidR="006929DD" w:rsidRDefault="006929DD"/>
    <w:p w:rsidR="006929DD" w:rsidRDefault="006929DD">
      <w:r>
        <w:t>Источник: Вопросы экономики, №3 2001.</w:t>
      </w:r>
    </w:p>
    <w:p w:rsidR="006929DD" w:rsidRDefault="006929DD">
      <w:pPr>
        <w:pStyle w:val="1"/>
      </w:pPr>
      <w:r>
        <w:br w:type="page"/>
      </w:r>
      <w:bookmarkStart w:id="72" w:name="_Toc533456931"/>
      <w:bookmarkStart w:id="73" w:name="_Toc533464831"/>
      <w:r>
        <w:t>Приложение Г</w:t>
      </w:r>
      <w:bookmarkEnd w:id="72"/>
      <w:bookmarkEnd w:id="73"/>
    </w:p>
    <w:p w:rsidR="006929DD" w:rsidRDefault="006929DD"/>
    <w:p w:rsidR="006929DD" w:rsidRDefault="009C7F87">
      <w:pPr>
        <w:pStyle w:val="1"/>
      </w:pPr>
      <w:bookmarkStart w:id="74" w:name="_Toc533464832"/>
      <w:r>
        <w:pict>
          <v:shape id="_x0000_i1031" type="#_x0000_t75" style="width:362.25pt;height:223.5pt">
            <v:imagedata r:id="rId13" o:title="1"/>
          </v:shape>
        </w:pict>
      </w:r>
      <w:bookmarkEnd w:id="74"/>
    </w:p>
    <w:p w:rsidR="006929DD" w:rsidRDefault="006929DD"/>
    <w:p w:rsidR="006929DD" w:rsidRDefault="006929DD">
      <w:r>
        <w:t>Источник: Вопросы экономики, №4 2001.</w:t>
      </w:r>
    </w:p>
    <w:p w:rsidR="006929DD" w:rsidRDefault="006929DD">
      <w:pPr>
        <w:pStyle w:val="1"/>
      </w:pPr>
      <w:r>
        <w:br w:type="page"/>
      </w:r>
      <w:bookmarkStart w:id="75" w:name="_Toc533456932"/>
      <w:bookmarkStart w:id="76" w:name="_Toc533464833"/>
      <w:r>
        <w:t>Приложение Д</w:t>
      </w:r>
      <w:bookmarkEnd w:id="75"/>
      <w:bookmarkEnd w:id="76"/>
    </w:p>
    <w:p w:rsidR="006929DD" w:rsidRDefault="006929DD"/>
    <w:p w:rsidR="006929DD" w:rsidRDefault="006929DD"/>
    <w:p w:rsidR="006929DD" w:rsidRDefault="006929DD">
      <w:pPr>
        <w:ind w:left="851" w:right="1416"/>
        <w:jc w:val="center"/>
        <w:rPr>
          <w:i/>
          <w:iCs/>
        </w:rPr>
      </w:pPr>
      <w:r>
        <w:rPr>
          <w:b/>
          <w:bCs/>
        </w:rPr>
        <w:t>Дефицит (профицит) консолидированного бюджета по отношению к ВВП</w:t>
      </w:r>
      <w:r>
        <w:t xml:space="preserve"> (</w:t>
      </w:r>
      <w:r>
        <w:rPr>
          <w:i/>
          <w:iCs/>
        </w:rPr>
        <w:t>в %)</w:t>
      </w:r>
    </w:p>
    <w:tbl>
      <w:tblPr>
        <w:tblW w:w="96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gridCol w:w="600"/>
        <w:gridCol w:w="600"/>
        <w:gridCol w:w="600"/>
        <w:gridCol w:w="600"/>
      </w:tblGrid>
      <w:tr w:rsidR="006929DD">
        <w:trPr>
          <w:trHeight w:val="499"/>
        </w:trPr>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1985</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1986</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1987</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1988</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1989</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1990</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1991</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1992</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1993</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1994</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1995</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1996</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1997</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1998</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1999</w:t>
            </w:r>
          </w:p>
        </w:tc>
        <w:tc>
          <w:tcPr>
            <w:tcW w:w="600" w:type="dxa"/>
            <w:shd w:val="clear" w:color="auto" w:fill="C0C0C0"/>
            <w:noWrap/>
            <w:tcMar>
              <w:top w:w="20" w:type="dxa"/>
              <w:left w:w="20" w:type="dxa"/>
              <w:bottom w:w="0" w:type="dxa"/>
              <w:right w:w="20" w:type="dxa"/>
            </w:tcMar>
            <w:vAlign w:val="center"/>
          </w:tcPr>
          <w:p w:rsidR="006929DD" w:rsidRDefault="006929DD">
            <w:pPr>
              <w:jc w:val="center"/>
              <w:rPr>
                <w:rFonts w:ascii="Arial" w:hAnsi="Arial"/>
                <w:sz w:val="20"/>
              </w:rPr>
            </w:pPr>
            <w:r>
              <w:rPr>
                <w:rFonts w:ascii="Arial" w:hAnsi="Arial"/>
                <w:sz w:val="20"/>
              </w:rPr>
              <w:t>2000</w:t>
            </w:r>
          </w:p>
        </w:tc>
      </w:tr>
      <w:tr w:rsidR="006929DD">
        <w:trPr>
          <w:trHeight w:val="499"/>
        </w:trPr>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-1,8</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-5,7</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-6,4</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-9,2</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-8,6</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-4,1</w:t>
            </w:r>
          </w:p>
        </w:tc>
        <w:tc>
          <w:tcPr>
            <w:tcW w:w="0" w:type="auto"/>
            <w:shd w:val="clear" w:color="auto" w:fill="FFFFFF"/>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-24,7</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-8</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-11,2</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-5,1</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-7,5</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-8,9</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-3,2</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-1</w:t>
            </w:r>
          </w:p>
        </w:tc>
        <w:tc>
          <w:tcPr>
            <w:tcW w:w="0" w:type="auto"/>
            <w:shd w:val="clear" w:color="auto" w:fill="969696"/>
            <w:noWrap/>
            <w:tcMar>
              <w:top w:w="20" w:type="dxa"/>
              <w:left w:w="20" w:type="dxa"/>
              <w:bottom w:w="0" w:type="dxa"/>
              <w:right w:w="20" w:type="dxa"/>
            </w:tcMar>
            <w:vAlign w:val="center"/>
          </w:tcPr>
          <w:p w:rsidR="006929DD" w:rsidRDefault="006929DD">
            <w:pPr>
              <w:jc w:val="center"/>
              <w:rPr>
                <w:rFonts w:ascii="Arial" w:hAnsi="Arial"/>
                <w:b/>
                <w:bCs/>
                <w:sz w:val="20"/>
              </w:rPr>
            </w:pPr>
            <w:r>
              <w:rPr>
                <w:rFonts w:ascii="Arial" w:hAnsi="Arial"/>
                <w:b/>
                <w:bCs/>
                <w:sz w:val="20"/>
              </w:rPr>
              <w:t>+4,6</w:t>
            </w:r>
          </w:p>
        </w:tc>
      </w:tr>
    </w:tbl>
    <w:p w:rsidR="006929DD" w:rsidRDefault="006929DD">
      <w:pPr>
        <w:ind w:left="851" w:right="1416"/>
      </w:pPr>
    </w:p>
    <w:p w:rsidR="006929DD" w:rsidRDefault="006929DD">
      <w:pPr>
        <w:ind w:left="851" w:right="1416"/>
      </w:pPr>
      <w:r>
        <w:t>* Нет данных за 1991 г.</w:t>
      </w:r>
    </w:p>
    <w:p w:rsidR="006929DD" w:rsidRDefault="006929DD">
      <w:pPr>
        <w:ind w:left="851" w:right="1416"/>
      </w:pPr>
    </w:p>
    <w:p w:rsidR="006929DD" w:rsidRDefault="009C7F87">
      <w:pPr>
        <w:tabs>
          <w:tab w:val="left" w:pos="9214"/>
        </w:tabs>
        <w:ind w:left="426" w:right="707"/>
        <w:jc w:val="center"/>
      </w:pPr>
      <w:r>
        <w:pict>
          <v:shape id="_x0000_i1032" type="#_x0000_t75" style="width:416.25pt;height:215.25pt">
            <v:imagedata r:id="rId14" o:title=""/>
          </v:shape>
        </w:pict>
      </w:r>
    </w:p>
    <w:p w:rsidR="006929DD" w:rsidRDefault="006929DD">
      <w:pPr>
        <w:ind w:left="851" w:right="1416"/>
      </w:pPr>
    </w:p>
    <w:p w:rsidR="006929DD" w:rsidRDefault="006929DD">
      <w:pPr>
        <w:ind w:left="851" w:right="1416"/>
      </w:pPr>
    </w:p>
    <w:p w:rsidR="006929DD" w:rsidRDefault="006929DD">
      <w:pPr>
        <w:ind w:left="851" w:right="1416"/>
      </w:pPr>
      <w:r>
        <w:t>Источник: Вопросы экономики, №3 2001.</w:t>
      </w:r>
      <w:bookmarkStart w:id="77" w:name="_GoBack"/>
      <w:bookmarkEnd w:id="77"/>
    </w:p>
    <w:sectPr w:rsidR="006929DD">
      <w:headerReference w:type="even" r:id="rId15"/>
      <w:headerReference w:type="default" r:id="rId16"/>
      <w:pgSz w:w="11906" w:h="16838"/>
      <w:pgMar w:top="1134" w:right="567"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DD" w:rsidRDefault="006929DD">
      <w:r>
        <w:separator/>
      </w:r>
    </w:p>
  </w:endnote>
  <w:endnote w:type="continuationSeparator" w:id="0">
    <w:p w:rsidR="006929DD" w:rsidRDefault="006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DD" w:rsidRDefault="006929DD">
      <w:r>
        <w:separator/>
      </w:r>
    </w:p>
  </w:footnote>
  <w:footnote w:type="continuationSeparator" w:id="0">
    <w:p w:rsidR="006929DD" w:rsidRDefault="006929DD">
      <w:r>
        <w:continuationSeparator/>
      </w:r>
    </w:p>
  </w:footnote>
  <w:footnote w:id="1">
    <w:p w:rsidR="006929DD" w:rsidRDefault="006929DD">
      <w:pPr>
        <w:pStyle w:val="a8"/>
      </w:pPr>
      <w:r>
        <w:rPr>
          <w:rStyle w:val="a9"/>
        </w:rPr>
        <w:footnoteRef/>
      </w:r>
      <w:r>
        <w:t xml:space="preserve"> Новая иллюстрированная энциклопедия. С.208-209</w:t>
      </w:r>
    </w:p>
  </w:footnote>
  <w:footnote w:id="2">
    <w:p w:rsidR="006929DD" w:rsidRDefault="006929DD">
      <w:pPr>
        <w:pStyle w:val="a8"/>
      </w:pPr>
      <w:r>
        <w:rPr>
          <w:rStyle w:val="a9"/>
        </w:rPr>
        <w:footnoteRef/>
      </w:r>
      <w:r>
        <w:t xml:space="preserve"> Вопросы экономики. 1995г. №3. С.5.</w:t>
      </w:r>
    </w:p>
  </w:footnote>
  <w:footnote w:id="3">
    <w:p w:rsidR="006929DD" w:rsidRDefault="006929DD">
      <w:pPr>
        <w:pStyle w:val="a8"/>
      </w:pPr>
      <w:r>
        <w:rPr>
          <w:rStyle w:val="a9"/>
        </w:rPr>
        <w:footnoteRef/>
      </w:r>
      <w:r>
        <w:t xml:space="preserve"> Коммерсант. 1995г. 4 апреля. С. 59.</w:t>
      </w:r>
    </w:p>
  </w:footnote>
  <w:footnote w:id="4">
    <w:p w:rsidR="006929DD" w:rsidRDefault="006929DD">
      <w:pPr>
        <w:ind w:left="280" w:firstLine="440"/>
        <w:jc w:val="both"/>
        <w:rPr>
          <w:snapToGrid w:val="0"/>
          <w:sz w:val="20"/>
        </w:rPr>
      </w:pPr>
      <w:r>
        <w:rPr>
          <w:rStyle w:val="a9"/>
          <w:sz w:val="20"/>
        </w:rPr>
        <w:footnoteRef/>
      </w:r>
      <w:r>
        <w:rPr>
          <w:sz w:val="20"/>
        </w:rPr>
        <w:t xml:space="preserve"> </w:t>
      </w:r>
      <w:r>
        <w:rPr>
          <w:snapToGrid w:val="0"/>
          <w:sz w:val="20"/>
        </w:rPr>
        <w:t xml:space="preserve">Одно из наиболее радикальных предложений по ликвидации монополии ЦБ на эмиссию денег - выдвинутая в 1975 г. </w:t>
      </w:r>
      <w:r>
        <w:rPr>
          <w:snapToGrid w:val="0"/>
          <w:color w:val="008000"/>
          <w:sz w:val="20"/>
        </w:rPr>
        <w:t>Ф.Хайеком</w:t>
      </w:r>
      <w:r>
        <w:rPr>
          <w:snapToGrid w:val="0"/>
          <w:sz w:val="20"/>
        </w:rPr>
        <w:t xml:space="preserve"> идея</w:t>
      </w:r>
      <w:r>
        <w:rPr>
          <w:b/>
          <w:snapToGrid w:val="0"/>
          <w:sz w:val="20"/>
        </w:rPr>
        <w:t xml:space="preserve"> денационализации денег,</w:t>
      </w:r>
      <w:r>
        <w:rPr>
          <w:snapToGrid w:val="0"/>
          <w:sz w:val="20"/>
        </w:rPr>
        <w:t xml:space="preserve"> т.е. введение системы конкурирующих частных валют (частных денег), эмитируемых частными коммерческими банками. Каждый эмитент будет заинтересован в том, чтобы именно его валюта пользовалась наибольшим с</w:t>
      </w:r>
      <w:r>
        <w:rPr>
          <w:snapToGrid w:val="0"/>
          <w:color w:val="008000"/>
          <w:sz w:val="20"/>
        </w:rPr>
        <w:t>п</w:t>
      </w:r>
      <w:r>
        <w:rPr>
          <w:snapToGrid w:val="0"/>
          <w:sz w:val="20"/>
        </w:rPr>
        <w:t xml:space="preserve">росом, а потому будет поддерживать ее устойчивость в конкурентной борьбе с другими частными эмитентами денег. См. </w:t>
      </w:r>
      <w:r>
        <w:rPr>
          <w:snapToGrid w:val="0"/>
          <w:color w:val="008000"/>
          <w:sz w:val="20"/>
        </w:rPr>
        <w:t>Хайек</w:t>
      </w:r>
      <w:r>
        <w:rPr>
          <w:snapToGrid w:val="0"/>
          <w:sz w:val="20"/>
        </w:rPr>
        <w:t xml:space="preserve"> </w:t>
      </w:r>
      <w:r>
        <w:rPr>
          <w:snapToGrid w:val="0"/>
          <w:color w:val="008000"/>
          <w:sz w:val="20"/>
        </w:rPr>
        <w:t>Ф.</w:t>
      </w:r>
      <w:r>
        <w:rPr>
          <w:snapToGrid w:val="0"/>
          <w:sz w:val="20"/>
        </w:rPr>
        <w:t xml:space="preserve"> Частные деньги. </w:t>
      </w:r>
      <w:r>
        <w:rPr>
          <w:snapToGrid w:val="0"/>
          <w:color w:val="008000"/>
          <w:sz w:val="20"/>
        </w:rPr>
        <w:t>М.,1996.</w:t>
      </w:r>
    </w:p>
    <w:p w:rsidR="006929DD" w:rsidRDefault="006929DD">
      <w:pPr>
        <w:pStyle w:val="a8"/>
      </w:pPr>
    </w:p>
  </w:footnote>
  <w:footnote w:id="5">
    <w:p w:rsidR="006929DD" w:rsidRDefault="006929DD">
      <w:pPr>
        <w:ind w:firstLine="280"/>
        <w:rPr>
          <w:snapToGrid w:val="0"/>
          <w:sz w:val="20"/>
        </w:rPr>
      </w:pPr>
      <w:r>
        <w:rPr>
          <w:rStyle w:val="a9"/>
          <w:sz w:val="20"/>
        </w:rPr>
        <w:footnoteRef/>
      </w:r>
      <w:r>
        <w:rPr>
          <w:sz w:val="20"/>
        </w:rPr>
        <w:t xml:space="preserve"> </w:t>
      </w:r>
      <w:r>
        <w:rPr>
          <w:snapToGrid w:val="0"/>
          <w:sz w:val="20"/>
        </w:rPr>
        <w:t>В данном случае мы не рассматриваем вариант политики цен и заработной платы, связанный с фиксацией, с замораживанием цен и доходов, так как это ведет к развитию подавленной инфляции, резко усиливает отложенные ценовые (инфляционные) ожидания. После ее отмены может произойти инфляционный шок.</w:t>
      </w:r>
    </w:p>
    <w:p w:rsidR="006929DD" w:rsidRDefault="006929DD">
      <w:pPr>
        <w:pStyle w:val="a8"/>
      </w:pPr>
    </w:p>
  </w:footnote>
  <w:footnote w:id="6">
    <w:p w:rsidR="006929DD" w:rsidRDefault="006929DD">
      <w:pPr>
        <w:pStyle w:val="a8"/>
      </w:pPr>
      <w:r>
        <w:rPr>
          <w:rStyle w:val="a9"/>
        </w:rPr>
        <w:footnoteRef/>
      </w:r>
      <w:r>
        <w:rPr>
          <w:lang w:val="en-US"/>
        </w:rPr>
        <w:t xml:space="preserve"> Sunley. E.M. et al. Russian Federation: taxation of the oil and gas sector. IMF,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DD" w:rsidRDefault="006929DD">
    <w:pPr>
      <w:pStyle w:val="a3"/>
      <w:framePr w:wrap="around" w:vAnchor="text" w:hAnchor="margin" w:xAlign="center" w:y="1"/>
      <w:rPr>
        <w:rStyle w:val="a4"/>
      </w:rPr>
    </w:pPr>
  </w:p>
  <w:p w:rsidR="006929DD" w:rsidRDefault="006929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DD" w:rsidRDefault="009B3F5B">
    <w:pPr>
      <w:pStyle w:val="a3"/>
      <w:framePr w:wrap="around" w:vAnchor="text" w:hAnchor="margin" w:xAlign="center" w:y="1"/>
      <w:rPr>
        <w:rStyle w:val="a4"/>
      </w:rPr>
    </w:pPr>
    <w:r>
      <w:rPr>
        <w:rStyle w:val="a4"/>
        <w:noProof/>
      </w:rPr>
      <w:t>4</w:t>
    </w:r>
  </w:p>
  <w:p w:rsidR="006929DD" w:rsidRDefault="006929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A087D"/>
    <w:multiLevelType w:val="hybridMultilevel"/>
    <w:tmpl w:val="93DCC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8CD5FB7"/>
    <w:multiLevelType w:val="hybridMultilevel"/>
    <w:tmpl w:val="7B96CF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410EAA"/>
    <w:multiLevelType w:val="hybridMultilevel"/>
    <w:tmpl w:val="93187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F5B"/>
    <w:rsid w:val="004716CD"/>
    <w:rsid w:val="006929DD"/>
    <w:rsid w:val="009B3F5B"/>
    <w:rsid w:val="009C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5BF761D-7669-4C14-94B8-35C067FF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8"/>
    </w:rPr>
  </w:style>
  <w:style w:type="paragraph" w:styleId="1">
    <w:name w:val="heading 1"/>
    <w:basedOn w:val="a"/>
    <w:next w:val="a"/>
    <w:qFormat/>
    <w:pPr>
      <w:keepNext/>
      <w:spacing w:before="240" w:after="60"/>
      <w:jc w:val="center"/>
      <w:outlineLvl w:val="0"/>
    </w:pPr>
    <w:rPr>
      <w:rFonts w:cs="Times New Roman"/>
      <w:b/>
      <w:bCs/>
      <w:kern w:val="32"/>
      <w:sz w:val="36"/>
      <w:szCs w:val="32"/>
    </w:rPr>
  </w:style>
  <w:style w:type="paragraph" w:styleId="2">
    <w:name w:val="heading 2"/>
    <w:basedOn w:val="a"/>
    <w:next w:val="a"/>
    <w:qFormat/>
    <w:pPr>
      <w:keepNext/>
      <w:spacing w:before="240" w:after="60"/>
      <w:jc w:val="center"/>
      <w:outlineLvl w:val="1"/>
    </w:pPr>
    <w:rPr>
      <w:rFonts w:cs="Times New Roman"/>
      <w:sz w:val="32"/>
      <w:szCs w:val="28"/>
    </w:rPr>
  </w:style>
  <w:style w:type="paragraph" w:styleId="3">
    <w:name w:val="heading 3"/>
    <w:basedOn w:val="a"/>
    <w:next w:val="a"/>
    <w:qFormat/>
    <w:pPr>
      <w:keepNext/>
      <w:spacing w:before="240" w:after="60"/>
      <w:jc w:val="center"/>
      <w:outlineLvl w:val="2"/>
    </w:pPr>
    <w:rPr>
      <w:rFonts w:cs="Times New Roman"/>
      <w:szCs w:val="26"/>
    </w:rPr>
  </w:style>
  <w:style w:type="paragraph" w:styleId="4">
    <w:name w:val="heading 4"/>
    <w:basedOn w:val="a"/>
    <w:next w:val="a"/>
    <w:qFormat/>
    <w:pPr>
      <w:keepNext/>
      <w:ind w:left="6237" w:firstLine="709"/>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uppressAutoHyphens/>
      <w:ind w:firstLine="720"/>
      <w:jc w:val="both"/>
    </w:pPr>
  </w:style>
  <w:style w:type="paragraph" w:styleId="a6">
    <w:name w:val="Body Text"/>
    <w:basedOn w:val="a"/>
    <w:semiHidden/>
    <w:pPr>
      <w:tabs>
        <w:tab w:val="left" w:pos="360"/>
      </w:tabs>
      <w:jc w:val="both"/>
    </w:pPr>
    <w:rPr>
      <w:rFonts w:cs="Times New Roman"/>
    </w:rPr>
  </w:style>
  <w:style w:type="paragraph" w:styleId="20">
    <w:name w:val="Body Text Indent 2"/>
    <w:basedOn w:val="a"/>
    <w:semiHidden/>
    <w:pPr>
      <w:tabs>
        <w:tab w:val="left" w:pos="360"/>
      </w:tabs>
      <w:ind w:firstLine="709"/>
      <w:jc w:val="both"/>
    </w:pPr>
    <w:rPr>
      <w:rFonts w:cs="Times New Roman"/>
    </w:rPr>
  </w:style>
  <w:style w:type="paragraph" w:styleId="10">
    <w:name w:val="toc 1"/>
    <w:basedOn w:val="a"/>
    <w:next w:val="a"/>
    <w:autoRedefine/>
    <w:semiHidden/>
    <w:pPr>
      <w:spacing w:before="240" w:after="120"/>
    </w:pPr>
    <w:rPr>
      <w:rFonts w:cs="Times New Roman"/>
      <w:b/>
      <w:bCs/>
      <w:szCs w:val="24"/>
    </w:rPr>
  </w:style>
  <w:style w:type="paragraph" w:styleId="21">
    <w:name w:val="toc 2"/>
    <w:basedOn w:val="a"/>
    <w:next w:val="a"/>
    <w:autoRedefine/>
    <w:semiHidden/>
    <w:pPr>
      <w:spacing w:before="120"/>
      <w:ind w:left="280"/>
    </w:pPr>
    <w:rPr>
      <w:rFonts w:cs="Times New Roman"/>
      <w:i/>
      <w:iCs/>
      <w:szCs w:val="24"/>
    </w:rPr>
  </w:style>
  <w:style w:type="paragraph" w:styleId="30">
    <w:name w:val="toc 3"/>
    <w:basedOn w:val="a"/>
    <w:next w:val="a"/>
    <w:autoRedefine/>
    <w:semiHidden/>
    <w:pPr>
      <w:ind w:left="560"/>
    </w:pPr>
    <w:rPr>
      <w:rFonts w:cs="Times New Roman"/>
      <w:szCs w:val="24"/>
    </w:rPr>
  </w:style>
  <w:style w:type="paragraph" w:styleId="40">
    <w:name w:val="toc 4"/>
    <w:basedOn w:val="a"/>
    <w:next w:val="a"/>
    <w:autoRedefine/>
    <w:semiHidden/>
    <w:pPr>
      <w:ind w:left="840"/>
    </w:pPr>
    <w:rPr>
      <w:rFonts w:cs="Times New Roman"/>
      <w:szCs w:val="24"/>
    </w:rPr>
  </w:style>
  <w:style w:type="paragraph" w:styleId="5">
    <w:name w:val="toc 5"/>
    <w:basedOn w:val="a"/>
    <w:next w:val="a"/>
    <w:autoRedefine/>
    <w:semiHidden/>
    <w:pPr>
      <w:ind w:left="1120"/>
    </w:pPr>
    <w:rPr>
      <w:rFonts w:cs="Times New Roman"/>
      <w:szCs w:val="24"/>
    </w:rPr>
  </w:style>
  <w:style w:type="paragraph" w:styleId="6">
    <w:name w:val="toc 6"/>
    <w:basedOn w:val="a"/>
    <w:next w:val="a"/>
    <w:autoRedefine/>
    <w:semiHidden/>
    <w:pPr>
      <w:ind w:left="1400"/>
    </w:pPr>
    <w:rPr>
      <w:rFonts w:cs="Times New Roman"/>
      <w:szCs w:val="24"/>
    </w:rPr>
  </w:style>
  <w:style w:type="paragraph" w:styleId="7">
    <w:name w:val="toc 7"/>
    <w:basedOn w:val="a"/>
    <w:next w:val="a"/>
    <w:autoRedefine/>
    <w:semiHidden/>
    <w:pPr>
      <w:ind w:left="1680"/>
    </w:pPr>
    <w:rPr>
      <w:rFonts w:cs="Times New Roman"/>
      <w:szCs w:val="24"/>
    </w:rPr>
  </w:style>
  <w:style w:type="paragraph" w:styleId="8">
    <w:name w:val="toc 8"/>
    <w:basedOn w:val="a"/>
    <w:next w:val="a"/>
    <w:autoRedefine/>
    <w:semiHidden/>
    <w:pPr>
      <w:ind w:left="1960"/>
    </w:pPr>
    <w:rPr>
      <w:rFonts w:cs="Times New Roman"/>
      <w:szCs w:val="24"/>
    </w:rPr>
  </w:style>
  <w:style w:type="paragraph" w:styleId="9">
    <w:name w:val="toc 9"/>
    <w:basedOn w:val="a"/>
    <w:next w:val="a"/>
    <w:autoRedefine/>
    <w:semiHidden/>
    <w:pPr>
      <w:ind w:left="2240"/>
    </w:pPr>
    <w:rPr>
      <w:rFonts w:cs="Times New Roman"/>
      <w:szCs w:val="24"/>
    </w:rPr>
  </w:style>
  <w:style w:type="character" w:styleId="a7">
    <w:name w:val="Hyperlink"/>
    <w:semiHidden/>
    <w:rPr>
      <w:color w:val="0000FF"/>
      <w:u w:val="single"/>
    </w:rPr>
  </w:style>
  <w:style w:type="paragraph" w:styleId="a8">
    <w:name w:val="footnote text"/>
    <w:basedOn w:val="a"/>
    <w:semiHidden/>
    <w:rPr>
      <w:sz w:val="20"/>
    </w:rPr>
  </w:style>
  <w:style w:type="character" w:styleId="a9">
    <w:name w:val="footnote reference"/>
    <w:semiHidden/>
    <w:rPr>
      <w:vertAlign w:val="superscript"/>
    </w:rPr>
  </w:style>
  <w:style w:type="paragraph" w:styleId="31">
    <w:name w:val="Body Text Indent 3"/>
    <w:basedOn w:val="a"/>
    <w:semiHidden/>
    <w:pPr>
      <w:ind w:left="360"/>
      <w:jc w:val="both"/>
    </w:pPr>
  </w:style>
  <w:style w:type="character" w:styleId="aa">
    <w:name w:val="FollowedHyperlink"/>
    <w:semiHidden/>
    <w:rPr>
      <w:color w:val="800080"/>
      <w:u w:val="single"/>
    </w:rPr>
  </w:style>
  <w:style w:type="paragraph" w:styleId="ab">
    <w:name w:val="Block Text"/>
    <w:basedOn w:val="a"/>
    <w:semiHidden/>
    <w:pPr>
      <w:widowControl w:val="0"/>
      <w:tabs>
        <w:tab w:val="left" w:pos="360"/>
      </w:tabs>
      <w:ind w:left="720" w:right="1435" w:hanging="14"/>
      <w:jc w:val="both"/>
    </w:pPr>
    <w:rPr>
      <w:rFonts w:cs="Times New Roman"/>
      <w:sz w:val="20"/>
      <w:szCs w:val="24"/>
    </w:rPr>
  </w:style>
  <w:style w:type="character" w:styleId="ac">
    <w:name w:val="annotation reference"/>
    <w:semiHidden/>
    <w:rPr>
      <w:sz w:val="16"/>
    </w:rPr>
  </w:style>
  <w:style w:type="paragraph" w:styleId="ad">
    <w:name w:val="annotation text"/>
    <w:basedOn w:val="a"/>
    <w:semiHidden/>
    <w:pPr>
      <w:overflowPunct w:val="0"/>
      <w:autoSpaceDE w:val="0"/>
      <w:autoSpaceDN w:val="0"/>
      <w:adjustRightInd w:val="0"/>
      <w:textAlignment w:val="baseline"/>
    </w:pPr>
    <w:rPr>
      <w:rFonts w:cs="Times New Roman"/>
      <w:sz w:val="20"/>
      <w:lang w:eastAsia="en-US"/>
    </w:rPr>
  </w:style>
  <w:style w:type="paragraph" w:styleId="ae">
    <w:name w:val="table of figures"/>
    <w:basedOn w:val="a"/>
    <w:next w:val="a"/>
    <w:semiHidden/>
    <w:pPr>
      <w:ind w:left="560" w:hanging="560"/>
    </w:pPr>
  </w:style>
  <w:style w:type="paragraph" w:styleId="22">
    <w:name w:val="index 2"/>
    <w:basedOn w:val="a"/>
    <w:next w:val="a"/>
    <w:autoRedefine/>
    <w:semiHidden/>
    <w:pPr>
      <w:ind w:left="560" w:hanging="280"/>
    </w:pPr>
  </w:style>
  <w:style w:type="paragraph" w:styleId="11">
    <w:name w:val="index 1"/>
    <w:basedOn w:val="a"/>
    <w:next w:val="a"/>
    <w:autoRedefine/>
    <w:semiHidden/>
    <w:pPr>
      <w:ind w:left="280" w:hanging="280"/>
    </w:pPr>
  </w:style>
  <w:style w:type="paragraph" w:styleId="32">
    <w:name w:val="index 3"/>
    <w:basedOn w:val="a"/>
    <w:next w:val="a"/>
    <w:autoRedefine/>
    <w:semiHidden/>
    <w:pPr>
      <w:ind w:left="840" w:hanging="280"/>
    </w:pPr>
  </w:style>
  <w:style w:type="paragraph" w:styleId="41">
    <w:name w:val="index 4"/>
    <w:basedOn w:val="a"/>
    <w:next w:val="a"/>
    <w:autoRedefine/>
    <w:semiHidden/>
    <w:pPr>
      <w:ind w:left="1120" w:hanging="280"/>
    </w:pPr>
  </w:style>
  <w:style w:type="paragraph" w:styleId="50">
    <w:name w:val="index 5"/>
    <w:basedOn w:val="a"/>
    <w:next w:val="a"/>
    <w:autoRedefine/>
    <w:semiHidden/>
    <w:pPr>
      <w:ind w:left="1400" w:hanging="280"/>
    </w:pPr>
  </w:style>
  <w:style w:type="paragraph" w:styleId="60">
    <w:name w:val="index 6"/>
    <w:basedOn w:val="a"/>
    <w:next w:val="a"/>
    <w:autoRedefine/>
    <w:semiHidden/>
    <w:pPr>
      <w:ind w:left="1680" w:hanging="280"/>
    </w:pPr>
  </w:style>
  <w:style w:type="paragraph" w:styleId="70">
    <w:name w:val="index 7"/>
    <w:basedOn w:val="a"/>
    <w:next w:val="a"/>
    <w:autoRedefine/>
    <w:semiHidden/>
    <w:pPr>
      <w:ind w:left="1960" w:hanging="280"/>
    </w:pPr>
  </w:style>
  <w:style w:type="paragraph" w:styleId="80">
    <w:name w:val="index 8"/>
    <w:basedOn w:val="a"/>
    <w:next w:val="a"/>
    <w:autoRedefine/>
    <w:semiHidden/>
    <w:pPr>
      <w:ind w:left="2240" w:hanging="280"/>
    </w:pPr>
  </w:style>
  <w:style w:type="paragraph" w:styleId="90">
    <w:name w:val="index 9"/>
    <w:basedOn w:val="a"/>
    <w:next w:val="a"/>
    <w:autoRedefine/>
    <w:semiHidden/>
    <w:pPr>
      <w:ind w:left="2520" w:hanging="280"/>
    </w:pPr>
  </w:style>
  <w:style w:type="paragraph" w:styleId="af">
    <w:name w:val="index heading"/>
    <w:basedOn w:val="a"/>
    <w:next w:val="1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9295</Words>
  <Characters>52988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Manager>Попова Г.И.</Manager>
  <Company>РГУ</Company>
  <LinksUpToDate>false</LinksUpToDate>
  <CharactersWithSpaces>62159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Инфляция в РФ</dc:subject>
  <dc:creator>Ерзин К.О.</dc:creator>
  <cp:keywords/>
  <dc:description/>
  <cp:lastModifiedBy>admin</cp:lastModifiedBy>
  <cp:revision>2</cp:revision>
  <dcterms:created xsi:type="dcterms:W3CDTF">2014-02-12T19:27:00Z</dcterms:created>
  <dcterms:modified xsi:type="dcterms:W3CDTF">2014-02-12T19:27:00Z</dcterms:modified>
  <cp:category>Менеджмент-2</cp:category>
</cp:coreProperties>
</file>