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Российской Федерации</w:t>
      </w: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Пензенский Государственный Университет</w:t>
      </w: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Медицинский Институт</w:t>
      </w: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Кафедра Хирургии</w:t>
      </w: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CD16B4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CD16B4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CD16B4" w:rsidP="00E104A6">
      <w:pPr>
        <w:spacing w:line="36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Зав. кафедрой д.м.н.,</w:t>
      </w: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683387" w:rsidRPr="00287A66" w:rsidRDefault="00683387" w:rsidP="00CD16B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683387" w:rsidRPr="00287A66" w:rsidRDefault="00683387" w:rsidP="00CD16B4">
      <w:pPr>
        <w:pStyle w:val="2"/>
        <w:spacing w:line="36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BD65BD"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Техника инфузии и осложнения в детской хирургии</w:t>
      </w:r>
      <w:r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683387" w:rsidRPr="00287A66" w:rsidRDefault="00683387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CD16B4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CD16B4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683387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Выполнила: студентка V курса </w:t>
      </w:r>
    </w:p>
    <w:p w:rsidR="00683387" w:rsidRPr="00287A66" w:rsidRDefault="00683387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Проверил:</w:t>
      </w:r>
      <w:r w:rsidR="00CD16B4"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к.м.н., доцент</w:t>
      </w:r>
    </w:p>
    <w:p w:rsidR="00683387" w:rsidRPr="00287A66" w:rsidRDefault="00683387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009" w:rsidRPr="00287A66" w:rsidRDefault="005C0009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CD16B4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683387" w:rsidP="00CD16B4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Пенза</w:t>
      </w:r>
    </w:p>
    <w:p w:rsidR="00683387" w:rsidRPr="00287A66" w:rsidRDefault="00683387" w:rsidP="00CD16B4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2009</w:t>
      </w:r>
    </w:p>
    <w:p w:rsidR="00683387" w:rsidRPr="00287A66" w:rsidRDefault="00CD16B4" w:rsidP="00CD16B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683387" w:rsidRPr="00287A66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CD16B4" w:rsidRPr="00287A66" w:rsidRDefault="00CD16B4" w:rsidP="00CD16B4">
      <w:pPr>
        <w:rPr>
          <w:rFonts w:ascii="Times New Roman" w:hAnsi="Times New Roman" w:cs="Times New Roman"/>
          <w:sz w:val="28"/>
          <w:szCs w:val="28"/>
        </w:rPr>
      </w:pPr>
    </w:p>
    <w:p w:rsidR="00683387" w:rsidRPr="00287A66" w:rsidRDefault="003A38C2" w:rsidP="00CD16B4">
      <w:pPr>
        <w:widowControl/>
        <w:numPr>
          <w:ilvl w:val="0"/>
          <w:numId w:val="10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Осложнения при парентеральном питании, обусловленные нарушением метаболизма</w:t>
      </w:r>
    </w:p>
    <w:p w:rsidR="00683387" w:rsidRPr="00287A66" w:rsidRDefault="003A38C2" w:rsidP="00CD16B4">
      <w:pPr>
        <w:widowControl/>
        <w:numPr>
          <w:ilvl w:val="0"/>
          <w:numId w:val="10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Инфузионная техника</w:t>
      </w:r>
    </w:p>
    <w:p w:rsidR="00BD65BD" w:rsidRPr="00287A66" w:rsidRDefault="00BD65BD" w:rsidP="00CD16B4">
      <w:pPr>
        <w:widowControl/>
        <w:numPr>
          <w:ilvl w:val="0"/>
          <w:numId w:val="1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Чрезкожная венепункция</w:t>
      </w:r>
    </w:p>
    <w:p w:rsidR="00BD65BD" w:rsidRPr="00287A66" w:rsidRDefault="00BD65BD" w:rsidP="00CD16B4">
      <w:pPr>
        <w:widowControl/>
        <w:numPr>
          <w:ilvl w:val="0"/>
          <w:numId w:val="1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Венесекция</w:t>
      </w:r>
    </w:p>
    <w:p w:rsidR="00BD65BD" w:rsidRPr="00287A66" w:rsidRDefault="00BD65BD" w:rsidP="00CD16B4">
      <w:pPr>
        <w:widowControl/>
        <w:numPr>
          <w:ilvl w:val="0"/>
          <w:numId w:val="1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Пупочная вена</w:t>
      </w:r>
    </w:p>
    <w:p w:rsidR="00BD65BD" w:rsidRPr="00287A66" w:rsidRDefault="00BD65BD" w:rsidP="00CD16B4">
      <w:pPr>
        <w:widowControl/>
        <w:numPr>
          <w:ilvl w:val="0"/>
          <w:numId w:val="1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Катетаризация полой вены</w:t>
      </w:r>
    </w:p>
    <w:p w:rsidR="00BD65BD" w:rsidRPr="00287A66" w:rsidRDefault="00BD65BD" w:rsidP="00CD16B4">
      <w:pPr>
        <w:widowControl/>
        <w:numPr>
          <w:ilvl w:val="0"/>
          <w:numId w:val="1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Система для капельного введения</w:t>
      </w:r>
    </w:p>
    <w:p w:rsidR="00683387" w:rsidRPr="00287A66" w:rsidRDefault="003A38C2" w:rsidP="00CD16B4">
      <w:pPr>
        <w:widowControl/>
        <w:numPr>
          <w:ilvl w:val="0"/>
          <w:numId w:val="10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Специальные проблемы</w:t>
      </w:r>
    </w:p>
    <w:p w:rsidR="00BD65BD" w:rsidRPr="00287A66" w:rsidRDefault="00BD65BD" w:rsidP="00CD16B4">
      <w:pPr>
        <w:widowControl/>
        <w:numPr>
          <w:ilvl w:val="0"/>
          <w:numId w:val="1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Размозжение и ожоги</w:t>
      </w:r>
    </w:p>
    <w:p w:rsidR="00BD65BD" w:rsidRPr="00287A66" w:rsidRDefault="00BD65BD" w:rsidP="00CD16B4">
      <w:pPr>
        <w:widowControl/>
        <w:numPr>
          <w:ilvl w:val="0"/>
          <w:numId w:val="1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Острая почечная недостаточность</w:t>
      </w:r>
    </w:p>
    <w:p w:rsidR="00BD65BD" w:rsidRPr="00287A66" w:rsidRDefault="00BD65BD" w:rsidP="00CD16B4">
      <w:pPr>
        <w:widowControl/>
        <w:numPr>
          <w:ilvl w:val="0"/>
          <w:numId w:val="1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Геморрагический шок</w:t>
      </w:r>
    </w:p>
    <w:p w:rsidR="00BD65BD" w:rsidRPr="00287A66" w:rsidRDefault="00BD65BD" w:rsidP="00CD16B4">
      <w:pPr>
        <w:widowControl/>
        <w:numPr>
          <w:ilvl w:val="0"/>
          <w:numId w:val="1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Гипертрофический стеноз привратника</w:t>
      </w:r>
    </w:p>
    <w:p w:rsidR="00BD65BD" w:rsidRPr="00287A66" w:rsidRDefault="00BD65BD" w:rsidP="00CD16B4">
      <w:pPr>
        <w:widowControl/>
        <w:numPr>
          <w:ilvl w:val="0"/>
          <w:numId w:val="1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Перитонит</w:t>
      </w:r>
    </w:p>
    <w:p w:rsidR="00BD65BD" w:rsidRPr="00287A66" w:rsidRDefault="00BD65BD" w:rsidP="00CD16B4">
      <w:pPr>
        <w:widowControl/>
        <w:numPr>
          <w:ilvl w:val="0"/>
          <w:numId w:val="1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Септический шок</w:t>
      </w:r>
    </w:p>
    <w:p w:rsidR="00683387" w:rsidRPr="00287A66" w:rsidRDefault="00683387" w:rsidP="00CD16B4">
      <w:pPr>
        <w:widowControl/>
        <w:tabs>
          <w:tab w:val="num" w:pos="5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BD65BD" w:rsidRPr="00287A66" w:rsidRDefault="00BD65BD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A38C2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CD69DC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Осложнения при парентеральном питании, обусловлен</w:t>
      </w:r>
      <w:r w:rsidR="005C0009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ные </w:t>
      </w:r>
    </w:p>
    <w:p w:rsidR="00CD69DC" w:rsidRPr="00287A66" w:rsidRDefault="005C0009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нарушениями метаболизма</w:t>
      </w:r>
    </w:p>
    <w:p w:rsidR="00CD16B4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Описан ряд осложнений, обусловленный нарушениями метаболизма при парентеральном питании. Их можно предупредить путем тщательного контроля за параметрами обмена веществ.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Гипергликемия ведет к осмотическому диурезу со вторичными изменениями водного и электролитного баланса. Возможны тяжелые расст</w:t>
      </w:r>
      <w:r w:rsidR="00A85D4C" w:rsidRPr="00287A66">
        <w:rPr>
          <w:rFonts w:ascii="Times New Roman" w:hAnsi="Times New Roman" w:cs="Times New Roman"/>
          <w:color w:val="000000"/>
          <w:sz w:val="28"/>
          <w:szCs w:val="28"/>
        </w:rPr>
        <w:t>ройства ЦНС в связи с гиперосмо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ляльностью. Развивается преимущественно при нарушении толерантности к глюкозе в послеоперационном периоде и при чрезмерном введении углеводов (углеводно-аминокислотный режим без жировых эмульсий).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Гипогликемия: недостаточное введение углеводов, внезапное прерывание парентерального питания.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Гипофосфатемия: недостаточное введение фосфата.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Азотемия: введение слишком большого количества аминокислот (4 г/кг массы тела) недоношенным новорожденным.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Гипера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>ммониемия: дефицит аргинина.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Гипо- и гипервитаминозы: большей частью бывает дефицит витаминов; передозировка возможна при введении жирорастворимых витаминов.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Дефицит микроэлементов.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Дефицит эссенциальных жирных кислот: при парентеральном питании без введения жиров.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Нарушения функции печени с гипербилирубинемией и гепатомегалией; комплекс причин.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Гиперхлоремический ацидоз: среди прочих причин введение аминокислотных инфузионных растворов с высоким содержанием хлоридов.</w:t>
      </w:r>
    </w:p>
    <w:p w:rsidR="00CD16B4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A38C2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D69DC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Инфузионная техника</w:t>
      </w:r>
    </w:p>
    <w:p w:rsidR="00CD16B4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Парентеральное введение веществ осуществляется только внутривенно. Подкожный способ устарел и не применяется. Используются следующие методы: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Чрескожная венепункция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Производится иглами для внутривенных инъекций фирмы «Лихтенберг». В зависимости от опыта медицинского работника и успешности манипуляции пункцию вен у младенцев осуществляют в последовательности: голова — тыл кисти — область лучезапястного сустава — стопа — шея. У детей более старшего воз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>раста последовательность: локте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вой сгиб — тыл кисти — предплечье — внутренняя лодыжка— тыл стопы — голова — шея.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Важно соблюдение стерильности и прочная фиксация иглы в вене. Как правило, спустя 1—2 дня пункцию приходится повторять (из-за тромбирования иглы, флебита).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Венесекция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После выделения вены в 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>нее вводят поливиниловый или по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лиэтиленовый катетер на 2—3 см по направлению к сердцу и закрепляют его. Выбор места проводят в последовательности: локтевой сгиб 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saphena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magna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(дистально за внутренней лодыжкой) 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cephalica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(за дистальным отделом лучевой кости) — наружная яремная вена 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saphena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magna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(паховый сгиб). Последнюю лучше не трогать из-за значительной опасности инфицирования. Само собой разумеется, необходимо строго соблюдать асептику и антисептику, а также прочно фиксировать иглу.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Пупочная вена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Ее можно зондировать почти до 3-го дня жизни.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Пупочный катетер по возможности не применяют или быстро его удаляют, не оставляя «профилактически» на ряд дней из-за опасности тромбоза воротной вены (крайний предел 12 ч). Избегают введения гипертонических растворов.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Катетеризация полой вены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Пункция подключичной вены осуществляется в над- и подключичной области в принципе по той же методике, как и у взрослых. Ее можно выполнять у младенцев и новорожденных. Если под руками нет соответствющего деменсионного набора инструментов, то можно попытаться ввести тонкий катетер через канюлю, что иногда удается при применении перлонового шнура (лески) по принципу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Seldinger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-техники. В каждом случае положение катетера нужно контролировать рентгенологически. Конец катетера должен находиться свободно в верхней полой вене, не доходя до правого желудочка самое малое на 1—2 см. Из-за повышенной опасности инфекции у маленьких детей катетеризация нижней полой вены не применяется.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Wilmore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 применять у новорожденных и младенцев изящный метод введения катетера через н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>аружную яремную вену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Вену освобождают путем вспомогательного разреза, катетер проводят до верхней полой вены, укрепляют и выводят через второй разрез в височно-затылочной области. Через длинный подкожный канал система инфицируется не так быстро, поскольку в оригинальной методике применяется переходный бактериальный фильтр.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для капельного введения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При маленьких объемах жидкостей, которые должны быть распределены в течение суток, всегда имеется опасность слишком быстрого введения жидкости.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Основное правило: для того чтобы ввести за 24 ч а литров инфузионного раствора, необходимо в минуту вводить а Х14 обычных капель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Stadler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Helbig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Скорость введения может быть отрегулирована с точностью до 4 капель в минуту (приблизительно 300 мл/24 ч). Можно довольствоваться тем, что через каждые 30—60 мин по достижении вычисленного объема инфузионного раствора периодически пережимать катетер, чтобы предотвратить обратный ток крови. Еще лучше в инфузионной системе использовать для переключения градуированн</w:t>
      </w:r>
      <w:r w:rsidR="005C0009" w:rsidRPr="00287A66">
        <w:rPr>
          <w:rFonts w:ascii="Times New Roman" w:hAnsi="Times New Roman" w:cs="Times New Roman"/>
          <w:color w:val="000000"/>
          <w:sz w:val="28"/>
          <w:szCs w:val="28"/>
        </w:rPr>
        <w:t>ые бюреты на 20—30 мл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Правда, в этом случае увеличивается опасность инфицирования. Лучше всего для этого подходят инфузионные аппараты для длительных инфузий, позволяющие точно отрегулировать дозировку.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 осложнениям, связанным с нарушением обмена веществ, описанным выше, присовокупляются осложнения, связанные с катетеризацией, которые могут представлять угрозу для жизни. Важнейшими из них являются инфицирование и тромбирование вен.</w:t>
      </w:r>
    </w:p>
    <w:p w:rsidR="00CD16B4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3A38C2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D69DC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Специальные проблемы</w:t>
      </w:r>
    </w:p>
    <w:p w:rsidR="00CD16B4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</w:t>
      </w:r>
      <w:r w:rsidR="005C0009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озжение и ожоги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Их лечение у детей отличается от лечения у взрослых главным образом двумя особенностями: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Обусловленные возрастом пропорции тела дают различные ориентировочные цифры для оценки поверхности повреждения. В правило «девятки», применяемое для взрослых, должна быть внесена соответствующая поправка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Wallace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16B4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Повышенная опасность шока у младенцев и маленьких детей наблюдается в первые 2 дня. Младенцев целесообразно госпитализировать даже при 5% обожженной или размозженной поверхности тела, а детей школьного возраста — при повреждениях 10% поверхности. При ожогах и повреждениях более 10% всегда показана внутривенная противошоковая терапия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Meissner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При распространенных повреждениях (более 50% поверхности тела) инфузионный режим должен строго индивидуализироваться, чтобы предупредить развитие гипергидратации (отек легких! Отек мозга!). Необходимо строго контролировать выведение мочи (постоянный катетер). Оно должно достигать 80% среднечасового выведения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Meissner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 При введении декстрана та</w:t>
      </w:r>
      <w:r w:rsidR="005C0009" w:rsidRPr="00287A66">
        <w:rPr>
          <w:rFonts w:ascii="Times New Roman" w:hAnsi="Times New Roman" w:cs="Times New Roman"/>
          <w:color w:val="000000"/>
          <w:sz w:val="28"/>
          <w:szCs w:val="28"/>
        </w:rPr>
        <w:t>кого диуреза достичь не удается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235C" w:rsidRPr="00287A66" w:rsidRDefault="007B235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Острая почечная недостаточность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За нормальное количество мочи у младенцев и детей при концентрации ее до 300 мосммоль/л принимается 750 мл/м2</w:t>
      </w:r>
      <w:r w:rsidR="005C0009"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тела за 24 ч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Об олигоанурии говорят тогда, когда миним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>ального количества мочи, необхо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димого для выведения азотистых шлаков, не образуется. В табл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>. 1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ориентировочные цифры для различных возрастов.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3A38C2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  <w:r w:rsidR="00CD69DC" w:rsidRPr="00287A66">
        <w:rPr>
          <w:rFonts w:ascii="Times New Roman" w:hAnsi="Times New Roman" w:cs="Times New Roman"/>
          <w:color w:val="000000"/>
          <w:sz w:val="28"/>
          <w:szCs w:val="28"/>
        </w:rPr>
        <w:t>. Величина диуреза у детей в норме</w:t>
      </w:r>
    </w:p>
    <w:tbl>
      <w:tblPr>
        <w:tblW w:w="0" w:type="auto"/>
        <w:tblInd w:w="2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2737"/>
        <w:gridCol w:w="2800"/>
      </w:tblGrid>
      <w:tr w:rsidR="00CD69DC" w:rsidRPr="00287A66">
        <w:trPr>
          <w:trHeight w:val="619"/>
        </w:trPr>
        <w:tc>
          <w:tcPr>
            <w:tcW w:w="2563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Возраст </w:t>
            </w:r>
          </w:p>
        </w:tc>
        <w:tc>
          <w:tcPr>
            <w:tcW w:w="2737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мл/24 ч</w:t>
            </w:r>
          </w:p>
        </w:tc>
        <w:tc>
          <w:tcPr>
            <w:tcW w:w="2800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мл/ч</w:t>
            </w:r>
          </w:p>
        </w:tc>
      </w:tr>
      <w:tr w:rsidR="00CD69DC" w:rsidRPr="00287A66">
        <w:trPr>
          <w:trHeight w:val="331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1—2 дня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30—60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D69DC" w:rsidRPr="00287A66">
        <w:trPr>
          <w:trHeight w:val="173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3—10 дней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100—300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D69DC" w:rsidRPr="00287A66">
        <w:trPr>
          <w:trHeight w:val="187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10 дней 2 мес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250—450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D69DC" w:rsidRPr="00287A66">
        <w:trPr>
          <w:trHeight w:val="180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2 мес — 1 год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400—500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D69DC" w:rsidRPr="00287A66">
        <w:trPr>
          <w:trHeight w:val="144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 — 3 года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500—600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D69DC" w:rsidRPr="00287A66">
        <w:trPr>
          <w:trHeight w:val="180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3—5 лет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600—700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D69DC" w:rsidRPr="00287A66">
        <w:trPr>
          <w:trHeight w:val="184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5—8 »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650—1000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CD69DC" w:rsidRPr="00287A66">
        <w:trPr>
          <w:trHeight w:val="202"/>
        </w:trPr>
        <w:tc>
          <w:tcPr>
            <w:tcW w:w="256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В— 14 »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800—1400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CD69DC" w:rsidRPr="00287A66">
        <w:trPr>
          <w:trHeight w:val="328"/>
        </w:trPr>
        <w:tc>
          <w:tcPr>
            <w:tcW w:w="2563" w:type="dxa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Более 14 » </w:t>
            </w:r>
          </w:p>
        </w:tc>
        <w:tc>
          <w:tcPr>
            <w:tcW w:w="2737" w:type="dxa"/>
          </w:tcPr>
          <w:p w:rsidR="00CD69DC" w:rsidRPr="00287A66" w:rsidRDefault="00CD69DC" w:rsidP="00CD16B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1000—1600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CD16B4" w:rsidRPr="00287A66" w:rsidRDefault="00CD16B4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Проба с маннитолом проводится у детей в количестве 0,2 г маннитола на 1 кг массы.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Лучше проводить пробу с фуросемидом (1 мг/кг массы тела).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 в олигоанурической стадии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жидкости: покрытие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perspiratio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insensibilis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: 500 мл воды на 1 м2 поверхности тела в день, к чему прибавляются потери при рвоте, потливости, лихорадке, а также количество мочи за предшествующий день. Ежедневное взвешивание! Масса тела должна уменьшаться. Сохранение или прибавление массы тела говорит о гипергидратации!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Введение натрия запрещено! Исключением является только выявленный дефицит натрия. Уровень натрия в плазме часто бывает пониженным вследствие трансминерализации или гидремии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Wilkinson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 даже без его дефицита.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Профилактика острой почечной недостаточности (приложение к 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Truniger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Если проба с маннитолом оказывается положительной, то его введение продолжают. Ориентировочная доза маннитола 1—2 г/кг массы в день. Потери жидкости, обусловленные маннитолом, необходимо восполнять эквивалентными количествами инфузионного раствора (на 1 л раствора 40 мэкв натрия и 10—20 мэкв калия).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Профилактически маннитол назначается при угрожающих ситуациях перед, во время и после операции больным с перитонитом, травматическим шоком, при операциях на почках, сосудах, кардиохирургических вмешательствах, желтухе. Вводят маннитол в дозе 0,3 г/кг массы тела за 10 мин перед операцией; 0,7 г/кг в час во время операции и 0,3 г/кг в час после операции; суточная доза 2 г/кг массы. В этих случаях также производится возмещение потерь воды и электролитов, обусловленных маннитолом.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 в</w:t>
      </w:r>
      <w:r w:rsidR="00CD16B4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полиурической стадии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Опасность заключается в значительной потере воды и электролитов. Замещение нужно проводить, но так, чтобы не вызвать перенасыщения жидкостью. Лучше добиваться умеренной дегидратации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Wilkinson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Вода: 500 мл/м2 поверхности тела в день плюс количество, эквивалентное объему мочи за предыдущий день, плюс объем нефизиологических потерь.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Натрий и калий: в размерах физиологической потребности плюс компенсация, экстраренальные и ренальные потери (определяемые количественным методом или по правилу: на 1 л</w:t>
      </w:r>
      <w:r w:rsidR="005C0009"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мочи приходится 60—8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0 мэкв натрия и 20—40 мэкв калия,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Truniger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Как можно скорее начинать оптимальное энтеральное питание, чтобы улучшить общее состояние.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Геморр</w:t>
      </w:r>
      <w:r w:rsidR="005C0009"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агический шок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При определении потерь крови (взвешиванием, волеметрон) нужно учитывать изменение объема кров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>и в связи с возрастом (табл. 2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3A38C2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  <w:r w:rsidR="00CD69DC" w:rsidRPr="00287A66">
        <w:rPr>
          <w:rFonts w:ascii="Times New Roman" w:hAnsi="Times New Roman" w:cs="Times New Roman"/>
          <w:color w:val="000000"/>
          <w:sz w:val="28"/>
          <w:szCs w:val="28"/>
        </w:rPr>
        <w:t>. Определение величины кровопотери (мл) в зависимости от возраста и объема крови (в %) (</w:t>
      </w:r>
      <w:r w:rsidR="00CD69DC"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Davenport</w:t>
      </w:r>
      <w:r w:rsidR="00CD69DC"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69DC"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Bare</w:t>
      </w:r>
      <w:r w:rsidR="00CD69DC" w:rsidRPr="00287A6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0" w:type="auto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1539"/>
        <w:gridCol w:w="756"/>
        <w:gridCol w:w="804"/>
        <w:gridCol w:w="708"/>
        <w:gridCol w:w="993"/>
        <w:gridCol w:w="1203"/>
      </w:tblGrid>
      <w:tr w:rsidR="00CD69DC" w:rsidRPr="00287A66">
        <w:trPr>
          <w:trHeight w:val="576"/>
        </w:trPr>
        <w:tc>
          <w:tcPr>
            <w:tcW w:w="3100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Масса тела и объем крови 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Новорожденные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 нед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 мес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 лет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Взрослые</w:t>
            </w:r>
          </w:p>
        </w:tc>
      </w:tr>
      <w:tr w:rsidR="00CD69DC" w:rsidRPr="00287A66">
        <w:trPr>
          <w:trHeight w:val="432"/>
        </w:trPr>
        <w:tc>
          <w:tcPr>
            <w:tcW w:w="31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Средняя масса тела в кг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D69DC" w:rsidRPr="00287A66">
        <w:trPr>
          <w:trHeight w:val="173"/>
        </w:trPr>
        <w:tc>
          <w:tcPr>
            <w:tcW w:w="31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10%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CD69DC" w:rsidRPr="00287A66">
        <w:trPr>
          <w:trHeight w:val="173"/>
        </w:trPr>
        <w:tc>
          <w:tcPr>
            <w:tcW w:w="31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14%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CD69DC" w:rsidRPr="00287A66">
        <w:trPr>
          <w:trHeight w:val="173"/>
        </w:trPr>
        <w:tc>
          <w:tcPr>
            <w:tcW w:w="31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20%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CD69DC" w:rsidRPr="00287A66">
        <w:trPr>
          <w:trHeight w:val="403"/>
        </w:trPr>
        <w:tc>
          <w:tcPr>
            <w:tcW w:w="3100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100%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2300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CD69DC" w:rsidP="00CD16B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</w:tbl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Потеря крови до 10 мл/кг массы компенсируется у детей, не страдающих анемией (за исключением новорожденных и младенцев), собственными регуляторными механизмами. При потере 10—20 мг/кг массы достаточно проводить компенсацию плазмозамещающими растворами (декстран 70 и декстран 40, препараты желатина).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Кровопотеря более 20 мл/кг массы должна возмещаться кровью. Новорожденные при потере до 10 мл/кг массы получают инфузионный раствор глюкозы 100, а при больших кровопотерях — кровь. У младенцев моложе 6 мес</w:t>
      </w:r>
      <w:r w:rsidR="00CD16B4" w:rsidRPr="00287A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(физиологическая анемия) Кровопотеря возмещается кровью; у детей до 1 года потери до 10 мл/кг массы возмещаются декстраном, большие кровопотери — кровью.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Показанием к трансфузиям крови служит не состояние функции кровообращения, а способность к транспорту кислорода. После стабилизации кровообращения достаточно содержание гемоглобина 8—10 г/дл и гематокрит до 30%.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Гипертрофический стеноз привратника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Вследствие длительной рвоты возникают гипохлоремический и гипокалиемический алкалоз, а также обезвоживание. Алкалоз выявляется только приблизительно в 90% случаев, так как при тяжелых заболеваниях развивается обусловленный шоком ацидоз. Часто возникает гипогликемия с присущими ей клиническими симптомами или без них.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Должна обеспечить скорейшую операцию и последующее энтеральное питание. В тяжелых случаях готовить больного к операции можно в течение 24 ч. Ребенку вводят до 100— 200 мл/кг массы инфузионного раствора инвертированного сахара 100 с добавлением 50 мэкв хлорида натрия на 1 л раствора для коррекции, а также дополнительное количество, необходимое для удовлетворения физиологической потребности. Калий вводят после восстановления диуреза (3— 5 мэкв/кг за 24 ч). При гипогликемии вводят 20 мл инфузионного раствора глюкозы 400 на 1 кг</w:t>
      </w:r>
      <w:r w:rsidR="003A38C2"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 за 24 ч. Це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ленаправленного лечения метаболического алкалоза большей частью не требуется.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Как можно скорее нужно начинать питание естественным путем (с 4-го часа после операции). Дальнейшая парентеральная терапия необходима только при не проходящей рвоте.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Дифференциальную диагностику нужно проводить с адреногенитальным синдромом, текущим с потерей солей, который клинически в этом возрасте трудно отличить от ги</w:t>
      </w:r>
      <w:r w:rsidR="005C0009" w:rsidRPr="00287A66">
        <w:rPr>
          <w:rFonts w:ascii="Times New Roman" w:hAnsi="Times New Roman" w:cs="Times New Roman"/>
          <w:color w:val="000000"/>
          <w:sz w:val="28"/>
          <w:szCs w:val="28"/>
        </w:rPr>
        <w:t>пертрофического пилоростеноза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(обзор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Blunck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Teller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Терапия при адреногенитальном синдроме [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Gautier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]: достаточное введение поваренной соли и воды (в 1 л раствора 70—95 мэкв натрия); внутрь до 120мэкв хлорида натрия в день младенцам; альдостерон (50— 300 мкг/день) или гидрокортизон (25 мг/день). Калий не назначается!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Отек мозга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Показана осмотерапия маннитолом или сорбитолом, которые иногда для улучшения микроциркуляции вводят в смеси с декстраном 40. Начальную дозу 1—2 г маннитола или сорбитола на 1 кг массы вводят в течение 15 мин. Для предотвращения рецидива инфузию повторяют каждые 6 ч. Важно вводить достаточное количест</w:t>
      </w:r>
      <w:r w:rsidR="00BD65BD" w:rsidRPr="00287A66">
        <w:rPr>
          <w:rFonts w:ascii="Times New Roman" w:hAnsi="Times New Roman" w:cs="Times New Roman"/>
          <w:color w:val="000000"/>
          <w:sz w:val="28"/>
          <w:szCs w:val="28"/>
        </w:rPr>
        <w:t>во глюкозы для обеспечения энер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гией поврежденного мозга. По-видимому, прогноз может улучшить введение дексаметазона в больших дозах (1 мг/кг массы каждые 6 ч).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992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3892"/>
      </w:tblGrid>
      <w:tr w:rsidR="00CD69DC" w:rsidRPr="009314D0" w:rsidTr="009314D0">
        <w:tc>
          <w:tcPr>
            <w:tcW w:w="5100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Адреногенитальный синдром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Гипертрофический стеноз привратника</w:t>
            </w:r>
          </w:p>
        </w:tc>
      </w:tr>
      <w:tr w:rsidR="00CD69DC" w:rsidRPr="009314D0" w:rsidTr="009314D0">
        <w:tc>
          <w:tcPr>
            <w:tcW w:w="5100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Изменения гениталий у девочек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Чаще всего болеют мальчики</w:t>
            </w:r>
          </w:p>
        </w:tc>
      </w:tr>
      <w:tr w:rsidR="00CD69DC" w:rsidRPr="009314D0" w:rsidTr="009314D0">
        <w:tc>
          <w:tcPr>
            <w:tcW w:w="5100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Нормальное или повышенное выведение хлоридов с мочой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Концентрация хлоридов в моче понижена</w:t>
            </w:r>
          </w:p>
        </w:tc>
      </w:tr>
      <w:tr w:rsidR="00CD69DC" w:rsidRPr="009314D0" w:rsidTr="009314D0">
        <w:tc>
          <w:tcPr>
            <w:tcW w:w="5100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Гиперкалиемия (более 6 мэкв/л)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Гипокалиемия</w:t>
            </w:r>
          </w:p>
        </w:tc>
      </w:tr>
      <w:tr w:rsidR="00CD69DC" w:rsidRPr="009314D0" w:rsidTr="009314D0">
        <w:tc>
          <w:tcPr>
            <w:tcW w:w="5100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Отсутствие дефицита калия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Дефицит калия</w:t>
            </w:r>
          </w:p>
        </w:tc>
      </w:tr>
      <w:tr w:rsidR="00CD69DC" w:rsidRPr="009314D0" w:rsidTr="009314D0">
        <w:tc>
          <w:tcPr>
            <w:tcW w:w="5100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Гипонатриемия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CD69DC" w:rsidP="009314D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Нормо- или гипернатриемия</w:t>
            </w:r>
          </w:p>
        </w:tc>
      </w:tr>
    </w:tbl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Перитонит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Оправдана следующая тактика: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Стабилизация кровообращения путем адекватного возмещения физиологических потерь, дополнительных потерь, коррекция нарушений, нормализация коллоидно-осмотического давления.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Необходимо помнить: при инфузионной терапии нельзя вводить избыточного количества жидкости, иначе возникает угроза отека мозга и легких, а также повышение интестинальной секреции с усилением паралича кишечника. Нужно давать такое количество воды, которое требуется для нормальной функции системы кровообращения и почек.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Стимуляция диуреза посредством стабилизации кровообращения и введения растворов сорбитола 100/200.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Полная компенсация потери и дефицита электролитов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Lindenschmidt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), особенно калия.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Диагностика и соответствующая компенсация грубых нарушений кислотно-щелочного состояния.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Борьба с отеком кишечной стенки и улучшение микроциркуляции при помощи инфузионного раствора сорбитола 200 (2 г/кг, иногда 2 раза в день) совместно с низкомолекулярным декстраном (10 мл/кг).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Введение гепарина в дозе 400 ЕД/кг массы в день внутривенно в виде длительных капельных инфузий. Успешность терапии распознается по повышению количества тромбоцитов.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— Антибиотикотерапия </w:t>
      </w:r>
      <w:r w:rsidR="00BD65BD" w:rsidRPr="00287A66">
        <w:rPr>
          <w:rFonts w:ascii="Times New Roman" w:hAnsi="Times New Roman" w:cs="Times New Roman"/>
          <w:color w:val="000000"/>
          <w:sz w:val="28"/>
          <w:szCs w:val="28"/>
        </w:rPr>
        <w:t>начинается вначале с препаратов</w:t>
      </w:r>
      <w:r w:rsidR="00E104A6"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широкого спектра, а позднее проводится в </w:t>
      </w:r>
      <w:r w:rsidR="00BD65BD" w:rsidRPr="00287A66">
        <w:rPr>
          <w:rFonts w:ascii="Times New Roman" w:hAnsi="Times New Roman" w:cs="Times New Roman"/>
          <w:color w:val="000000"/>
          <w:sz w:val="28"/>
          <w:szCs w:val="28"/>
        </w:rPr>
        <w:t>соответствии с ан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тибиотикограммой в оптимальной дозировке и комбинации.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-у-Глобулин человеческий (5 г/дл) можно вводить в дозе 0,5—1 мл/кг в день внутримышечно или внутривенно.</w:t>
      </w:r>
    </w:p>
    <w:p w:rsidR="00852C5F" w:rsidRPr="00287A66" w:rsidRDefault="00852C5F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Септический шок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Оправданы следующие принципы лечения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Schippan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Ликвидация очага инфекции: перитонеальный лаваж, дренаж плевры, вскрытие абсцесса и т. д.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Применение антибиотиков в больших дозах.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Гепарин: 400 ЕД/кг у хирургических больных, до 600 ЕД/кг у детей без потенциальных очагов кровотечения в виде длительных инфузий дробно в течение суток.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Стрептокиназа: 10000 ИЕ/кг массы за 30 мин, иногда повторное введение через 30 мин; дальнейшая терапия проводится под контролем свертывающей системы. При операциях и травмах из-за опасности смертельных кровотечений не применяется!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Глюкокортикоиды: однократное назначение преднизолона 30 мг/кг массы тела; иногда через 6 ч введение повторяют.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Осмо-онкотерапия: применение низкомолекулярных растворов декстрана и сорбитола 400 для улучшения микроциркуляции и диуреза.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Дигитализация.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Введение глюкозы как быстро реализуемого донатора энергии.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Борьба с гипертермией до нормализации температуры тела.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В случае необходимости применение управляемого дыхания.</w:t>
      </w:r>
    </w:p>
    <w:p w:rsidR="00CD69DC" w:rsidRPr="00287A66" w:rsidRDefault="00CD69DC" w:rsidP="00CD16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Ни в коем случае не назначать блокаторов протеиназ, так как блокируется присущий организму протеинолиз!</w:t>
      </w:r>
    </w:p>
    <w:p w:rsidR="00CD16B4" w:rsidRPr="00287A66" w:rsidRDefault="00CD16B4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CD16B4" w:rsidP="00CD16B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87A66">
        <w:rPr>
          <w:rFonts w:ascii="Times New Roman" w:hAnsi="Times New Roman" w:cs="Times New Roman"/>
        </w:rPr>
        <w:br w:type="page"/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CD16B4" w:rsidRPr="00287A66" w:rsidRDefault="00CD16B4" w:rsidP="00CD16B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D16B4" w:rsidRPr="00287A66" w:rsidRDefault="00CD16B4" w:rsidP="00CD16B4">
      <w:pPr>
        <w:widowControl/>
        <w:numPr>
          <w:ilvl w:val="0"/>
          <w:numId w:val="11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«Неотложная медицинская помощь», под ред. Дж.Э. Тинтиналли, Рл. Кроума, Э. Руиза, Перевод с английского д-ра мед. наук В.И. Кандрора, д.м.н. М.В.Неверовой, д-ра мед. наук А.В. Сучкова, к.м.н. А.В. Низового, Ю.Л. Амченкова; под ред. Д.м.н. В.Т. Ивашкина, Д.М.Н. П.Г. Брюсова; Москва «Медицина» 2001</w:t>
      </w:r>
    </w:p>
    <w:p w:rsidR="00CD69DC" w:rsidRPr="00287A66" w:rsidRDefault="00CD16B4" w:rsidP="00CD16B4">
      <w:pPr>
        <w:widowControl/>
        <w:numPr>
          <w:ilvl w:val="0"/>
          <w:numId w:val="11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5-225-04560-Х</w:t>
      </w:r>
      <w:bookmarkStart w:id="0" w:name="_GoBack"/>
      <w:bookmarkEnd w:id="0"/>
    </w:p>
    <w:sectPr w:rsidR="00CD69DC" w:rsidRPr="00287A66" w:rsidSect="00CD16B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D0" w:rsidRDefault="009314D0">
      <w:r>
        <w:separator/>
      </w:r>
    </w:p>
  </w:endnote>
  <w:endnote w:type="continuationSeparator" w:id="0">
    <w:p w:rsidR="009314D0" w:rsidRDefault="0093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C2" w:rsidRDefault="003F3C37" w:rsidP="001245F4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3A38C2" w:rsidRDefault="003A38C2" w:rsidP="00F30B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D0" w:rsidRDefault="009314D0">
      <w:r>
        <w:separator/>
      </w:r>
    </w:p>
  </w:footnote>
  <w:footnote w:type="continuationSeparator" w:id="0">
    <w:p w:rsidR="009314D0" w:rsidRDefault="0093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0955"/>
    <w:multiLevelType w:val="hybridMultilevel"/>
    <w:tmpl w:val="4F2E3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2F5159"/>
    <w:multiLevelType w:val="hybridMultilevel"/>
    <w:tmpl w:val="2DA22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11049"/>
    <w:multiLevelType w:val="hybridMultilevel"/>
    <w:tmpl w:val="D1E26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73BC"/>
    <w:multiLevelType w:val="hybridMultilevel"/>
    <w:tmpl w:val="738A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741AAD"/>
    <w:multiLevelType w:val="hybridMultilevel"/>
    <w:tmpl w:val="1CCAB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44FDD"/>
    <w:multiLevelType w:val="hybridMultilevel"/>
    <w:tmpl w:val="2E3E720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39C61F2A"/>
    <w:multiLevelType w:val="hybridMultilevel"/>
    <w:tmpl w:val="B128F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C1DF9"/>
    <w:multiLevelType w:val="hybridMultilevel"/>
    <w:tmpl w:val="3BB8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8D633B"/>
    <w:multiLevelType w:val="hybridMultilevel"/>
    <w:tmpl w:val="14380EA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6A9D676D"/>
    <w:multiLevelType w:val="hybridMultilevel"/>
    <w:tmpl w:val="3850C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DE2978"/>
    <w:multiLevelType w:val="hybridMultilevel"/>
    <w:tmpl w:val="1C8A5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9DC"/>
    <w:rsid w:val="001245F4"/>
    <w:rsid w:val="00184166"/>
    <w:rsid w:val="00186050"/>
    <w:rsid w:val="001C58CF"/>
    <w:rsid w:val="00287A66"/>
    <w:rsid w:val="00377C47"/>
    <w:rsid w:val="003A38C2"/>
    <w:rsid w:val="003F3C37"/>
    <w:rsid w:val="005C0009"/>
    <w:rsid w:val="00611E83"/>
    <w:rsid w:val="006653EF"/>
    <w:rsid w:val="00683387"/>
    <w:rsid w:val="007B235C"/>
    <w:rsid w:val="00852C5F"/>
    <w:rsid w:val="009314D0"/>
    <w:rsid w:val="00A01496"/>
    <w:rsid w:val="00A85D4C"/>
    <w:rsid w:val="00BD65BD"/>
    <w:rsid w:val="00C64202"/>
    <w:rsid w:val="00CD16B4"/>
    <w:rsid w:val="00CD69DC"/>
    <w:rsid w:val="00CF24CA"/>
    <w:rsid w:val="00E104A6"/>
    <w:rsid w:val="00F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3D116A-9CAA-45BC-8C70-3A9176B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683387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3387"/>
    <w:pPr>
      <w:keepNext/>
      <w:widowControl/>
      <w:autoSpaceDE/>
      <w:autoSpaceDN/>
      <w:adjustRightInd/>
      <w:ind w:left="1080" w:hanging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CD69DC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30B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F30B64"/>
    <w:rPr>
      <w:rFonts w:cs="Times New Roman"/>
    </w:rPr>
  </w:style>
  <w:style w:type="paragraph" w:styleId="a7">
    <w:name w:val="Normal (Web)"/>
    <w:basedOn w:val="a"/>
    <w:uiPriority w:val="99"/>
    <w:rsid w:val="00683387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Юля</dc:creator>
  <cp:keywords/>
  <dc:description/>
  <cp:lastModifiedBy>admin</cp:lastModifiedBy>
  <cp:revision>2</cp:revision>
  <dcterms:created xsi:type="dcterms:W3CDTF">2014-02-25T10:16:00Z</dcterms:created>
  <dcterms:modified xsi:type="dcterms:W3CDTF">2014-02-25T10:16:00Z</dcterms:modified>
</cp:coreProperties>
</file>