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EC" w:rsidRPr="00555310" w:rsidRDefault="00514DEC" w:rsidP="00514DEC">
      <w:pPr>
        <w:spacing w:before="120"/>
        <w:jc w:val="center"/>
        <w:rPr>
          <w:b/>
          <w:bCs/>
          <w:sz w:val="32"/>
          <w:szCs w:val="32"/>
        </w:rPr>
      </w:pPr>
      <w:r w:rsidRPr="00555310">
        <w:rPr>
          <w:b/>
          <w:bCs/>
          <w:sz w:val="32"/>
          <w:szCs w:val="32"/>
        </w:rPr>
        <w:t>Технология снижения токсичности автотракторных двигателей</w:t>
      </w:r>
    </w:p>
    <w:p w:rsidR="00514DEC" w:rsidRPr="00555310" w:rsidRDefault="00514DEC" w:rsidP="00514DEC">
      <w:pPr>
        <w:spacing w:before="120"/>
        <w:jc w:val="center"/>
        <w:rPr>
          <w:b/>
          <w:bCs/>
          <w:sz w:val="28"/>
          <w:szCs w:val="28"/>
        </w:rPr>
      </w:pPr>
      <w:r w:rsidRPr="00555310">
        <w:rPr>
          <w:b/>
          <w:bCs/>
          <w:sz w:val="28"/>
          <w:szCs w:val="28"/>
        </w:rPr>
        <w:t>Radioscan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Проблема загрязнения атмосферы в России стоит очень остро. Бесспорно, что основными “загрязнителями” являются автотранспортные средства. Достаточно отметить, что в Москве на долю автомобильного транспорта приходится 87% загрязнения города. Из всех видов автотранспорта наибольшая доля выброса всех вредных веществ принадлежит грузовому автотранспорту. Положение усугубляется крайне неудовлетворительным состоянием автомобилей, находящихся в эксплуатации.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Основными эксплуатационными факторами, влияющими на уровень вредных выбросов двигателей, являются факторы, характеризующие состояние деталей цилиндропоршневой группы (ЦПГ). Повышенный износ деталей ЦПГ и отклонения от их правильной геометрической формы являются причиной увеличения концентрации токсичных компонентов в отработавших газах (ОГ) и картерных газах (КГ).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Базовой деталью ЦПГ, от которой зависит работоспособность и экологичность двигателя, является цилиндр, т. к. герметичность камеры сгорания зависит от уплотняющей способности кольца в сопряжении с цилиндром. От технического состояния цилиндр – поршневое кольцо главным образом зависит и интенсивность роста зазоров между кольцами и канавками поршней. Таким образом, контроль и подрегулировка зазора между кольцом и цилиндром в процессе эксплуатации являются существенным резервом снижения количества вредных примесей в ОГ и КГ посредством улучшения условий сгорания топлива и снижения количества масла, оставшегося в надпоршневом пространстве.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Подрегулировка зазоров между цилиндром и поршневыми кольцами весьма просто производится предлагаемым способом компенсации овальности цилиндров (КО).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Ниже представлены несколько статей, касающихся проблем экологии на грузовом автотранспорте: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-Актуальность проблемы загрязнения окружающей среды;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-Анализ причин повышенной токсичности автотракторных двигателей;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-Способ КО.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-Рекомендации по применению способа КО</w:t>
      </w:r>
    </w:p>
    <w:p w:rsidR="00514DEC" w:rsidRPr="00555310" w:rsidRDefault="00514DEC" w:rsidP="00514DEC">
      <w:pPr>
        <w:spacing w:before="120"/>
        <w:jc w:val="center"/>
        <w:rPr>
          <w:b/>
          <w:bCs/>
          <w:sz w:val="28"/>
          <w:szCs w:val="28"/>
        </w:rPr>
      </w:pPr>
      <w:r w:rsidRPr="00555310">
        <w:rPr>
          <w:b/>
          <w:bCs/>
          <w:sz w:val="28"/>
          <w:szCs w:val="28"/>
        </w:rPr>
        <w:t xml:space="preserve">Актуальность вопроса экологии на автотранспорте.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Основными источниками загрязнения атмосферы являются транспортные средства с двигателями внутреннего сгорания (ДВС). Достаточно отметить, что в г. Москве (ж. “Автомобильный транспорт”, №1, 2001 г.) Все выбросы заводов столицы, вместе взятые, в 6,5 раз меньше, чем выбросы автомобильного транспорта.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Согласно данным Минздрава РФ на долю автотранспорта в ряде регионов России приходится свыше 70% от общего объёма выбросов загрязняющих веществ в атмосферу, в том числе в Пензенской области – 77%, в Санкт-Петербурге – 71%, в Воронежской области – 77%, в Краснодарском крае – 78%.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Картина и в самом деле удручающая, если не катострофическая: почти в двух сотнях наших городов, охваченных мониторингом природной среды, концентрация вредных для здоровья веществ значительно превышает предельно допустимые уровни (Эксперт-Авто, №6(16), июнь, 2000)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Ещё один штрих к картине. .В 1965 г. средняя продолжительность жизни в СССР составила 69,6 года В то время в США этот показатель превосходил советский только на 3 года. К 1995г. разрыв увеличился до 15 лет. Причина – нервные стрессы, вызванные общей нестабильностью, неправильный образ жизни, но главная беда – отвратительный воздух и “отвратителями” его в последнее время считаются не предприятия, а автотранспорт (Эксперт-Авто 6 (16), июль,2000 г.)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При сжигании различных видов топлива в двигателях всех видов в атмосферу выбрасываются вредные вещества такие как оксид углерода, оксиды серы, азота, соединения свинца, сажа, углеводороды, в том числе канцерогенный бензаперин, несгоревшие частицы топлива и т.п.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Снижению токсичности и нейтрализации ОГ в настоящее время уделяется большое внимание и разработано много способов, позволяющих уменьшить токсичность выхлопных газов.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Разработки в этом направлении включают в себя: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повышение качества изготовления и усовершенствования конструкций двигателей;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поиск новых видов топлива, применение различных присадок к нему;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разработка различных устройств, снижающих содержание вредных компонентов в ОГ. </w:t>
      </w:r>
    </w:p>
    <w:p w:rsidR="00514DEC" w:rsidRPr="00555310" w:rsidRDefault="00514DEC" w:rsidP="00514DEC">
      <w:pPr>
        <w:spacing w:before="120"/>
        <w:jc w:val="center"/>
        <w:rPr>
          <w:b/>
          <w:bCs/>
          <w:sz w:val="28"/>
          <w:szCs w:val="28"/>
        </w:rPr>
      </w:pPr>
      <w:r w:rsidRPr="00555310">
        <w:rPr>
          <w:b/>
          <w:bCs/>
          <w:sz w:val="28"/>
          <w:szCs w:val="28"/>
        </w:rPr>
        <w:t xml:space="preserve">Создание новых экологически чистых энергетических установок.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Предлагаемый нами способ весьма приближенно можно отнести к усовершенствованию конструкции двигателя.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Как уже отмечалось выше, количество вредных веществ, поступающих в атмосферу в составе ОГ и КГ в большей степени зависит от технического состояния ДВС.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Сегодня нужды эксплуатации при поддержании парка в работоспособном и экологически допустимом состоянии сбалансированы, в основном, капитальным ремонтом. Очевидно, что необходимые объёмы производства капитальных ремонтов не выполняются и в эксплуатации находятся двигатели в технически неудовлетворительном состоянии, у которых токсичность выброса значительно повышена. По данным НТЦ ПО КамАз при предельном значении расхода картерных газов 8,1 кубометров в час расход КГ у двигателей с пробегом 180-280 тыс.км. составляет от 6 до 15 кубометров в час.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В ВАИ ведутся работы по корректировке регулировок дизеля КамАз-740 в соответствии с износом ЦПГ. Однако, бесспорно, целесообразнее периодически восстанавливать исходные значения неплотностей в камере сгорания посредством компенсации овальности цилиндров до предельно допустимых. Известно, что овальность цилиндров является критерием работоспособности и экологичности двигателей и постановки двигателей в капитальный ремонт. При достижении овальности 100 мкм. двигатели ЯМЗ и КамАз экономически и экологически нецелесообразно эксплуатировать. Так при достижении величины овальности цилиндров 100 мкм. .гильзы двигателей ЯМЗ растачиваются на следующий ремонтный размер, а двигателей КамАз - выбрасываются..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30 марта 2002 года президент России подписал постановление совета безопасности РФ о “Приоритетных направлениях развития науки, технологий и техники Российской Федерации, среди которых – “экология и рациональное природопользование”. </w:t>
      </w:r>
    </w:p>
    <w:p w:rsidR="00514DEC" w:rsidRPr="00555310" w:rsidRDefault="00514DEC" w:rsidP="00514DEC">
      <w:pPr>
        <w:spacing w:before="120"/>
        <w:jc w:val="center"/>
        <w:rPr>
          <w:b/>
          <w:bCs/>
          <w:sz w:val="28"/>
          <w:szCs w:val="28"/>
        </w:rPr>
      </w:pPr>
      <w:r w:rsidRPr="00555310">
        <w:rPr>
          <w:b/>
          <w:bCs/>
          <w:sz w:val="28"/>
          <w:szCs w:val="28"/>
        </w:rPr>
        <w:t xml:space="preserve">Анализ причин повышенной токсичности автотракторных двигателей.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Токсичными выбросами ДВС являются ОГ и КГ. Основная доля токсичных примесей поступает в атмосферу с ОГ. С КГ в атмосферу поступает около 40% токсичных примесей от их общего выброса.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Содержание углеводородов в ОГ во многом зависит от технического состояния и регулировок двигателя и на холостом ходу колеблется от 100 до 5000% и более (</w:t>
      </w:r>
      <w:r w:rsidRPr="00555310">
        <w:t>www.autoguide.ru</w:t>
      </w:r>
      <w:r w:rsidRPr="00737612">
        <w:t>)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При общем небольшом количестве КГ, равном 2-10% ОГ в общем балансе загрязнения атмосферы вредными веществами, доля картерных газов составляет около 10% у мало изношенных двигателей и вырастает до 40% при эксплуатации двигателя с изношенной ЦПГ, т.к. концентрация углеводородов в КГ в 15-10 раз выше, чем в ОГ двигателя (В.А. Марков и др. Токсичность отработавших газов дизелей М.; МГТУ им. Н.Э. Баумана, 2002г.)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Количество КГ, а так же их химический состав зависят от состояния деталей ЦПГ, осуществляющих уплотнение камеры сгорания. От величины зазоров между трущимися деталями ЦПГ зависит проникновение газов из цилиндра в картер и обратно. При этом увеличивается доля углеводородов с канцерогенными свойствами из-за повышенного угара масла и увеличенного расхода картерных газов через замкнутую систему вентиляции картера.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Ближе к 100 тысячам км. пробега дымность и токсичность выхлопа двигателей ощутимо повышаются. Если же учесть наше исконное пыльное бездорожье да типичное разгильдяйство при сборке отечественных автомобилей, то эту цифру можно смело уменьшать (</w:t>
      </w:r>
      <w:r w:rsidRPr="00555310">
        <w:t>www.autoguide.ru</w:t>
      </w:r>
      <w:r w:rsidRPr="00737612">
        <w:t>).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К достижению предельного износа двигателя выбросы увеличиваются в среднем на 50%. На примере ускоренных испытаний, проведенных в НАМИ, установлено что износ двигателя увеличивает выбросы с ОГ углеводородов в 10 раз.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Основная масса двигателей с повышенной дымностью ОГ приходится на двигатели, прошедшие капитальный ремонт.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Степень разуплотнения камеры сгорания зависит от износа деталей ЦПГ, отклонения их макрогеометри от правильной геометрической формы. При увеличении неплотностей камеры сгорания происходит возрастание СО и СН и снижение СО2 в результате ухудшения условий сгорания топлива. Кроме снижения качества организации рабочего процесса, зазоры между кольцом и цилиндром, а также зазоры между кольцом и канавкой поршня приводят к увеличению количества масла, попавшего в надпоршневое пространство, к увеличению отклонения от заданной динамики тепловыделения в процессе сгорания, а, следовательно, - к увеличению общей массы токсических выбросов. Масло составляет 30-40% твёрдых частиц ОГ ( ж. “Автомобильная промышленность”, №12, 2001 г.).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Как уже отмечалось выше базовой деталью ЦПГ является цилиндр, от которого зависит экономическая и экологическая целесообразность эксплуатации двигателя.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Износ гильз цилиндров имеет выраженную форму овала, большая ось которого расположена в плоскости качания шатуна. Причиной образования овальности цилиндров главным образом является увеличенная нагрузка поршней на гильзы именно в плоскости качания шатунов.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На овальность цилиндров влияет также несовершенство технологии сборки блока цилиндров. Изменение макрогеометрии цилиндров (овальности и конусности) после сборки двигателя также приводит к ухудшению прилегания поршневых колец к зеркалу цилиндра. Известно, что при установке гильз в блоки различных марок ДВС, овальность в цилиндрах увеличивается в 2-3 раза.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Очень важно отметить, что характер искажения макрогеометрии гильз цилиндров после сборки и в процессе эксплуатации одинаков для большинства конструкций блоков цилиндров с “мокрыми гильзами”. Большая ось овала цилиндра, образующегося при сборке, в зоне остановки верхнего компрессионного кольца в верхней мёртвой точке поршня имеет такую же направленность, как и большая ось овала, образующегося при эксплуатации. Такой характер деформации цилиндров объясняется большей деформацией блока в местах между расточками под гильзы.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Снижение овальности цилиндров способствует снижению интенсивности износа колец и канавок поршней, что в целом способствует улучшению работы поршневых колец и улучшению уплотнения камеры сгорания. Известно, что замена маслосъёмных колец после выработки предельного ресурса в некоторой степени восстанавливает средний уровень токсичности двигателя. Бесспорно, если при замене колец произвести подрегулировку овальности цилиндров до уровня предельной величины на изготовление новых гильз, то эффект будет намного значительнее.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>Таким образом, овальность в цилиндрах является основным эксплуатационным и технологическим фактором, приводящим к росту выбросов СО и СН. Подрегулировка овальности в процессе эксплуатации предлагаемым нами способом (КО) является существенным резервом снижения количества вредных примесей в ОГ и КГ.</w:t>
      </w:r>
    </w:p>
    <w:p w:rsidR="00514DEC" w:rsidRPr="00514DEC" w:rsidRDefault="00514DEC" w:rsidP="00514DEC">
      <w:pPr>
        <w:spacing w:before="120"/>
        <w:jc w:val="center"/>
        <w:rPr>
          <w:b/>
          <w:bCs/>
          <w:sz w:val="28"/>
          <w:szCs w:val="28"/>
        </w:rPr>
      </w:pPr>
      <w:r w:rsidRPr="00514DEC">
        <w:rPr>
          <w:b/>
          <w:bCs/>
          <w:sz w:val="28"/>
          <w:szCs w:val="28"/>
        </w:rPr>
        <w:t xml:space="preserve">Способ КО.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КО – способ снижения эксплуатационной и монтажной овальности в цилиндрах двигателей с “мокрыми гильзами” с целью снижения количества вредных веществ как в КГ, так и в ОГ, путём снижения величины овальности до уровня, не превышающего допуск на изготовление новых гильз.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Сущность способа КО заключается в обжатии бурта гильзы посредством установки компенсаторов овальности, выполненных в виде пластин, в зазор между цилиндрическими поверхностями бурта гильзы и расточки в блоке под бурт. При этом ось симметрии компенсаторов совпадает с большей осью овала зеркала цилиндра в верхней его части.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По предлагаемому техническому решению уменьшение овальности происходит под действием радиально приложенных сил, сжимающих бурт гильзы при установке компенсаторов с натягом. Под действием сил, сжимающих бурт гильзы, образующие зеркала цилиндра поворачиваются вокруг точек в “нейтральном сечении” цилиндра. “Нейтральное сечение” - это круг, образованный неподвижными точками образующих цилиндра, вокруг которых образующие поворачиваются под действием сил, сжимающих бурт. При этом гильза ведёт себя как тонкостенный цилиндр, сжатый двумя диаметрально противоположными силами, приложенными у одного из торцов. Характер деформации гильзы при этом такой, что большая ось овала над “ нейтральным сечением” перпендикулярна большей оси овала под “нейтральным сечением. Расположение “нейтрального сечения” зависит от соотношения размеров гильзы с её диаметром. Так, например, в цилиндрах двигателей ЯМЗ нейтральное сечение расположено на расстоянии 200- 250 мм. от привалочной плоскости.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Обеспечение компенсации овальности в цилиндрах по всей длине хода компрессионных колец возможно при отношении расстояния от плоскости верхнего компрессионного кольца при положении поршня в нижней мёртвой точке до привалочной плоскости блока к расстоянию от “нейтрального сечения” до привалочной плоскости блока равном единице (Патент № 2052147).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Способ КО является универсальным, т.к. сочетает в себе два пути снижения токсичности двигателей: эксплуатационный и технологический, атак же позволяет снизить токсичность и количество вредных выбросов как в КГ, так и в ОГ.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Способ КО совершенствует систему технического обслуживания двигателей по параметрам токсичности двигателей.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Способ прост в осуществлении, не требует каких-либо изменений конструкции двигателей, выполняется за один час на одном блоке цилиндров при снятых головках блока, а стоимость его немногим более стоимости снятия и установки головок блока.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Для оценки влияния овальности в цилиндрах на расход КГ проводили испытания на 11-ти двигателях ЯМЗ-236.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Ниже в таблице представлены материалы обработки экспериментальных данных овальности и расхода КГ до и после КО с разбивкой по интервалам пробега.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0"/>
        <w:gridCol w:w="2125"/>
        <w:gridCol w:w="1544"/>
        <w:gridCol w:w="1878"/>
        <w:gridCol w:w="1544"/>
      </w:tblGrid>
      <w:tr w:rsidR="00514DEC" w:rsidRPr="00737612" w:rsidTr="00514DEC">
        <w:trPr>
          <w:trHeight w:val="630"/>
          <w:tblCellSpacing w:w="0" w:type="dxa"/>
        </w:trPr>
        <w:tc>
          <w:tcPr>
            <w:tcW w:w="1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4DEC" w:rsidRPr="00737612" w:rsidRDefault="00514DEC" w:rsidP="00514DEC">
            <w:pPr>
              <w:jc w:val="both"/>
            </w:pPr>
            <w:r w:rsidRPr="00737612">
              <w:t>Диапазон изменения пробега, тыс.км.</w:t>
            </w:r>
          </w:p>
        </w:tc>
        <w:tc>
          <w:tcPr>
            <w:tcW w:w="1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До компенсации</w:t>
            </w:r>
          </w:p>
        </w:tc>
        <w:tc>
          <w:tcPr>
            <w:tcW w:w="17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После компенсации</w:t>
            </w:r>
          </w:p>
        </w:tc>
      </w:tr>
      <w:tr w:rsidR="00514DEC" w:rsidRPr="00737612" w:rsidTr="00514DEC">
        <w:trPr>
          <w:trHeight w:val="1320"/>
          <w:tblCellSpacing w:w="0" w:type="dxa"/>
        </w:trPr>
        <w:tc>
          <w:tcPr>
            <w:tcW w:w="1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Овальность мкм,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Расход картерных газов, м3 /час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Овальность, мкм.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Расход картерных газов, м3/час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0…50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10…25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0,9…1,3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10…15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0,9…1,3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50…100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10…30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1,3…1,8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10…20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1,3…1,8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100…150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30…40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1,8…3,3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10…20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1,3…1,8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150…200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40…60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3,3…4,4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10…20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1,3…1,8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200…250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60…70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4,4…5,3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10…20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1,3…1,8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250…300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60…80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5,3…6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10…20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1,3…1,8</w:t>
            </w:r>
          </w:p>
        </w:tc>
      </w:tr>
    </w:tbl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Экспериментально установлено, что при изменении пробега двигателя от 0 до 300 тыс. км. овальность в цилиндрах изменяется в диапазоне 10…80 мкм. При этом расход КГ изменяется соответственно от 0,9…1,3 м3/час до 5,3…6 м3/час. Снижение овальности до 15-25 мкм. позволило снизить количество прорывающихся в картер газов до значений, не превышающих 1,8м3/час независимо от исходных значений (Головатенко А.Г. Повышение технико-экономических и ресурсных показателей автотракторных двигателей путём компенсации овальности цилиндров. Автореферат, 1994 г.).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Способ был опробован на снижение СО, NO2 и гексана на 3-х двигателях КамАз и одном двигателе ЗиЛ-130.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Средние значения максимальной величины овальности и концентрации указанных вредных ингредиентов до и после компенсации овальности приведены в таблице.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4"/>
        <w:gridCol w:w="1627"/>
        <w:gridCol w:w="2097"/>
        <w:gridCol w:w="1626"/>
        <w:gridCol w:w="2097"/>
      </w:tblGrid>
      <w:tr w:rsidR="00514DEC" w:rsidRPr="00737612" w:rsidTr="00514DEC">
        <w:trPr>
          <w:trHeight w:val="315"/>
          <w:tblCellSpacing w:w="0" w:type="dxa"/>
        </w:trPr>
        <w:tc>
          <w:tcPr>
            <w:tcW w:w="11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9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До компенсации овальности</w:t>
            </w:r>
          </w:p>
        </w:tc>
        <w:tc>
          <w:tcPr>
            <w:tcW w:w="19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После компенсации овальности</w:t>
            </w:r>
          </w:p>
        </w:tc>
      </w:tr>
      <w:tr w:rsidR="00514DEC" w:rsidRPr="00737612" w:rsidTr="00514DEC">
        <w:trPr>
          <w:trHeight w:val="1200"/>
          <w:tblCellSpacing w:w="0" w:type="dxa"/>
        </w:trPr>
        <w:tc>
          <w:tcPr>
            <w:tcW w:w="11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Величина максимальной овальности в цилиндрах №1-8, мкм.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Концентрация СО, NO2 и гексана, об.%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Величина максимальной овальности в цилиндрах №1-8, мкм.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Концентрация СО, NO2 и гексана, об.%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16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КамАз-740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40, 25, 20, 80, 50, 50, 20, 25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СО – 0,16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10, 25, 20, 15,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СО – 0,13</w:t>
            </w:r>
          </w:p>
        </w:tc>
      </w:tr>
      <w:tr w:rsidR="00514DEC" w:rsidRPr="00737612" w:rsidTr="00514DEC">
        <w:trPr>
          <w:trHeight w:val="270"/>
          <w:tblCellSpacing w:w="0" w:type="dxa"/>
        </w:trPr>
        <w:tc>
          <w:tcPr>
            <w:tcW w:w="116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EC" w:rsidRPr="00737612" w:rsidRDefault="00514DEC" w:rsidP="00514DEC">
            <w:pPr>
              <w:jc w:val="both"/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EC" w:rsidRPr="00737612" w:rsidRDefault="00514DEC" w:rsidP="00514DEC">
            <w:pPr>
              <w:jc w:val="both"/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NO2 –0,010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10, 15,20, 25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NO2-0,006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16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EC" w:rsidRPr="00737612" w:rsidRDefault="00514DEC" w:rsidP="00514DEC">
            <w:pPr>
              <w:jc w:val="both"/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EC" w:rsidRPr="00737612" w:rsidRDefault="00514DEC" w:rsidP="00514DEC">
            <w:pPr>
              <w:jc w:val="both"/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Гекс – 0,033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Гекс- 0,026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1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80, 50, 20, 50,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СО – 0,12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20, 15, 20, 20,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СО – 0,09</w:t>
            </w:r>
          </w:p>
        </w:tc>
      </w:tr>
      <w:tr w:rsidR="00514DEC" w:rsidRPr="00737612" w:rsidTr="00514DEC">
        <w:trPr>
          <w:trHeight w:val="270"/>
          <w:tblCellSpacing w:w="0" w:type="dxa"/>
        </w:trPr>
        <w:tc>
          <w:tcPr>
            <w:tcW w:w="11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----- ----- -----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50, 40, 40, 15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NO2 –0,008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20,10, 20, 15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NO2- 0,007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1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Гекс-0,0166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Гекс-0,0125</w:t>
            </w:r>
          </w:p>
        </w:tc>
      </w:tr>
      <w:tr w:rsidR="00514DEC" w:rsidRPr="00737612" w:rsidTr="00514DEC">
        <w:trPr>
          <w:trHeight w:val="480"/>
          <w:tblCellSpacing w:w="0" w:type="dxa"/>
        </w:trPr>
        <w:tc>
          <w:tcPr>
            <w:tcW w:w="11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20, 15, 40, 110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CO –0,10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20, 15, 10, 20,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CO –0,07</w:t>
            </w:r>
          </w:p>
        </w:tc>
      </w:tr>
      <w:tr w:rsidR="00514DEC" w:rsidRPr="00737612" w:rsidTr="00514DEC">
        <w:trPr>
          <w:trHeight w:val="270"/>
          <w:tblCellSpacing w:w="0" w:type="dxa"/>
        </w:trPr>
        <w:tc>
          <w:tcPr>
            <w:tcW w:w="11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----- ---- -----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20, 20, 15, 20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NO2- 0,008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20, 20, 15, 20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NO2 – 0,006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1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Гекс- 0,0286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Гекc- 0,0218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16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ЗиЛ-130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40, 50, 50, 20,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CO- 0,25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15, 15, 10, 20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CO –0,15</w:t>
            </w:r>
          </w:p>
        </w:tc>
      </w:tr>
      <w:tr w:rsidR="00514DEC" w:rsidRPr="00737612" w:rsidTr="00514DEC">
        <w:trPr>
          <w:trHeight w:val="270"/>
          <w:tblCellSpacing w:w="0" w:type="dxa"/>
        </w:trPr>
        <w:tc>
          <w:tcPr>
            <w:tcW w:w="116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EC" w:rsidRPr="00737612" w:rsidRDefault="00514DEC" w:rsidP="00514DEC">
            <w:pPr>
              <w:jc w:val="both"/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40, 15, 20, 50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NO2- 0,016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15, 15, 20, 10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NO2 –0,010</w:t>
            </w:r>
          </w:p>
        </w:tc>
      </w:tr>
      <w:tr w:rsidR="00514DEC" w:rsidRPr="00737612" w:rsidTr="00514DEC">
        <w:trPr>
          <w:trHeight w:val="255"/>
          <w:tblCellSpacing w:w="0" w:type="dxa"/>
        </w:trPr>
        <w:tc>
          <w:tcPr>
            <w:tcW w:w="116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EC" w:rsidRPr="00737612" w:rsidRDefault="00514DEC" w:rsidP="00514DEC">
            <w:pPr>
              <w:jc w:val="both"/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Гекс- 0,0374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4DEC" w:rsidRPr="00737612" w:rsidRDefault="00514DEC" w:rsidP="00514DEC">
            <w:pPr>
              <w:jc w:val="both"/>
            </w:pPr>
            <w:r w:rsidRPr="00737612">
              <w:t>Гекс- 0,0224</w:t>
            </w:r>
          </w:p>
        </w:tc>
      </w:tr>
    </w:tbl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Таким образом, уменьшение средней максимальной овальности в </w:t>
      </w:r>
      <w:r>
        <w:t xml:space="preserve"> </w:t>
      </w:r>
      <w:r w:rsidRPr="00737612">
        <w:t xml:space="preserve">цилиндрах исследуемых двигателей с50…70 мкм. до10…20 мкм. в 4 или 5 цилиндрах позволило обеспечить снижение концентрации CO, NO2 и гексана в выхлопных газах в среднем на 25 –30%.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Возможно предположить, что при овальности в цилиндрах 70-90 мкм. и при овальности во всех цилиндрах, эффективность установки компенсаторов была бы выше..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Бесспорно, что способ КО является целесообразным как экологически, так и экономически, а так же является доказательством тому, что экологические и экономические резервы ДВС далеко не исчерпаны. </w:t>
      </w:r>
    </w:p>
    <w:p w:rsidR="00514DEC" w:rsidRPr="00514DEC" w:rsidRDefault="00514DEC" w:rsidP="00514DEC">
      <w:pPr>
        <w:spacing w:before="120"/>
        <w:jc w:val="center"/>
        <w:rPr>
          <w:b/>
          <w:bCs/>
          <w:sz w:val="28"/>
          <w:szCs w:val="28"/>
        </w:rPr>
      </w:pPr>
      <w:r w:rsidRPr="00514DEC">
        <w:rPr>
          <w:b/>
          <w:bCs/>
          <w:sz w:val="28"/>
          <w:szCs w:val="28"/>
        </w:rPr>
        <w:t xml:space="preserve">Применение способа КО.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В настоящее время нет эффективных и дешёвых методов снижения токсичности и количества выбросов вредных веществ автотракторных двигателей.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Не реально ожидать массового поступления на отечественный рынок автомобилей, соответствующих требованиям Правил ЕЭК ООН, (Евро-2, Евро-3)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Бессмысленно ставить вопрос о постановке нейтрализаторов на все автомобили.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Как уже отмечалось выше, обеспечить поддержание автотракторного парка в экологически чистом состоянии посредством капитальных ремонтов –так же реально не выполнимая задача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Ужесточение технологических допусков на изготовление и сборку ЦПГ- невыполнимая задача в ближайшие годы.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Выполнение комплекса мер, связанных с применением способа КО, в грузовых и автобусных парках является технологически выполнимой задачей. Для этого автопредприятия должны обеспечить контроль и подрегулировку овальности в цилиндрах в процессе эксплуатации двигателей.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Оценку величины овальности и, при необходимости, компенсацию овальности целесообразно приурочить к любому снятию головок блока (например при замене прокладок под головками блока). При этом трудоёмкость способа значительно снижается. Наиболее рационально оценку и подрегулировку овальности в цилиндрах производить через каждые 60 тыс. км. пробега. Этот срок не очень малый, чтобы заметно увеличить трудоёмкость обслуживания и в то же время подрегулировки с такой периодичностью существенно снизят интенсивность выделения вредных примесей в атмосферу.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Дополнительные затраты по организации применения способа КО пренебрежимо малы по сравнению с экономическим эффектом, который можно получить за счёт эффекта по снижению ущерба вследствие ограничения выбросов вредных веществ, а также экономии ГСМ.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Применение способа КО позволит по меньшей мере приблизиться к требованиям стандартов по токсичности и дымности подвижного состава, а также повысить технико-экономические показатели двигателей и увеличить их ресурс. </w:t>
      </w:r>
    </w:p>
    <w:p w:rsidR="00514DEC" w:rsidRPr="00737612" w:rsidRDefault="00514DEC" w:rsidP="00514DEC">
      <w:pPr>
        <w:spacing w:before="120"/>
        <w:ind w:firstLine="567"/>
        <w:jc w:val="both"/>
      </w:pPr>
      <w:r w:rsidRPr="00737612">
        <w:t xml:space="preserve">Возможно предположить, что способ КО целесообразно применять на двигателях европейских и американских моделей.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DEC"/>
    <w:rsid w:val="00002B5A"/>
    <w:rsid w:val="0010437E"/>
    <w:rsid w:val="001101BE"/>
    <w:rsid w:val="00316F32"/>
    <w:rsid w:val="00514DEC"/>
    <w:rsid w:val="00555310"/>
    <w:rsid w:val="005A79C3"/>
    <w:rsid w:val="00616072"/>
    <w:rsid w:val="006A5004"/>
    <w:rsid w:val="00710178"/>
    <w:rsid w:val="00737612"/>
    <w:rsid w:val="0081563E"/>
    <w:rsid w:val="0087719F"/>
    <w:rsid w:val="008B35EE"/>
    <w:rsid w:val="008E74C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7603CF-D4E5-47EF-9E72-50DEB8EF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14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снижения токсичности автотракторных двигателей</vt:lpstr>
    </vt:vector>
  </TitlesOfParts>
  <Company>Home</Company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снижения токсичности автотракторных двигателей</dc:title>
  <dc:subject/>
  <dc:creator>User</dc:creator>
  <cp:keywords/>
  <dc:description/>
  <cp:lastModifiedBy>admin</cp:lastModifiedBy>
  <cp:revision>2</cp:revision>
  <dcterms:created xsi:type="dcterms:W3CDTF">2014-02-14T21:17:00Z</dcterms:created>
  <dcterms:modified xsi:type="dcterms:W3CDTF">2014-02-14T21:17:00Z</dcterms:modified>
</cp:coreProperties>
</file>