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98" w:rsidRDefault="002E4998" w:rsidP="00DD1BF8">
      <w:pPr>
        <w:shd w:val="clear" w:color="auto" w:fill="FFFFFF"/>
        <w:spacing w:before="312" w:line="360" w:lineRule="auto"/>
        <w:rPr>
          <w:b/>
          <w:i/>
          <w:iCs/>
          <w:sz w:val="28"/>
          <w:szCs w:val="28"/>
        </w:rPr>
      </w:pPr>
    </w:p>
    <w:p w:rsidR="00DD1BF8" w:rsidRPr="00426EFE" w:rsidRDefault="00DD1BF8" w:rsidP="00DD1BF8">
      <w:pPr>
        <w:shd w:val="clear" w:color="auto" w:fill="FFFFFF"/>
        <w:spacing w:before="312" w:line="360" w:lineRule="auto"/>
        <w:rPr>
          <w:b/>
          <w:sz w:val="28"/>
          <w:szCs w:val="28"/>
        </w:rPr>
      </w:pPr>
      <w:r w:rsidRPr="00426EFE">
        <w:rPr>
          <w:b/>
          <w:i/>
          <w:iCs/>
          <w:sz w:val="28"/>
          <w:szCs w:val="28"/>
        </w:rPr>
        <w:t>Вариант 8</w:t>
      </w:r>
    </w:p>
    <w:p w:rsidR="00DD1BF8" w:rsidRPr="00453014" w:rsidRDefault="00DD1BF8" w:rsidP="00DD1BF8">
      <w:pPr>
        <w:widowControl w:val="0"/>
        <w:numPr>
          <w:ilvl w:val="0"/>
          <w:numId w:val="1"/>
        </w:numPr>
        <w:shd w:val="clear" w:color="auto" w:fill="FFFFFF"/>
        <w:tabs>
          <w:tab w:val="left" w:pos="907"/>
        </w:tabs>
        <w:autoSpaceDE w:val="0"/>
        <w:autoSpaceDN w:val="0"/>
        <w:adjustRightInd w:val="0"/>
        <w:spacing w:line="360" w:lineRule="auto"/>
        <w:ind w:left="466"/>
        <w:rPr>
          <w:spacing w:val="-15"/>
          <w:sz w:val="28"/>
          <w:szCs w:val="28"/>
        </w:rPr>
      </w:pPr>
      <w:r w:rsidRPr="00426EFE">
        <w:rPr>
          <w:sz w:val="28"/>
          <w:szCs w:val="28"/>
        </w:rPr>
        <w:t>Ценные бумаги: понятие, классификация и виды.</w:t>
      </w:r>
    </w:p>
    <w:p w:rsidR="00453014" w:rsidRPr="00426EFE" w:rsidRDefault="00453014" w:rsidP="00453014">
      <w:pPr>
        <w:widowControl w:val="0"/>
        <w:shd w:val="clear" w:color="auto" w:fill="FFFFFF"/>
        <w:tabs>
          <w:tab w:val="left" w:pos="907"/>
        </w:tabs>
        <w:autoSpaceDE w:val="0"/>
        <w:autoSpaceDN w:val="0"/>
        <w:adjustRightInd w:val="0"/>
        <w:spacing w:line="360" w:lineRule="auto"/>
        <w:ind w:left="466"/>
        <w:rPr>
          <w:spacing w:val="-15"/>
          <w:sz w:val="28"/>
          <w:szCs w:val="28"/>
        </w:rPr>
      </w:pPr>
    </w:p>
    <w:p w:rsidR="00DD1BF8" w:rsidRPr="00453014" w:rsidRDefault="00DD1BF8" w:rsidP="00DD1BF8">
      <w:pPr>
        <w:widowControl w:val="0"/>
        <w:numPr>
          <w:ilvl w:val="0"/>
          <w:numId w:val="1"/>
        </w:numPr>
        <w:shd w:val="clear" w:color="auto" w:fill="FFFFFF"/>
        <w:tabs>
          <w:tab w:val="left" w:pos="907"/>
        </w:tabs>
        <w:autoSpaceDE w:val="0"/>
        <w:autoSpaceDN w:val="0"/>
        <w:adjustRightInd w:val="0"/>
        <w:spacing w:line="360" w:lineRule="auto"/>
        <w:ind w:right="19" w:firstLine="466"/>
        <w:jc w:val="both"/>
        <w:rPr>
          <w:spacing w:val="-7"/>
          <w:sz w:val="28"/>
          <w:szCs w:val="28"/>
        </w:rPr>
      </w:pPr>
      <w:r w:rsidRPr="00426EFE">
        <w:rPr>
          <w:sz w:val="28"/>
          <w:szCs w:val="28"/>
        </w:rPr>
        <w:t>Проанализировать состояние рынка ценных бумаг в России в 2000-2004 года.</w:t>
      </w:r>
    </w:p>
    <w:p w:rsidR="00453014" w:rsidRDefault="00453014" w:rsidP="00453014">
      <w:pPr>
        <w:widowControl w:val="0"/>
        <w:shd w:val="clear" w:color="auto" w:fill="FFFFFF"/>
        <w:tabs>
          <w:tab w:val="left" w:pos="907"/>
        </w:tabs>
        <w:autoSpaceDE w:val="0"/>
        <w:autoSpaceDN w:val="0"/>
        <w:adjustRightInd w:val="0"/>
        <w:spacing w:line="360" w:lineRule="auto"/>
        <w:ind w:right="19"/>
        <w:jc w:val="both"/>
        <w:rPr>
          <w:spacing w:val="-7"/>
          <w:sz w:val="28"/>
          <w:szCs w:val="28"/>
        </w:rPr>
      </w:pPr>
    </w:p>
    <w:p w:rsidR="00453014" w:rsidRPr="00426EFE" w:rsidRDefault="00453014" w:rsidP="00453014">
      <w:pPr>
        <w:widowControl w:val="0"/>
        <w:shd w:val="clear" w:color="auto" w:fill="FFFFFF"/>
        <w:tabs>
          <w:tab w:val="left" w:pos="907"/>
        </w:tabs>
        <w:autoSpaceDE w:val="0"/>
        <w:autoSpaceDN w:val="0"/>
        <w:adjustRightInd w:val="0"/>
        <w:spacing w:line="360" w:lineRule="auto"/>
        <w:ind w:right="19"/>
        <w:jc w:val="both"/>
        <w:rPr>
          <w:spacing w:val="-7"/>
          <w:sz w:val="28"/>
          <w:szCs w:val="28"/>
        </w:rPr>
      </w:pPr>
    </w:p>
    <w:p w:rsidR="00DD1BF8" w:rsidRPr="00F601E3" w:rsidRDefault="00DD1BF8" w:rsidP="00F601E3">
      <w:pPr>
        <w:widowControl w:val="0"/>
        <w:numPr>
          <w:ilvl w:val="0"/>
          <w:numId w:val="1"/>
        </w:numPr>
        <w:shd w:val="clear" w:color="auto" w:fill="FFFFFF"/>
        <w:tabs>
          <w:tab w:val="left" w:pos="907"/>
        </w:tabs>
        <w:autoSpaceDE w:val="0"/>
        <w:autoSpaceDN w:val="0"/>
        <w:adjustRightInd w:val="0"/>
        <w:spacing w:line="360" w:lineRule="auto"/>
        <w:ind w:firstLineChars="851" w:firstLine="2374"/>
        <w:rPr>
          <w:spacing w:val="-6"/>
          <w:sz w:val="28"/>
          <w:szCs w:val="28"/>
        </w:rPr>
      </w:pPr>
      <w:r w:rsidRPr="00F601E3">
        <w:rPr>
          <w:spacing w:val="-1"/>
          <w:sz w:val="28"/>
          <w:szCs w:val="28"/>
        </w:rPr>
        <w:t>Словарь терминов.</w:t>
      </w:r>
    </w:p>
    <w:p w:rsidR="009C057F" w:rsidRPr="00F601E3" w:rsidRDefault="009C057F" w:rsidP="00F601E3">
      <w:pPr>
        <w:spacing w:line="360" w:lineRule="auto"/>
        <w:ind w:firstLineChars="851" w:firstLine="2383"/>
        <w:jc w:val="both"/>
        <w:rPr>
          <w:sz w:val="28"/>
          <w:szCs w:val="28"/>
        </w:rPr>
      </w:pPr>
      <w:r w:rsidRPr="00F601E3">
        <w:rPr>
          <w:sz w:val="28"/>
          <w:szCs w:val="28"/>
        </w:rPr>
        <w:t>Финансовая система - сеть финансовых институтов и рынков, оперирующих различными финансовыми инструментами, с помощью которых осуществляются все действия с финансовыми ресурсами: оборот денежной массы, кредитование и заимствование финансовых средств, внешнеэкономическая деятельность.</w:t>
      </w:r>
    </w:p>
    <w:p w:rsidR="009C057F" w:rsidRPr="00F601E3" w:rsidRDefault="009C057F" w:rsidP="00F601E3">
      <w:pPr>
        <w:spacing w:line="360" w:lineRule="auto"/>
        <w:ind w:firstLineChars="851" w:firstLine="2383"/>
        <w:jc w:val="both"/>
        <w:rPr>
          <w:sz w:val="28"/>
          <w:szCs w:val="28"/>
        </w:rPr>
      </w:pPr>
      <w:r w:rsidRPr="00F601E3">
        <w:rPr>
          <w:sz w:val="28"/>
          <w:szCs w:val="28"/>
        </w:rPr>
        <w:t>Субсидия - в РФ -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w:t>
      </w:r>
    </w:p>
    <w:p w:rsidR="009C057F" w:rsidRPr="00F601E3" w:rsidRDefault="009C057F" w:rsidP="00F601E3">
      <w:pPr>
        <w:spacing w:line="360" w:lineRule="auto"/>
        <w:ind w:firstLineChars="851" w:firstLine="2383"/>
        <w:jc w:val="both"/>
        <w:rPr>
          <w:sz w:val="28"/>
          <w:szCs w:val="28"/>
        </w:rPr>
      </w:pPr>
      <w:r w:rsidRPr="00F601E3">
        <w:rPr>
          <w:sz w:val="28"/>
          <w:szCs w:val="28"/>
        </w:rPr>
        <w:t>Инвестиции - с точки зрения страны в целом - вложения в создание нового или возмещение изношенного произведенного, человеческого или природного капитала. Инвестиции подразделяются на фиксированные инвестиции и инвестиции в товарно-материальные запасы. Само понятие инвестиции (от лат investio - одеваю) означает вложение капитала в отрасли экономики внутри страны и за границей. Различают финансовые (покупка ценных бумаг) и реальные инвестиции (вложения капитала в промышленность, сельское хозяйство, строительство, образование и др.)</w:t>
      </w:r>
    </w:p>
    <w:p w:rsidR="009C057F" w:rsidRPr="00F601E3" w:rsidRDefault="009C057F" w:rsidP="00F601E3">
      <w:pPr>
        <w:spacing w:line="360" w:lineRule="auto"/>
        <w:ind w:firstLineChars="851" w:firstLine="2383"/>
        <w:jc w:val="both"/>
        <w:rPr>
          <w:sz w:val="28"/>
          <w:szCs w:val="28"/>
        </w:rPr>
      </w:pPr>
      <w:r w:rsidRPr="00F601E3">
        <w:rPr>
          <w:sz w:val="28"/>
          <w:szCs w:val="28"/>
        </w:rPr>
        <w:t>Финансы - совокупность всех денежных ресурсов, находящихся в распоряжении государства и хозяйствующих субъектов, а также система их формирования, распределения и использования.</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Эмитент - организация, выпустившая ценные бумаги для финансирования своей деятельности и развития. </w:t>
      </w:r>
    </w:p>
    <w:p w:rsidR="009C057F" w:rsidRPr="00F601E3" w:rsidRDefault="009C057F" w:rsidP="00F601E3">
      <w:pPr>
        <w:spacing w:line="360" w:lineRule="auto"/>
        <w:ind w:firstLineChars="851" w:firstLine="2383"/>
        <w:jc w:val="both"/>
        <w:rPr>
          <w:sz w:val="28"/>
          <w:szCs w:val="28"/>
        </w:rPr>
      </w:pPr>
      <w:r w:rsidRPr="00F601E3">
        <w:rPr>
          <w:sz w:val="28"/>
          <w:szCs w:val="28"/>
        </w:rPr>
        <w:t>Эмитент -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этими ценными бумагами.</w:t>
      </w:r>
    </w:p>
    <w:p w:rsidR="009C057F" w:rsidRPr="00F601E3" w:rsidRDefault="009C057F" w:rsidP="00F601E3">
      <w:pPr>
        <w:spacing w:line="360" w:lineRule="auto"/>
        <w:ind w:firstLineChars="851" w:firstLine="2383"/>
        <w:jc w:val="both"/>
        <w:rPr>
          <w:sz w:val="28"/>
          <w:szCs w:val="28"/>
        </w:rPr>
      </w:pPr>
      <w:r w:rsidRPr="00F601E3">
        <w:rPr>
          <w:sz w:val="28"/>
          <w:szCs w:val="28"/>
        </w:rPr>
        <w:t>Налог - по законодательству РФ -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и/или муниципальных образований.</w:t>
      </w:r>
    </w:p>
    <w:p w:rsidR="009C057F" w:rsidRPr="00F601E3" w:rsidRDefault="009C057F" w:rsidP="00F601E3">
      <w:pPr>
        <w:spacing w:line="360" w:lineRule="auto"/>
        <w:ind w:firstLineChars="851" w:firstLine="2383"/>
        <w:jc w:val="both"/>
        <w:rPr>
          <w:sz w:val="28"/>
          <w:szCs w:val="28"/>
        </w:rPr>
      </w:pPr>
      <w:r w:rsidRPr="00F601E3">
        <w:rPr>
          <w:sz w:val="28"/>
          <w:szCs w:val="28"/>
        </w:rPr>
        <w:t>Консолидированный бюджет - в РФ - используемый для расчетов и анализа свод бюджетов нижестоящих территориальных уровней и бюджета соответствующего национально-государственного или административно-территориального образования.</w:t>
      </w:r>
    </w:p>
    <w:p w:rsidR="009C057F" w:rsidRPr="00F601E3" w:rsidRDefault="009C057F" w:rsidP="00F601E3">
      <w:pPr>
        <w:spacing w:line="360" w:lineRule="auto"/>
        <w:ind w:firstLineChars="851" w:firstLine="2383"/>
        <w:jc w:val="both"/>
        <w:rPr>
          <w:sz w:val="28"/>
          <w:szCs w:val="28"/>
        </w:rPr>
      </w:pPr>
      <w:r w:rsidRPr="00F601E3">
        <w:rPr>
          <w:sz w:val="28"/>
          <w:szCs w:val="28"/>
        </w:rPr>
        <w:t>Финансовая политика - государственная экономическая политика, проявляющаяся в использовании государственных финансовых ресурсов, регулировании доходов и расходов, формировании и исполнении государственного бюджета, в налоговом регулировании, в управлении денежным обращением, в воздействии на курс национальной валюты.</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Инфляция ( «inflatio» – лат. «вздутие») - повышение общего уровня цен, переполнение каналов обращения денежной массы сверх потребностей товарооборота, вызывающее обесценивание денежной единицы и рост цен. </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Инфляция цен свойственна любой экономике - как развитых стран, так и развивающихся. Однако темпы инфляции в разных странах могут сильно отличаться. Инфляция может перерасти в гиперинфляцию, когда рост цен превышает 50% в месяц. </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Высокая инфляция является основным дестабилизирующим фактором рыночной экономики, снижающим покупательную способность денег. При этом снижаются реальные доходы населения, растет себестоимость производства, и повышение заработной платы и цен на конечную продукцию не успевает за ее темпами. Кроме того, высокий уровень инфляции обычно является нежелательным для большинства компаний, ориентирующихся на работу на внутреннем рынке, так как "съедается" значительная часть их прибыли. Исключением являются компании, ориентированные на экспорт, чья выручка исчисляется в твердой валюте. Данный тип компаний даже выигрывает от внутренней инфляции, поскольку это позволяет дополнительно сэкономить на издержках. </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Оптимальными темпами инфляции для развитой рыночной экономики являются 2-5% в год. Умеренные темпы инфляции способствуют увеличению благосостояния населения и компаний. </w:t>
      </w:r>
    </w:p>
    <w:p w:rsidR="009C057F" w:rsidRPr="00F601E3" w:rsidRDefault="009C057F" w:rsidP="00F601E3">
      <w:pPr>
        <w:spacing w:line="360" w:lineRule="auto"/>
        <w:ind w:firstLineChars="851" w:firstLine="2383"/>
        <w:jc w:val="both"/>
        <w:rPr>
          <w:sz w:val="28"/>
          <w:szCs w:val="28"/>
        </w:rPr>
      </w:pPr>
      <w:r w:rsidRPr="00F601E3">
        <w:rPr>
          <w:sz w:val="28"/>
          <w:szCs w:val="28"/>
        </w:rPr>
        <w:t>Зачастую в инфляции выделяют сезонную составляющую: так, осенью, в период сбора урожая, сельскохозяйственные товары дешевеют, тем самым, снижая темпы роста инфляции. Основными предпосылками инфляции являются рост издержек - таких, как заработной платы или сырьевых ресурсов. В этом случае говорят об инфляции предложения. Также одной из причин инфляции может служить повышенный потребительский спрос, опережающий темпы роста производства. В этом случае говорят об инфляции спроса.</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Причины инфляции: </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 дефицит государственного бюджета для покрытия которого выпускаются государственные ценные бумаги или бумажные деньги, </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 высокий уровень непроизводственных расходов государства, приводящий к затратам человеческого труда, которые не оборачиваются увеличением выпуска потребительских благ, </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 товарный дефицит, приводящий к отрыву спроса от предложения, </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 монопольное положение некоторых производителей, позволяющее им повышать цены на свою продукцию, </w:t>
      </w:r>
    </w:p>
    <w:p w:rsidR="009C057F" w:rsidRPr="00F601E3" w:rsidRDefault="009C057F" w:rsidP="00F601E3">
      <w:pPr>
        <w:spacing w:line="360" w:lineRule="auto"/>
        <w:ind w:firstLineChars="851" w:firstLine="2383"/>
        <w:jc w:val="both"/>
        <w:rPr>
          <w:sz w:val="28"/>
          <w:szCs w:val="28"/>
        </w:rPr>
      </w:pPr>
      <w:r w:rsidRPr="00F601E3">
        <w:rPr>
          <w:sz w:val="28"/>
          <w:szCs w:val="28"/>
        </w:rPr>
        <w:t>- отрыв роста заработной платы от роста производительности труда.</w:t>
      </w:r>
    </w:p>
    <w:p w:rsidR="009C057F" w:rsidRPr="00F601E3" w:rsidRDefault="009C057F" w:rsidP="00F601E3">
      <w:pPr>
        <w:spacing w:line="360" w:lineRule="auto"/>
        <w:ind w:firstLineChars="851" w:firstLine="2383"/>
        <w:jc w:val="both"/>
        <w:rPr>
          <w:sz w:val="28"/>
          <w:szCs w:val="28"/>
        </w:rPr>
      </w:pPr>
      <w:r w:rsidRPr="00F601E3">
        <w:rPr>
          <w:sz w:val="28"/>
          <w:szCs w:val="28"/>
        </w:rPr>
        <w:t xml:space="preserve">Страхование - система экономических отношений по защите имущественных интересов физических и юридических лиц при наступлении определенных событий (страховых случаев) за счет денежных средств (страховых фондов), формируемых из уплачиваемых ими страховых премий путем выплаты страхового возмещения. </w:t>
      </w:r>
    </w:p>
    <w:p w:rsidR="009C057F" w:rsidRPr="00F601E3" w:rsidRDefault="009C057F" w:rsidP="00F601E3">
      <w:pPr>
        <w:spacing w:line="360" w:lineRule="auto"/>
        <w:ind w:firstLineChars="851" w:firstLine="2383"/>
        <w:jc w:val="both"/>
        <w:rPr>
          <w:sz w:val="28"/>
          <w:szCs w:val="28"/>
        </w:rPr>
      </w:pPr>
      <w:r w:rsidRPr="00F601E3">
        <w:rPr>
          <w:sz w:val="28"/>
          <w:szCs w:val="28"/>
        </w:rPr>
        <w:t>Страхование - система экономических отношений, подразумевающая образование за счет взносов предприятий, организаций и граждан страхового фонда и его использование для возмещения ущербов, возникающих вследствие наступления страховых рисков.</w:t>
      </w:r>
      <w:bookmarkStart w:id="0" w:name="_GoBack"/>
      <w:bookmarkEnd w:id="0"/>
    </w:p>
    <w:sectPr w:rsidR="009C057F" w:rsidRPr="00F60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4FC"/>
    <w:multiLevelType w:val="singleLevel"/>
    <w:tmpl w:val="8F2ABCD8"/>
    <w:lvl w:ilvl="0">
      <w:start w:val="1"/>
      <w:numFmt w:val="decimal"/>
      <w:lvlText w:val="%1."/>
      <w:legacy w:legacy="1" w:legacySpace="0" w:legacyIndent="44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57F"/>
    <w:rsid w:val="00116456"/>
    <w:rsid w:val="002E4998"/>
    <w:rsid w:val="00453014"/>
    <w:rsid w:val="00766016"/>
    <w:rsid w:val="009C057F"/>
    <w:rsid w:val="00DD1BF8"/>
    <w:rsid w:val="00F60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F41A4-6218-4089-9F34-07295673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admin</cp:lastModifiedBy>
  <cp:revision>2</cp:revision>
  <dcterms:created xsi:type="dcterms:W3CDTF">2014-04-04T11:25:00Z</dcterms:created>
  <dcterms:modified xsi:type="dcterms:W3CDTF">2014-04-04T11:25:00Z</dcterms:modified>
</cp:coreProperties>
</file>