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Pr="00132A6C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A23F4" w:rsidRDefault="001A23F4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  <w:lang w:val="en-US"/>
        </w:rPr>
      </w:pPr>
    </w:p>
    <w:p w:rsidR="00132A6C" w:rsidRDefault="00132A6C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  <w:lang w:val="en-US"/>
        </w:rPr>
      </w:pPr>
    </w:p>
    <w:p w:rsidR="00132A6C" w:rsidRPr="00132A6C" w:rsidRDefault="00132A6C" w:rsidP="00132A6C">
      <w:pPr>
        <w:pStyle w:val="Style1"/>
        <w:widowControl/>
        <w:spacing w:line="36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  <w:lang w:val="en-US"/>
        </w:rPr>
      </w:pPr>
    </w:p>
    <w:p w:rsidR="0063665D" w:rsidRPr="00132A6C" w:rsidRDefault="001A23F4" w:rsidP="00132A6C">
      <w:pPr>
        <w:pStyle w:val="Style1"/>
        <w:widowControl/>
        <w:spacing w:line="360" w:lineRule="auto"/>
        <w:ind w:firstLine="72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132A6C">
        <w:rPr>
          <w:rStyle w:val="FontStyle11"/>
          <w:rFonts w:ascii="Times New Roman" w:hAnsi="Times New Roman" w:cs="Times New Roman"/>
          <w:sz w:val="28"/>
          <w:szCs w:val="28"/>
        </w:rPr>
        <w:t>Термохемилюминесцентный иммуноанализ</w:t>
      </w:r>
    </w:p>
    <w:p w:rsidR="0063665D" w:rsidRPr="00132A6C" w:rsidRDefault="007D3163" w:rsidP="00132A6C">
      <w:pPr>
        <w:pStyle w:val="Style2"/>
        <w:widowControl/>
        <w:spacing w:line="360" w:lineRule="auto"/>
        <w:ind w:firstLine="720"/>
        <w:jc w:val="center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br w:type="page"/>
      </w:r>
      <w:r w:rsidRPr="00132A6C">
        <w:rPr>
          <w:rStyle w:val="FontStyle16"/>
          <w:b/>
          <w:spacing w:val="0"/>
          <w:sz w:val="28"/>
          <w:szCs w:val="28"/>
        </w:rPr>
        <w:t>Введение</w:t>
      </w:r>
    </w:p>
    <w:p w:rsidR="007D3163" w:rsidRPr="00132A6C" w:rsidRDefault="007D3163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Люминесценцией называют излучение света в ходе какого-либо процесса. В зависимости от индуцирующего люминесценцию источника энергии ее можно подразделить на физическую люминесценцию и хемилюминесценцию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Физическая люминесценция включает флуоресценцию и фосфоресценцию. В этом случае люминесценция происходит после поглощения световой энергии. Хемилюминесценцией обычно называют излучение света в результате химической реакции. Харви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ввел дополнительное ограничение - "при обычной температуре". Позже Селиджер и Макэлрой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Схема реакций представлена на рис. 1.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Люцигенин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испускает сине-зеленый свет в присутствии пероксида водорода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в щелочной среде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Как показано на рис. 3, многие производные щавелевой кислоты реагируют с Н</w:t>
      </w:r>
      <w:r w:rsidRPr="00132A6C">
        <w:rPr>
          <w:rStyle w:val="FontStyle16"/>
          <w:spacing w:val="0"/>
          <w:sz w:val="28"/>
          <w:szCs w:val="28"/>
          <w:vertAlign w:val="subscript"/>
        </w:rPr>
        <w:t>2</w:t>
      </w:r>
      <w:r w:rsidRPr="00132A6C">
        <w:rPr>
          <w:rStyle w:val="FontStyle16"/>
          <w:spacing w:val="0"/>
          <w:sz w:val="28"/>
          <w:szCs w:val="28"/>
        </w:rPr>
        <w:t>0</w:t>
      </w:r>
      <w:r w:rsidRPr="00132A6C">
        <w:rPr>
          <w:rStyle w:val="FontStyle16"/>
          <w:spacing w:val="0"/>
          <w:sz w:val="28"/>
          <w:szCs w:val="28"/>
          <w:vertAlign w:val="subscript"/>
        </w:rPr>
        <w:t>2</w:t>
      </w:r>
      <w:r w:rsidRPr="00132A6C">
        <w:rPr>
          <w:rStyle w:val="FontStyle16"/>
          <w:spacing w:val="0"/>
          <w:sz w:val="28"/>
          <w:szCs w:val="28"/>
        </w:rPr>
        <w:t>, давая электронно-возбужденное промежуточное соединение, которое далее может вступить в реакцию с присутствующим в реакционной смеси соединением, способным к флуоресценции. В оптимальных услови</w:t>
      </w:r>
      <w:r w:rsidR="007D3163" w:rsidRPr="00132A6C">
        <w:rPr>
          <w:rStyle w:val="FontStyle16"/>
          <w:spacing w:val="0"/>
          <w:sz w:val="28"/>
          <w:szCs w:val="28"/>
        </w:rPr>
        <w:t>ях</w:t>
      </w:r>
      <w:r w:rsidRPr="002F185B">
        <w:rPr>
          <w:rStyle w:val="FontStyle13"/>
          <w:b w:val="0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этот процесс является наиболее эффективным из неферментагивных хемилюминесцентных реакций, известных в настоящее время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Эфиры акридиния вступают в высокоэффективные окислительные хемилюминёсцентные реакции с Н</w:t>
      </w:r>
      <w:r w:rsidRPr="00132A6C">
        <w:rPr>
          <w:rStyle w:val="FontStyle16"/>
          <w:spacing w:val="0"/>
          <w:sz w:val="28"/>
          <w:szCs w:val="28"/>
          <w:vertAlign w:val="subscript"/>
        </w:rPr>
        <w:t>2</w:t>
      </w:r>
      <w:r w:rsidRPr="00132A6C">
        <w:rPr>
          <w:rStyle w:val="FontStyle16"/>
          <w:spacing w:val="0"/>
          <w:sz w:val="28"/>
          <w:szCs w:val="28"/>
        </w:rPr>
        <w:t>0</w:t>
      </w:r>
      <w:r w:rsidRPr="00132A6C">
        <w:rPr>
          <w:rStyle w:val="FontStyle16"/>
          <w:spacing w:val="0"/>
          <w:sz w:val="28"/>
          <w:szCs w:val="28"/>
          <w:vertAlign w:val="subscript"/>
        </w:rPr>
        <w:t>2</w:t>
      </w:r>
      <w:r w:rsidR="00132A6C">
        <w:rPr>
          <w:rStyle w:val="FontStyle16"/>
          <w:spacing w:val="0"/>
          <w:sz w:val="28"/>
          <w:szCs w:val="28"/>
        </w:rPr>
        <w:t>, давая акридон.</w:t>
      </w:r>
    </w:p>
    <w:p w:rsidR="00132A6C" w:rsidRPr="00132A6C" w:rsidRDefault="00132A6C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23.75pt">
            <v:imagedata r:id="rId7" o:title=""/>
          </v:shape>
        </w:pict>
      </w:r>
    </w:p>
    <w:p w:rsidR="0063665D" w:rsidRPr="00132A6C" w:rsidRDefault="00A06EE4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65BCA">
        <w:rPr>
          <w:sz w:val="28"/>
          <w:szCs w:val="28"/>
        </w:rPr>
        <w:pict>
          <v:shape id="_x0000_i1026" type="#_x0000_t75" style="width:315.75pt;height:225pt">
            <v:imagedata r:id="rId8" o:title=""/>
          </v:shape>
        </w:pict>
      </w:r>
    </w:p>
    <w:p w:rsidR="00132A6C" w:rsidRDefault="00132A6C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В известной степени эта реакция подобна биолюминесцентной системе люциферин-люцифераза у светляков. Вместе с хемилюминесцентным окислением люминола и близких производных тидразида фталевой кислоты перечисленные реакции широко использовались в хемилюминесцентных аналитических методиках. Во всех указанных реакциях образуется промежуточное соединение одного типа, а именно замещенный четырехчленный 1,2-диоксетан. Диссоциация этого ключевого интермедиа-та приводит к электронно-возбужденным карбонильным соединениям. Следовательно, во всех перечисленных хемилюминесцентных реакциях образуется очень лабильный 1,2-диоксетан, способный диссоциировать, давая люминесцирующее соединение.</w:t>
      </w:r>
    </w:p>
    <w:p w:rsidR="00A06EE4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  <w:lang w:val="en-US"/>
        </w:rPr>
      </w:pPr>
      <w:r w:rsidRPr="00132A6C">
        <w:rPr>
          <w:rStyle w:val="FontStyle16"/>
          <w:spacing w:val="0"/>
          <w:sz w:val="28"/>
          <w:szCs w:val="28"/>
        </w:rPr>
        <w:t xml:space="preserve">За период с </w:t>
      </w:r>
      <w:smartTag w:uri="urn:schemas-microsoft-com:office:smarttags" w:element="metricconverter">
        <w:smartTagPr>
          <w:attr w:name="ProductID" w:val="1968 г"/>
        </w:smartTagPr>
        <w:r w:rsidRPr="00132A6C">
          <w:rPr>
            <w:rStyle w:val="FontStyle16"/>
            <w:spacing w:val="0"/>
            <w:sz w:val="28"/>
            <w:szCs w:val="28"/>
          </w:rPr>
          <w:t>1968 г</w:t>
        </w:r>
      </w:smartTag>
      <w:r w:rsidRPr="00132A6C">
        <w:rPr>
          <w:rStyle w:val="FontStyle16"/>
          <w:spacing w:val="0"/>
          <w:sz w:val="28"/>
          <w:szCs w:val="28"/>
        </w:rPr>
        <w:t>., когда был синтезирован триметил-1,2-диоксетая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получено более 200 различных хемилюминесцентных 1,2-диоксетанов. Однако эти соединения не привлекли внимания специалистов в области иммуноанализа. Сейчас известно по крайней мере 10 различных методов синтеза 1,2-диоксетанов. Заместителями в этих соединениях могут быть алкильные, арильные, спироалкильные, спироарильные, алкоксильные, арилоксильные, алкиламинные, тиоалкильные и тиоарильные группы. Опубликован ряд обзоров, посвященных 1,2-диоксетанам</w:t>
      </w:r>
      <w:r w:rsidR="001A23F4" w:rsidRPr="00132A6C">
        <w:rPr>
          <w:rStyle w:val="FontStyle16"/>
          <w:spacing w:val="0"/>
          <w:sz w:val="28"/>
          <w:szCs w:val="28"/>
        </w:rPr>
        <w:t>.</w:t>
      </w:r>
    </w:p>
    <w:p w:rsidR="0063665D" w:rsidRPr="00132A6C" w:rsidRDefault="00A06EE4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В этих обзорах </w:t>
      </w:r>
      <w:r w:rsidR="0063665D" w:rsidRPr="00132A6C">
        <w:rPr>
          <w:rStyle w:val="FontStyle16"/>
          <w:spacing w:val="0"/>
          <w:sz w:val="28"/>
          <w:szCs w:val="28"/>
        </w:rPr>
        <w:t>рассмотрены методы синтеза 1,2-диоксетанов, а также свойства этих соединений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="00132A6C">
        <w:rPr>
          <w:rStyle w:val="FontStyle16"/>
          <w:spacing w:val="0"/>
          <w:sz w:val="28"/>
          <w:szCs w:val="28"/>
        </w:rPr>
        <w:t xml:space="preserve"> </w:t>
      </w:r>
      <w:r w:rsidR="0063665D" w:rsidRPr="00132A6C">
        <w:rPr>
          <w:rStyle w:val="FontStyle16"/>
          <w:spacing w:val="0"/>
          <w:sz w:val="28"/>
          <w:szCs w:val="28"/>
        </w:rPr>
        <w:t>1,2-Диоксетаны термически распадаются на два карбонильных соединения, одно из которых может быть в первом синглетном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="0063665D" w:rsidRPr="00132A6C">
        <w:rPr>
          <w:rStyle w:val="FontStyle16"/>
          <w:spacing w:val="0"/>
          <w:sz w:val="28"/>
          <w:szCs w:val="28"/>
        </w:rPr>
        <w:t>или триплетном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="0063665D" w:rsidRPr="00132A6C">
        <w:rPr>
          <w:rStyle w:val="FontStyle16"/>
          <w:spacing w:val="0"/>
          <w:sz w:val="28"/>
          <w:szCs w:val="28"/>
        </w:rPr>
        <w:t xml:space="preserve">электронно-возбужденном состоянии. Как показано на рис. 5, возбужденное соединение может </w:t>
      </w:r>
      <w:r w:rsidRPr="00132A6C">
        <w:rPr>
          <w:rStyle w:val="FontStyle16"/>
          <w:spacing w:val="0"/>
          <w:sz w:val="28"/>
          <w:szCs w:val="28"/>
        </w:rPr>
        <w:t>испускать</w:t>
      </w:r>
      <w:r w:rsidR="0063665D" w:rsidRPr="00132A6C">
        <w:rPr>
          <w:rStyle w:val="FontStyle16"/>
          <w:spacing w:val="0"/>
          <w:sz w:val="28"/>
          <w:szCs w:val="28"/>
        </w:rPr>
        <w:t xml:space="preserve"> свет при переходе в основное состояние или непосредственно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="0063665D" w:rsidRPr="00132A6C">
        <w:rPr>
          <w:rStyle w:val="FontStyle16"/>
          <w:spacing w:val="0"/>
          <w:sz w:val="28"/>
          <w:szCs w:val="28"/>
        </w:rPr>
        <w:t xml:space="preserve"> или путем переноса энергии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="0063665D" w:rsidRPr="00132A6C">
        <w:rPr>
          <w:rStyle w:val="FontStyle16"/>
          <w:spacing w:val="0"/>
          <w:sz w:val="28"/>
          <w:szCs w:val="28"/>
        </w:rPr>
        <w:t>к акцепторной люминесцирующей молекуле А</w:t>
      </w:r>
      <w:r w:rsidR="001A23F4" w:rsidRPr="00132A6C">
        <w:rPr>
          <w:rStyle w:val="FontStyle16"/>
          <w:spacing w:val="0"/>
          <w:sz w:val="28"/>
          <w:szCs w:val="28"/>
        </w:rPr>
        <w:t>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Прямая хемилюминесценция 1,2-диоксетанов обычно очень слаба по сравнению с хемилюминесценцией таких соединений, как люминол. Это связано с тем,</w:t>
      </w:r>
      <w:r w:rsidR="00A06EE4" w:rsidRPr="00A06EE4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что большинство кетонов, эфиров и альдегидов, являющихся продуктами диссоциации 1,2-диоксетанов, имеют низкую эффективность флуоресценции.</w:t>
      </w:r>
    </w:p>
    <w:p w:rsidR="00A06EE4" w:rsidRPr="00A06EE4" w:rsidRDefault="0063665D" w:rsidP="00A06EE4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  <w:lang w:val="en-US"/>
        </w:rPr>
      </w:pPr>
      <w:r w:rsidRPr="00132A6C">
        <w:rPr>
          <w:rStyle w:val="FontStyle16"/>
          <w:spacing w:val="0"/>
          <w:sz w:val="28"/>
          <w:szCs w:val="28"/>
        </w:rPr>
        <w:t xml:space="preserve">Энергия активации термического распада большинства 1,2-диоксетанов равна 20-26 ккал/моль. Это означает, что все такие соединения разлагаются в течение нескольких минут или самое большое нескольких недель при комнатной температуре. Поэтому такие соединения не могут выполнять роль хемилюминесцентных меток в аналитических методах </w:t>
      </w:r>
      <w:r w:rsidRPr="00132A6C">
        <w:rPr>
          <w:rStyle w:val="FontStyle14"/>
          <w:spacing w:val="0"/>
          <w:sz w:val="28"/>
          <w:szCs w:val="28"/>
          <w:lang w:val="en-US"/>
        </w:rPr>
        <w:t>in</w:t>
      </w:r>
      <w:r w:rsidRPr="00132A6C">
        <w:rPr>
          <w:rStyle w:val="FontStyle14"/>
          <w:spacing w:val="0"/>
          <w:sz w:val="28"/>
          <w:szCs w:val="28"/>
        </w:rPr>
        <w:t xml:space="preserve"> </w:t>
      </w:r>
      <w:r w:rsidRPr="00132A6C">
        <w:rPr>
          <w:rStyle w:val="FontStyle14"/>
          <w:spacing w:val="0"/>
          <w:sz w:val="28"/>
          <w:szCs w:val="28"/>
          <w:lang w:val="en-US"/>
        </w:rPr>
        <w:t>vitro</w:t>
      </w:r>
      <w:r w:rsidRPr="00132A6C">
        <w:rPr>
          <w:rStyle w:val="FontStyle14"/>
          <w:spacing w:val="0"/>
          <w:sz w:val="28"/>
          <w:szCs w:val="28"/>
        </w:rPr>
        <w:t xml:space="preserve">. </w:t>
      </w:r>
      <w:r w:rsidRPr="00132A6C">
        <w:rPr>
          <w:rStyle w:val="FontStyle16"/>
          <w:spacing w:val="0"/>
          <w:sz w:val="28"/>
          <w:szCs w:val="28"/>
        </w:rPr>
        <w:t xml:space="preserve">В нашей лаборатории в </w:t>
      </w:r>
      <w:smartTag w:uri="urn:schemas-microsoft-com:office:smarttags" w:element="metricconverter">
        <w:smartTagPr>
          <w:attr w:name="ProductID" w:val="1972 г"/>
        </w:smartTagPr>
        <w:r w:rsidRPr="00132A6C">
          <w:rPr>
            <w:rStyle w:val="FontStyle16"/>
            <w:spacing w:val="0"/>
            <w:sz w:val="28"/>
            <w:szCs w:val="28"/>
          </w:rPr>
          <w:t>1972 г</w:t>
        </w:r>
      </w:smartTag>
      <w:r w:rsidRPr="00132A6C">
        <w:rPr>
          <w:rStyle w:val="FontStyle16"/>
          <w:spacing w:val="0"/>
          <w:sz w:val="28"/>
          <w:szCs w:val="28"/>
        </w:rPr>
        <w:t>. был синтезирован чрезвычайно стабильный 1,2-диоксетан, а именно адамантилиденадамантан-1,2-диоксетан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Это белое кристаллическое соединение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может храниться при комнатной температуре в течение нескольких лет без разложения до адамантанона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Вычисленный период полураспада соединения III при 25°С равен 10</w:t>
      </w:r>
      <w:r w:rsidRPr="00132A6C">
        <w:rPr>
          <w:rStyle w:val="FontStyle16"/>
          <w:spacing w:val="0"/>
          <w:sz w:val="28"/>
          <w:szCs w:val="28"/>
          <w:vertAlign w:val="superscript"/>
        </w:rPr>
        <w:t>4</w:t>
      </w:r>
      <w:r w:rsidRPr="00132A6C">
        <w:rPr>
          <w:rStyle w:val="FontStyle16"/>
          <w:spacing w:val="0"/>
          <w:sz w:val="28"/>
          <w:szCs w:val="28"/>
        </w:rPr>
        <w:t xml:space="preserve"> лет. Термическое разложение этого соединения протекает по первому порядку, и скорость хемилюминесцентной реакции не зависит от концентр</w:t>
      </w:r>
      <w:r w:rsidR="00132A6C">
        <w:rPr>
          <w:rStyle w:val="FontStyle16"/>
          <w:spacing w:val="0"/>
          <w:sz w:val="28"/>
          <w:szCs w:val="28"/>
        </w:rPr>
        <w:t>ации 1,2-диоксетана. При повышении</w:t>
      </w:r>
      <w:r w:rsidR="00A06EE4" w:rsidRPr="00A06EE4">
        <w:rPr>
          <w:rStyle w:val="FontStyle16"/>
          <w:spacing w:val="0"/>
          <w:sz w:val="28"/>
          <w:szCs w:val="28"/>
        </w:rPr>
        <w:t xml:space="preserve"> </w:t>
      </w:r>
      <w:r w:rsidR="00A06EE4" w:rsidRPr="00132A6C">
        <w:rPr>
          <w:rStyle w:val="FontStyle16"/>
          <w:spacing w:val="0"/>
          <w:sz w:val="28"/>
          <w:szCs w:val="28"/>
        </w:rPr>
        <w:t>температуры период полураспада уменьшается экспоненциально. График такой зависимости для сое</w:t>
      </w:r>
      <w:r w:rsidR="00A06EE4">
        <w:rPr>
          <w:rStyle w:val="FontStyle16"/>
          <w:spacing w:val="0"/>
          <w:sz w:val="28"/>
          <w:szCs w:val="28"/>
        </w:rPr>
        <w:t>динения III представлен на рис.</w:t>
      </w:r>
    </w:p>
    <w:p w:rsidR="0063665D" w:rsidRDefault="00A06EE4" w:rsidP="00A06EE4">
      <w:pPr>
        <w:pStyle w:val="Style2"/>
        <w:widowControl/>
        <w:spacing w:line="360" w:lineRule="auto"/>
        <w:ind w:firstLine="720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br w:type="page"/>
      </w:r>
      <w:r w:rsidR="00C65BCA">
        <w:rPr>
          <w:sz w:val="28"/>
          <w:szCs w:val="28"/>
        </w:rPr>
        <w:pict>
          <v:shape id="_x0000_i1027" type="#_x0000_t75" style="width:264.75pt;height:248.25pt">
            <v:imagedata r:id="rId9" o:title=""/>
          </v:shape>
        </w:pict>
      </w:r>
    </w:p>
    <w:p w:rsidR="00A06EE4" w:rsidRDefault="00A06EE4" w:rsidP="00132A6C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3665D" w:rsidRPr="00132A6C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0.25pt;height:210.75pt">
            <v:imagedata r:id="rId10" o:title=""/>
          </v:shape>
        </w:pict>
      </w:r>
    </w:p>
    <w:p w:rsidR="00132A6C" w:rsidRDefault="00132A6C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Таким образом, форма кривой хемилюминесценции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зависит от температуры. При определенной температурной программе и стандартном периоде измерений наблюдается постоянная кривая хемилюминесценции, не зависящая от концентрации. Поскольку эта хемилюминесценция инициируется и контролируется только температурой и не сопровождается никакими бимолекулярными реакциями, мы можем назвать этот процесс термохемилюминесценцией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Как 1,2-диоксетан, так и продукт распада IV являются бесцветными соединениями, поэтому при Высоких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концентрациях самогашение не наблюдается.</w:t>
      </w: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Не зависящий от концентрации спектр ТХЛ соединения III представлен на рис. 8. Максимум термохемилюминесценции находится при 425 ям. Спектр напоминает спектр флуоресценции адамантанона.</w:t>
      </w:r>
    </w:p>
    <w:p w:rsidR="0063665D" w:rsidRPr="00B23982" w:rsidRDefault="00B23982" w:rsidP="00B23982">
      <w:pPr>
        <w:pStyle w:val="Style2"/>
        <w:widowControl/>
        <w:spacing w:line="360" w:lineRule="auto"/>
        <w:ind w:firstLine="720"/>
        <w:jc w:val="center"/>
        <w:rPr>
          <w:rStyle w:val="FontStyle17"/>
          <w:spacing w:val="0"/>
          <w:sz w:val="28"/>
          <w:szCs w:val="28"/>
        </w:rPr>
      </w:pPr>
      <w:r w:rsidRPr="00B23982">
        <w:rPr>
          <w:rStyle w:val="FontStyle17"/>
          <w:spacing w:val="0"/>
          <w:sz w:val="28"/>
          <w:szCs w:val="28"/>
        </w:rPr>
        <w:br w:type="page"/>
      </w:r>
      <w:r w:rsidR="00132A6C" w:rsidRPr="00132A6C">
        <w:rPr>
          <w:rStyle w:val="FontStyle17"/>
          <w:spacing w:val="0"/>
          <w:sz w:val="28"/>
          <w:szCs w:val="28"/>
        </w:rPr>
        <w:t>Получение меток и меченых соединений</w:t>
      </w:r>
    </w:p>
    <w:p w:rsidR="00132A6C" w:rsidRPr="00132A6C" w:rsidRDefault="00132A6C" w:rsidP="00132A6C">
      <w:pPr>
        <w:pStyle w:val="Style2"/>
        <w:widowControl/>
        <w:spacing w:line="360" w:lineRule="auto"/>
        <w:ind w:firstLine="720"/>
        <w:jc w:val="center"/>
        <w:rPr>
          <w:rStyle w:val="FontStyle17"/>
          <w:spacing w:val="0"/>
          <w:sz w:val="28"/>
          <w:szCs w:val="28"/>
        </w:rPr>
      </w:pPr>
    </w:p>
    <w:p w:rsidR="0063665D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Мы синтезировали ТХЛ-метки на основе диадамантил-1,2-диоксетана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Примеры таких соединений представлены на рис. 9. Так как эти 1,2-диоксетаны получали фотоокислением адамантилиденадамантанов с экваториальным заместителем в положении 4, то они образуются в виде смеси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сын- и антиизомеров 1,2-диоксетанов. Н</w:t>
      </w:r>
      <w:r w:rsidR="002F1A00">
        <w:rPr>
          <w:rStyle w:val="FontStyle16"/>
          <w:spacing w:val="0"/>
          <w:sz w:val="28"/>
          <w:szCs w:val="28"/>
        </w:rPr>
        <w:t>апример, малеинимид V - это сын изомер,</w:t>
      </w:r>
    </w:p>
    <w:p w:rsidR="002F1A00" w:rsidRPr="00132A6C" w:rsidRDefault="002F1A00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93.25pt;height:197.25pt">
            <v:imagedata r:id="rId11" o:title=""/>
          </v:shape>
        </w:pict>
      </w: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sz w:val="28"/>
          <w:szCs w:val="28"/>
        </w:rPr>
      </w:pP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а иодацетат VI - омта-изомер. За исключением иодацетата VI, который получен в виде чистого акта-изомера, ТХЛ-метки применяются в виде смеси изомеров 1:1.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Для введения метки обычно используют </w:t>
      </w:r>
      <w:r w:rsidRPr="00132A6C">
        <w:rPr>
          <w:rStyle w:val="FontStyle16"/>
          <w:spacing w:val="0"/>
          <w:sz w:val="28"/>
          <w:szCs w:val="28"/>
          <w:lang w:val="en-US"/>
        </w:rPr>
        <w:t>N</w:t>
      </w:r>
      <w:r w:rsidRPr="00132A6C">
        <w:rPr>
          <w:rStyle w:val="FontStyle16"/>
          <w:spacing w:val="0"/>
          <w:sz w:val="28"/>
          <w:szCs w:val="28"/>
        </w:rPr>
        <w:t>-гидроксисукцинимидные эфиры VII и VIII, так как эти соединения легко реагируют со свободными аминогруппами белков. Соединение VIII выгодно отличается от VII, так как оно хорошо кристаллизуется и превосходно растворяется в растворителях, смешивающихся с водой. Все метки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бесцветны, не разлагаются в течение года при хранении в отсутствие влаги и при температуре ниже комнатной.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В белки, содержащие свободные аминогруппы, метку вводят по простой одностадийной методике с помощью </w:t>
      </w:r>
      <w:r w:rsidRPr="00132A6C">
        <w:rPr>
          <w:rStyle w:val="FontStyle16"/>
          <w:spacing w:val="0"/>
          <w:sz w:val="28"/>
          <w:szCs w:val="28"/>
          <w:lang w:val="en-US"/>
        </w:rPr>
        <w:t>N</w:t>
      </w:r>
      <w:r w:rsidRPr="00132A6C">
        <w:rPr>
          <w:rStyle w:val="FontStyle16"/>
          <w:spacing w:val="0"/>
          <w:sz w:val="28"/>
          <w:szCs w:val="28"/>
        </w:rPr>
        <w:t>-гидроксисукцинимидного эфира VIII. Раствор последнего в 1,4-диоксане добавляют при осторожном перемешивании при комнатной температуре к раствору белка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0,1 М"/>
        </w:smartTagPr>
        <w:r w:rsidRPr="00132A6C">
          <w:rPr>
            <w:rStyle w:val="FontStyle16"/>
            <w:spacing w:val="0"/>
            <w:sz w:val="28"/>
            <w:szCs w:val="28"/>
          </w:rPr>
          <w:t>0,1 М</w:t>
        </w:r>
      </w:smartTag>
      <w:r w:rsidRPr="00132A6C">
        <w:rPr>
          <w:rStyle w:val="FontStyle16"/>
          <w:spacing w:val="0"/>
          <w:sz w:val="28"/>
          <w:szCs w:val="28"/>
        </w:rPr>
        <w:t xml:space="preserve"> боратном буферном растворе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С тем же успехом можно использовать и другие органические растворители, смешивающиеся с водой. При синтезе меченых антител конечная концентрация 1,4-диоксана должна быть ниже </w:t>
      </w:r>
      <w:r w:rsidRPr="00132A6C">
        <w:rPr>
          <w:rStyle w:val="FontStyle14"/>
          <w:spacing w:val="0"/>
          <w:sz w:val="28"/>
          <w:szCs w:val="28"/>
        </w:rPr>
        <w:t xml:space="preserve">5% </w:t>
      </w:r>
      <w:r w:rsidRPr="00132A6C">
        <w:rPr>
          <w:rStyle w:val="FontStyle16"/>
          <w:spacing w:val="0"/>
          <w:sz w:val="28"/>
          <w:szCs w:val="28"/>
        </w:rPr>
        <w:t>по объему. В бычий сывороточный альбумин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можно ввести более 30 остатков ТХЛ-метки, если проводить реакцию в 33%-ном 1,4-диоксане. При этом конъюгат ТХЛ-БСА сохраняет способность растворяться в воде.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Реакция завершается в течение 1 ч, и продукт реакции очищают диализом против боратного буферного раствора или колоночной хроматографией в боратном буферном растворе на сефа-дексе </w:t>
      </w:r>
      <w:r w:rsidRPr="00132A6C">
        <w:rPr>
          <w:rStyle w:val="FontStyle16"/>
          <w:spacing w:val="0"/>
          <w:sz w:val="28"/>
          <w:szCs w:val="28"/>
          <w:lang w:val="en-US"/>
        </w:rPr>
        <w:t>LH</w:t>
      </w:r>
      <w:r w:rsidRPr="00132A6C">
        <w:rPr>
          <w:rStyle w:val="FontStyle16"/>
          <w:spacing w:val="0"/>
          <w:sz w:val="28"/>
          <w:szCs w:val="28"/>
        </w:rPr>
        <w:t>-60. Лиофильно высушенный меченый БСА не изменил удельную активность ТХЛ-метки после хранения при -20°С в течение 2 лет.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Так как ТХЛ-метки не поглощают свет с А&gt;290 нм, то число связанных с белком меток можно рассчитать измерением интенсивности ТХЛ или титрованием аминогрупп. Мы обнаружили, что результаты двух этих методов хорошо совпадают. Так, число свободных аминогрупп в БСА, найденное титрованием по методу Хабиба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 измерением удельной активности ТХЛ-метки, показало, что с БСА связано 18 остатков соединения VIII.</w:t>
      </w: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Отсюда следует также, что удельная активность метки VIII полностью сохраняется при введении метки в белок. Более того, удельная активность ' не уменьшается и при введении в белок очень большого числа меток. Так, удельная активность конъюгата БСА, меченного 25 остатками соединения VIII, оказалась равной удельной активности 25 эквивалентов соединения VIII. В ходе этих исследований метку вводили в различные белки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Полученные данные позволяют сделать вывод, что ТХЛ-метка сохраняет удельную активность в любых конъюгатах соединения VIII с белками, если только белок не содержит металл или хромофор.</w:t>
      </w:r>
    </w:p>
    <w:p w:rsidR="00A06EE4" w:rsidRDefault="00A06EE4" w:rsidP="002F1A00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  <w:lang w:val="en-US"/>
        </w:rPr>
      </w:pPr>
    </w:p>
    <w:p w:rsidR="0063665D" w:rsidRDefault="002F1A00" w:rsidP="002F1A00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  <w:r w:rsidRPr="002F1A00">
        <w:rPr>
          <w:rStyle w:val="FontStyle16"/>
          <w:b/>
          <w:spacing w:val="0"/>
          <w:sz w:val="28"/>
          <w:szCs w:val="28"/>
        </w:rPr>
        <w:t>Термохемилюминесценция</w:t>
      </w:r>
      <w:r w:rsidR="001A23F4" w:rsidRPr="002F1A00">
        <w:rPr>
          <w:rStyle w:val="FontStyle16"/>
          <w:b/>
          <w:spacing w:val="0"/>
          <w:sz w:val="28"/>
          <w:szCs w:val="28"/>
        </w:rPr>
        <w:t>,</w:t>
      </w:r>
      <w:r w:rsidRPr="002F1A00">
        <w:rPr>
          <w:rStyle w:val="FontStyle16"/>
          <w:b/>
          <w:spacing w:val="0"/>
          <w:sz w:val="28"/>
          <w:szCs w:val="28"/>
        </w:rPr>
        <w:t>с переносом энергии</w:t>
      </w:r>
    </w:p>
    <w:p w:rsidR="002F1A00" w:rsidRPr="002F1A00" w:rsidRDefault="002F1A00" w:rsidP="002F1A00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</w:p>
    <w:p w:rsidR="00A06EE4" w:rsidRPr="00132A6C" w:rsidRDefault="0063665D" w:rsidP="00A06EE4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Как показано на рис. 5, энергия электронов синглетного возбужденного состояния кетона, образующегося при разложении 1,2-диоксетана, может быть перенесена нерадиационным путем к акцепторной люминесцирующей молекуле. Это явление можно использовать для усиления ТХЛ-сигнала 1,2-диоксетановых меток и меченых соединений. Для этой цели в белок вводят ТХЛ-метку и молекулу люминесцирующего акцептора. В качестве последнего предлагался 2 -9,10-дифени-лантрацен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устойчивый при 200 -250°С в атмосфере азота. Характеристики флуоресценции этого</w:t>
      </w:r>
      <w:r w:rsidR="00A06EE4" w:rsidRPr="00A06EE4">
        <w:rPr>
          <w:rStyle w:val="FontStyle16"/>
          <w:spacing w:val="0"/>
          <w:sz w:val="28"/>
          <w:szCs w:val="28"/>
        </w:rPr>
        <w:t xml:space="preserve"> </w:t>
      </w:r>
      <w:r w:rsidR="00A06EE4">
        <w:rPr>
          <w:rStyle w:val="FontStyle16"/>
          <w:spacing w:val="0"/>
          <w:sz w:val="28"/>
          <w:szCs w:val="28"/>
        </w:rPr>
        <w:t>с</w:t>
      </w:r>
      <w:r w:rsidR="00A06EE4" w:rsidRPr="00132A6C">
        <w:rPr>
          <w:rStyle w:val="FontStyle16"/>
          <w:spacing w:val="0"/>
          <w:sz w:val="28"/>
          <w:szCs w:val="28"/>
        </w:rPr>
        <w:t>оединения и хорошо известного акцептора 9,10-дифенилантраце-га практически идентичны.</w:t>
      </w:r>
    </w:p>
    <w:p w:rsidR="002F1A00" w:rsidRPr="00132A6C" w:rsidRDefault="002F1A00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203.25pt;height:138.75pt">
            <v:imagedata r:id="rId12" o:title=""/>
          </v:shape>
        </w:pict>
      </w:r>
    </w:p>
    <w:p w:rsidR="0063665D" w:rsidRDefault="00A06EE4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65BCA">
        <w:rPr>
          <w:sz w:val="28"/>
          <w:szCs w:val="28"/>
        </w:rPr>
        <w:pict>
          <v:shape id="_x0000_i1031" type="#_x0000_t75" style="width:324pt;height:192.75pt">
            <v:imagedata r:id="rId13" o:title=""/>
          </v:shape>
        </w:pict>
      </w:r>
    </w:p>
    <w:p w:rsidR="002F1A00" w:rsidRPr="00132A6C" w:rsidRDefault="002F1A00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Так как эффективность флуоресценции адамантанона и ДФА </w:t>
      </w:r>
      <w:r w:rsidRPr="00132A6C">
        <w:rPr>
          <w:rStyle w:val="FontStyle15"/>
          <w:spacing w:val="0"/>
          <w:sz w:val="28"/>
          <w:szCs w:val="28"/>
        </w:rPr>
        <w:t xml:space="preserve">1авна </w:t>
      </w:r>
      <w:r w:rsidRPr="00132A6C">
        <w:rPr>
          <w:rStyle w:val="FontStyle16"/>
          <w:spacing w:val="0"/>
          <w:sz w:val="28"/>
          <w:szCs w:val="28"/>
        </w:rPr>
        <w:t xml:space="preserve">5,2 • 10-з и 1 соответственно, то максимальный теоретически </w:t>
      </w:r>
      <w:r w:rsidR="00A06EE4" w:rsidRPr="00132A6C">
        <w:rPr>
          <w:rStyle w:val="FontStyle16"/>
          <w:spacing w:val="0"/>
          <w:sz w:val="28"/>
          <w:szCs w:val="28"/>
        </w:rPr>
        <w:t>возможный</w:t>
      </w:r>
      <w:r w:rsidRPr="00132A6C">
        <w:rPr>
          <w:rStyle w:val="FontStyle16"/>
          <w:spacing w:val="0"/>
          <w:sz w:val="28"/>
          <w:szCs w:val="28"/>
        </w:rPr>
        <w:t xml:space="preserve"> коэффициент усиления равен 190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Эффективность переноса энергии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="00A06EE4">
        <w:rPr>
          <w:rStyle w:val="FontStyle16"/>
          <w:spacing w:val="0"/>
          <w:sz w:val="28"/>
          <w:szCs w:val="28"/>
        </w:rPr>
        <w:t>зависит от концентрации. Как по</w:t>
      </w:r>
      <w:r w:rsidRPr="00132A6C">
        <w:rPr>
          <w:rStyle w:val="FontStyle16"/>
          <w:spacing w:val="0"/>
          <w:sz w:val="28"/>
          <w:szCs w:val="28"/>
        </w:rPr>
        <w:t>казано Ферстером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теоретически и позднее подтверждено </w:t>
      </w:r>
      <w:r w:rsidR="00A06EE4" w:rsidRPr="00132A6C">
        <w:rPr>
          <w:rStyle w:val="FontStyle16"/>
          <w:spacing w:val="0"/>
          <w:sz w:val="28"/>
          <w:szCs w:val="28"/>
        </w:rPr>
        <w:t>экспериментально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скорость, а также эффективность ПЭ</w:t>
      </w:r>
      <w:r w:rsidR="00A06EE4" w:rsidRPr="00A06EE4">
        <w:rPr>
          <w:rStyle w:val="FontStyle16"/>
          <w:spacing w:val="0"/>
          <w:sz w:val="28"/>
          <w:szCs w:val="28"/>
        </w:rPr>
        <w:t xml:space="preserve"> </w:t>
      </w:r>
      <w:r w:rsidR="00A06EE4" w:rsidRPr="00132A6C">
        <w:rPr>
          <w:rStyle w:val="FontStyle16"/>
          <w:spacing w:val="0"/>
          <w:sz w:val="28"/>
          <w:szCs w:val="28"/>
        </w:rPr>
        <w:t>путем дипольного взаимодействия между донором и акцептором зависит от шестой степени расстояния между обоими хромофорами.</w:t>
      </w:r>
    </w:p>
    <w:p w:rsidR="002F1A00" w:rsidRPr="00132A6C" w:rsidRDefault="002F1A00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17.25pt;height:204.75pt">
            <v:imagedata r:id="rId14" o:title=""/>
          </v:shape>
        </w:pict>
      </w:r>
    </w:p>
    <w:p w:rsidR="0063665D" w:rsidRPr="00132A6C" w:rsidRDefault="00A06EE4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5BCA">
        <w:rPr>
          <w:sz w:val="28"/>
          <w:szCs w:val="28"/>
        </w:rPr>
        <w:pict>
          <v:shape id="_x0000_i1033" type="#_x0000_t75" style="width:321pt;height:193.5pt">
            <v:imagedata r:id="rId15" o:title=""/>
          </v:shape>
        </w:pict>
      </w:r>
    </w:p>
    <w:p w:rsidR="002F1A00" w:rsidRDefault="002F1A00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Расстояние между донором и акцептором, при котором эффективность ПЭ равна 0,5, обозначается символом </w:t>
      </w:r>
      <w:r w:rsidRPr="00132A6C">
        <w:rPr>
          <w:rStyle w:val="FontStyle14"/>
          <w:spacing w:val="0"/>
          <w:sz w:val="28"/>
          <w:szCs w:val="28"/>
          <w:lang w:val="en-US"/>
        </w:rPr>
        <w:t>R</w:t>
      </w:r>
      <w:r w:rsidRPr="00132A6C">
        <w:rPr>
          <w:rStyle w:val="FontStyle14"/>
          <w:spacing w:val="0"/>
          <w:sz w:val="28"/>
          <w:szCs w:val="28"/>
          <w:vertAlign w:val="subscript"/>
          <w:lang w:val="en-US"/>
        </w:rPr>
        <w:t>Q</w:t>
      </w:r>
      <w:r w:rsidRPr="00132A6C">
        <w:rPr>
          <w:rStyle w:val="FontStyle14"/>
          <w:spacing w:val="0"/>
          <w:sz w:val="28"/>
          <w:szCs w:val="28"/>
        </w:rPr>
        <w:t xml:space="preserve">. </w:t>
      </w:r>
      <w:r w:rsidRPr="00132A6C">
        <w:rPr>
          <w:rStyle w:val="FontStyle16"/>
          <w:spacing w:val="0"/>
          <w:sz w:val="28"/>
          <w:szCs w:val="28"/>
        </w:rPr>
        <w:t>Рассчитанная нами по методу Страйера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величина </w:t>
      </w:r>
      <w:r w:rsidRPr="00132A6C">
        <w:rPr>
          <w:rStyle w:val="FontStyle14"/>
          <w:spacing w:val="0"/>
          <w:sz w:val="28"/>
          <w:szCs w:val="28"/>
          <w:lang w:val="en-US"/>
        </w:rPr>
        <w:t>R</w:t>
      </w:r>
      <w:r w:rsidRPr="00132A6C">
        <w:rPr>
          <w:rStyle w:val="FontStyle14"/>
          <w:spacing w:val="0"/>
          <w:sz w:val="28"/>
          <w:szCs w:val="28"/>
          <w:vertAlign w:val="subscript"/>
        </w:rPr>
        <w:t>0</w:t>
      </w:r>
      <w:r w:rsidRPr="00132A6C">
        <w:rPr>
          <w:rStyle w:val="FontStyle14"/>
          <w:spacing w:val="0"/>
          <w:sz w:val="28"/>
          <w:szCs w:val="28"/>
        </w:rPr>
        <w:t xml:space="preserve"> </w:t>
      </w:r>
      <w:r w:rsidR="002F1A00">
        <w:rPr>
          <w:rStyle w:val="FontStyle16"/>
          <w:spacing w:val="0"/>
          <w:sz w:val="28"/>
          <w:szCs w:val="28"/>
        </w:rPr>
        <w:t>донорно-акцеп</w:t>
      </w:r>
      <w:r w:rsidRPr="00132A6C">
        <w:rPr>
          <w:rStyle w:val="FontStyle16"/>
          <w:spacing w:val="0"/>
          <w:sz w:val="28"/>
          <w:szCs w:val="28"/>
        </w:rPr>
        <w:t xml:space="preserve">торной пары </w:t>
      </w:r>
      <w:r w:rsidRPr="00132A6C">
        <w:rPr>
          <w:rStyle w:val="FontStyle16"/>
          <w:spacing w:val="0"/>
          <w:sz w:val="28"/>
          <w:szCs w:val="28"/>
          <w:lang w:val="en-US"/>
        </w:rPr>
        <w:t>Sj</w:t>
      </w:r>
      <w:r w:rsidRPr="00132A6C">
        <w:rPr>
          <w:rStyle w:val="FontStyle16"/>
          <w:spacing w:val="0"/>
          <w:sz w:val="28"/>
          <w:szCs w:val="28"/>
        </w:rPr>
        <w:t>-адамантанон - ДФА оказалась равной 15,3 А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График зависимости между эффективностью ПЭ и </w:t>
      </w:r>
      <w:r w:rsidRPr="00132A6C">
        <w:rPr>
          <w:rStyle w:val="FontStyle14"/>
          <w:spacing w:val="0"/>
          <w:sz w:val="28"/>
          <w:szCs w:val="28"/>
          <w:lang w:val="en-US"/>
        </w:rPr>
        <w:t>R</w:t>
      </w:r>
      <w:r w:rsidRPr="00132A6C">
        <w:rPr>
          <w:rStyle w:val="FontStyle14"/>
          <w:spacing w:val="0"/>
          <w:sz w:val="28"/>
          <w:szCs w:val="28"/>
          <w:vertAlign w:val="subscript"/>
        </w:rPr>
        <w:t>0</w:t>
      </w:r>
      <w:r w:rsidRPr="00132A6C">
        <w:rPr>
          <w:rStyle w:val="FontStyle14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представлен на рис. 11.</w:t>
      </w:r>
    </w:p>
    <w:p w:rsidR="0063665D" w:rsidRPr="00132A6C" w:rsidRDefault="0063665D" w:rsidP="002F1A00">
      <w:pPr>
        <w:pStyle w:val="Style6"/>
        <w:widowControl/>
        <w:spacing w:line="360" w:lineRule="auto"/>
        <w:ind w:firstLine="720"/>
        <w:jc w:val="both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Из приведенных данных следует, что для эффективного усиления </w:t>
      </w:r>
      <w:r w:rsidRPr="00132A6C">
        <w:rPr>
          <w:rStyle w:val="FontStyle16"/>
          <w:spacing w:val="0"/>
          <w:sz w:val="28"/>
          <w:szCs w:val="28"/>
          <w:lang w:val="en-US"/>
        </w:rPr>
        <w:t>TXJI</w:t>
      </w:r>
      <w:r w:rsidRPr="00132A6C">
        <w:rPr>
          <w:rStyle w:val="FontStyle16"/>
          <w:spacing w:val="0"/>
          <w:sz w:val="28"/>
          <w:szCs w:val="28"/>
        </w:rPr>
        <w:t xml:space="preserve"> с помощью СКП-ДФА среднее расстояние между остатками 1,2-диоксетана и ДФА не должно превышать 15 А. Это условие легко выполнить, связав ковалентно оба компонента. Напротив, введенные в белок ТХЛ-метки и СКП-ДФА будут распределены неупорядоченно и важной характеристикой системы будет среднее расстояние между метками. Необходимое для эффективного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переноса энергии число меток ДФА на молекулу белка можно оценить теоретически, приняв ряд допущений. Согласно результатам наших расчетов, для БСА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это число равно 6. С молекулой </w:t>
      </w:r>
      <w:r w:rsidRPr="00132A6C">
        <w:rPr>
          <w:rStyle w:val="FontStyle16"/>
          <w:spacing w:val="0"/>
          <w:sz w:val="28"/>
          <w:szCs w:val="28"/>
          <w:lang w:val="en-US"/>
        </w:rPr>
        <w:t>IgG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необходимо связать уже не менее 20 остатков СКП-ДФА. Эти расчеты; показывают, что неупорядоченное введение в молекулу </w:t>
      </w:r>
      <w:r w:rsidRPr="00132A6C">
        <w:rPr>
          <w:rStyle w:val="FontStyle16"/>
          <w:spacing w:val="0"/>
          <w:sz w:val="28"/>
          <w:szCs w:val="28"/>
          <w:lang w:val="en-US"/>
        </w:rPr>
        <w:t>IgG</w:t>
      </w:r>
      <w:r w:rsidRPr="00132A6C">
        <w:rPr>
          <w:rStyle w:val="FontStyle16"/>
          <w:spacing w:val="0"/>
          <w:sz w:val="28"/>
          <w:szCs w:val="28"/>
        </w:rPr>
        <w:t xml:space="preserve"> ТХЛ-меток и ДФА, скорее всего, не приведет ни к оптимальному усилению </w:t>
      </w:r>
      <w:r w:rsidRPr="00132A6C">
        <w:rPr>
          <w:rStyle w:val="FontStyle16"/>
          <w:spacing w:val="0"/>
          <w:sz w:val="28"/>
          <w:szCs w:val="28"/>
          <w:lang w:val="en-US"/>
        </w:rPr>
        <w:t>TXJI</w:t>
      </w:r>
      <w:r w:rsidRPr="00132A6C">
        <w:rPr>
          <w:rStyle w:val="FontStyle16"/>
          <w:spacing w:val="0"/>
          <w:sz w:val="28"/>
          <w:szCs w:val="28"/>
        </w:rPr>
        <w:t xml:space="preserve">, ни к активным конъюгатам антител. Напротив, неупорядоченное введение этих двух меток в меньшие по размеру мак-; ромолекулы должно привести к конъюгатам с высокой удельной! активностью. Экспериментально достигнутое максимальное усиление ТХЛ с помощью ПЭ равно 40. Так, если БСА обработать сна-ч чала </w:t>
      </w:r>
      <w:r w:rsidRPr="00132A6C">
        <w:rPr>
          <w:rStyle w:val="FontStyle16"/>
          <w:spacing w:val="0"/>
          <w:sz w:val="28"/>
          <w:szCs w:val="28"/>
          <w:lang w:val="en-US"/>
        </w:rPr>
        <w:t>N</w:t>
      </w:r>
      <w:r w:rsidRPr="00132A6C">
        <w:rPr>
          <w:rStyle w:val="FontStyle16"/>
          <w:spacing w:val="0"/>
          <w:sz w:val="28"/>
          <w:szCs w:val="28"/>
        </w:rPr>
        <w:t>-пвдроксисукцинимидным эфиром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 затем большим! избытком СКП-ДФА по стандартной методике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="002F1A00">
        <w:rPr>
          <w:rStyle w:val="FontStyle16"/>
          <w:spacing w:val="0"/>
          <w:sz w:val="28"/>
          <w:szCs w:val="28"/>
        </w:rPr>
        <w:t xml:space="preserve"> то об</w:t>
      </w:r>
      <w:r w:rsidRPr="00132A6C">
        <w:rPr>
          <w:rStyle w:val="FontStyle16"/>
          <w:spacing w:val="0"/>
          <w:sz w:val="28"/>
          <w:szCs w:val="28"/>
        </w:rPr>
        <w:t>разуется водорастворимый двойной конъюгат, проявляющий ярко-голубую флуоресценцию и ярко-голубую хемилюминесценцию.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Удельная активность ТХЛ этого своеобразного источника света не изменяется при разбавлении. Двойной конъюгат характеризуется практически постоянным отношением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сигнал/концентрация в диапазоне от 0,1 мг/мл до 0,1 нг/мл. Предел обнаружения белка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на применявшемся приборе с коэффициентом эффективности счета 0,14% равен 10"</w:t>
      </w:r>
      <w:r w:rsidRPr="00132A6C">
        <w:rPr>
          <w:rStyle w:val="FontStyle16"/>
          <w:spacing w:val="0"/>
          <w:sz w:val="28"/>
          <w:szCs w:val="28"/>
          <w:vertAlign w:val="superscript"/>
        </w:rPr>
        <w:t>18</w:t>
      </w:r>
      <w:r w:rsidRPr="00132A6C">
        <w:rPr>
          <w:rStyle w:val="FontStyle16"/>
          <w:spacing w:val="0"/>
          <w:sz w:val="28"/>
          <w:szCs w:val="28"/>
        </w:rPr>
        <w:t xml:space="preserve"> моль. Препарат можно хранить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без разложения или потери активности и использовать в качестве метки путем ковалентного связывания с другими белками или небольшими молекулами в зависимости от цели анализа. В нашей лаборатории разработан термохемилюминесцентный иммуноанализ с флуоресцентным усилением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с использованием в качестве метки описанного выше двойного конъюгата БСА</w:t>
      </w:r>
      <w:r w:rsidR="001A23F4" w:rsidRPr="00132A6C">
        <w:rPr>
          <w:rStyle w:val="FontStyle16"/>
          <w:spacing w:val="0"/>
          <w:sz w:val="28"/>
          <w:szCs w:val="28"/>
        </w:rPr>
        <w:t>.</w:t>
      </w:r>
    </w:p>
    <w:p w:rsidR="0063665D" w:rsidRPr="00132A6C" w:rsidRDefault="0063665D" w:rsidP="00132A6C">
      <w:pPr>
        <w:pStyle w:val="Style5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63665D" w:rsidRDefault="002F1A00" w:rsidP="002F1A00">
      <w:pPr>
        <w:pStyle w:val="Style5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  <w:r w:rsidRPr="002F1A00">
        <w:rPr>
          <w:rStyle w:val="FontStyle16"/>
          <w:b/>
          <w:spacing w:val="0"/>
          <w:sz w:val="28"/>
          <w:szCs w:val="28"/>
        </w:rPr>
        <w:t>Количественное определение интенсивности термохемилюминесценции</w:t>
      </w:r>
    </w:p>
    <w:p w:rsidR="002F1A00" w:rsidRPr="002F1A00" w:rsidRDefault="002F1A00" w:rsidP="002F1A00">
      <w:pPr>
        <w:pStyle w:val="Style5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Для быстрого измерения интенсивности ТХЛ необходимо нагреть пробу до 200-250°С. Соответственно проба должна представлять собой сухой остаток на подложке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Подходящая подложка должна быть термически устойчивой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</w:t>
      </w:r>
      <w:r w:rsidR="002F185B">
        <w:rPr>
          <w:rStyle w:val="FontStyle16"/>
          <w:spacing w:val="0"/>
          <w:sz w:val="28"/>
          <w:szCs w:val="28"/>
        </w:rPr>
        <w:t>н</w:t>
      </w:r>
      <w:r w:rsidRPr="00132A6C">
        <w:rPr>
          <w:rStyle w:val="FontStyle16"/>
          <w:spacing w:val="0"/>
          <w:sz w:val="28"/>
          <w:szCs w:val="28"/>
        </w:rPr>
        <w:t>е излучать в соответствующей области спектра в интервале температур 100-250°С, не тушить сигнал ТХЛ и выполнять функции носителя в обычных методиках иммуноанализа. Этим требованиям удовлетворяют такие материалы, как каптон-500Н и тефлон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Компоненты реакционной смеси можно адсорбировать на дисках диаметром </w:t>
      </w:r>
      <w:smartTag w:uri="urn:schemas-microsoft-com:office:smarttags" w:element="metricconverter">
        <w:smartTagPr>
          <w:attr w:name="ProductID" w:val="0,9 см"/>
        </w:smartTagPr>
        <w:r w:rsidRPr="00132A6C">
          <w:rPr>
            <w:rStyle w:val="FontStyle16"/>
            <w:spacing w:val="0"/>
            <w:sz w:val="28"/>
            <w:szCs w:val="28"/>
          </w:rPr>
          <w:t>0,9 см</w:t>
        </w:r>
      </w:smartTag>
      <w:r w:rsidRPr="00132A6C">
        <w:rPr>
          <w:rStyle w:val="FontStyle16"/>
          <w:spacing w:val="0"/>
          <w:sz w:val="28"/>
          <w:szCs w:val="28"/>
        </w:rPr>
        <w:t xml:space="preserve">, изготовленных из этих полимеров. В твердофазном иммуноферментном анализе типа </w:t>
      </w:r>
      <w:r w:rsidRPr="00132A6C">
        <w:rPr>
          <w:rStyle w:val="FontStyle16"/>
          <w:spacing w:val="0"/>
          <w:sz w:val="28"/>
          <w:szCs w:val="28"/>
          <w:lang w:val="en-US"/>
        </w:rPr>
        <w:t>ELISA</w:t>
      </w:r>
      <w:r w:rsidRPr="00132A6C">
        <w:rPr>
          <w:rStyle w:val="FontStyle16"/>
          <w:spacing w:val="0"/>
          <w:sz w:val="28"/>
          <w:szCs w:val="28"/>
        </w:rPr>
        <w:t xml:space="preserve"> эти диски не уступают обычным полистирольным микропланшетам или даже превосходят их. После очень простой очистки фоновый сигнал полимера каптон-500Н составляет около 1 имп./с при 240°С.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Так, при проведении анализа типа </w:t>
      </w:r>
      <w:r w:rsidRPr="00132A6C">
        <w:rPr>
          <w:rStyle w:val="FontStyle16"/>
          <w:spacing w:val="0"/>
          <w:sz w:val="28"/>
          <w:szCs w:val="28"/>
          <w:lang w:val="en-US"/>
        </w:rPr>
        <w:t>FATIMA</w:t>
      </w:r>
      <w:r w:rsidRPr="00132A6C">
        <w:rPr>
          <w:rStyle w:val="FontStyle16"/>
          <w:spacing w:val="0"/>
          <w:sz w:val="28"/>
          <w:szCs w:val="28"/>
        </w:rPr>
        <w:t xml:space="preserve"> диски из капто-на-500Н, на которые нанесен двухсайтовый иммунный комплекс с ТХЛ-меткой, помещают на небольшой нагревательный элемент. Интенсивность ТХЛ измеряют путем подсчета фотонов за время нагревания от 100°С до 250°С и термостати рования при этой температуре</w:t>
      </w:r>
      <w:r w:rsidR="001A23F4" w:rsidRPr="00132A6C">
        <w:rPr>
          <w:rStyle w:val="FontStyle16"/>
          <w:spacing w:val="0"/>
          <w:sz w:val="28"/>
          <w:szCs w:val="28"/>
        </w:rPr>
        <w:t>.</w:t>
      </w: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Прибор для подсчета фотонов состоит из биметаллического фотоумножителя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типа </w:t>
      </w:r>
      <w:r w:rsidRPr="00132A6C">
        <w:rPr>
          <w:rStyle w:val="FontStyle16"/>
          <w:spacing w:val="0"/>
          <w:sz w:val="28"/>
          <w:szCs w:val="28"/>
          <w:lang w:val="en-US"/>
        </w:rPr>
        <w:t>EMI</w:t>
      </w:r>
      <w:r w:rsidRPr="00132A6C">
        <w:rPr>
          <w:rStyle w:val="FontStyle16"/>
          <w:spacing w:val="0"/>
          <w:sz w:val="28"/>
          <w:szCs w:val="28"/>
        </w:rPr>
        <w:t xml:space="preserve"> 9893 </w:t>
      </w:r>
      <w:r w:rsidRPr="00132A6C">
        <w:rPr>
          <w:rStyle w:val="FontStyle16"/>
          <w:spacing w:val="0"/>
          <w:sz w:val="28"/>
          <w:szCs w:val="28"/>
          <w:lang w:val="en-US"/>
        </w:rPr>
        <w:t>QA</w:t>
      </w:r>
      <w:r w:rsidRPr="00132A6C">
        <w:rPr>
          <w:rStyle w:val="FontStyle16"/>
          <w:spacing w:val="0"/>
          <w:sz w:val="28"/>
          <w:szCs w:val="28"/>
        </w:rPr>
        <w:t>/350 в неохлаждаемом блоке ТЕ 1004/</w:t>
      </w:r>
      <w:r w:rsidRPr="00132A6C">
        <w:rPr>
          <w:rStyle w:val="FontStyle16"/>
          <w:spacing w:val="0"/>
          <w:sz w:val="28"/>
          <w:szCs w:val="28"/>
          <w:lang w:val="en-US"/>
        </w:rPr>
        <w:t>TS</w:t>
      </w:r>
      <w:r w:rsidRPr="00132A6C">
        <w:rPr>
          <w:rStyle w:val="FontStyle16"/>
          <w:spacing w:val="0"/>
          <w:sz w:val="28"/>
          <w:szCs w:val="28"/>
        </w:rPr>
        <w:t>/110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 светопроводяще-го стеклянного стержня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который соединен с интерференционным фильтром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пропускающим короткие волны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Сигнал на ФЭУ предварительно усиливается и подается на блок дискриминатор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- счетчик фотонов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Держатель с нагревательным элементом и образцом соединяют с блоком ФЭУ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таким образом, чтобы оставался небольшой свободный объем камеры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который продувается слабым током газообразного азота. Принципиальная схема и внешний вид прибора представлены </w:t>
      </w:r>
      <w:r w:rsidR="00FE380E">
        <w:rPr>
          <w:rStyle w:val="FontStyle16"/>
          <w:spacing w:val="0"/>
          <w:sz w:val="28"/>
          <w:szCs w:val="28"/>
        </w:rPr>
        <w:t>н</w:t>
      </w:r>
      <w:r w:rsidRPr="00132A6C">
        <w:rPr>
          <w:rStyle w:val="FontStyle16"/>
          <w:spacing w:val="0"/>
          <w:sz w:val="28"/>
          <w:szCs w:val="28"/>
        </w:rPr>
        <w:t>а рис. 14-16.</w:t>
      </w: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В полностью автоматизированной системе робот </w:t>
      </w:r>
      <w:r w:rsidRPr="00132A6C">
        <w:rPr>
          <w:rStyle w:val="FontStyle16"/>
          <w:spacing w:val="0"/>
          <w:sz w:val="28"/>
          <w:szCs w:val="28"/>
          <w:lang w:val="en-US"/>
        </w:rPr>
        <w:t>Movemaster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перемещает диски с пробами к нагревателю и затем закрывает камеру. Далее включаются питание блока ФЭУ и нагреватель пробы. По завершении определенного периода нагревания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питание блока ФЭУ отключается, робот открывает камеру, извлекает и отбрасывает пробу. Результаты измерения ТХЛ регистрируются и обрабатываются компьютером </w:t>
      </w:r>
      <w:r w:rsidRPr="00132A6C">
        <w:rPr>
          <w:rStyle w:val="FontStyle16"/>
          <w:spacing w:val="0"/>
          <w:sz w:val="28"/>
          <w:szCs w:val="28"/>
          <w:lang w:val="en-US"/>
        </w:rPr>
        <w:t>Apple</w:t>
      </w:r>
      <w:r w:rsidRPr="00132A6C">
        <w:rPr>
          <w:rStyle w:val="FontStyle16"/>
          <w:spacing w:val="0"/>
          <w:sz w:val="28"/>
          <w:szCs w:val="28"/>
        </w:rPr>
        <w:t>, который контролирует всю систему, а также строит калибровочный график. Обсуждаемая система способна обрабатывать 4 специальных микротитровальных планшета стандартного размера, содержащих в общей сложности 240 проб. Система отличается исключительно высокой гибкостью, что позволяет применять ее в исследовательских работах при разработке любых анализов на основе ТХЛ-меток.</w:t>
      </w:r>
    </w:p>
    <w:p w:rsidR="0063665D" w:rsidRPr="002F1A00" w:rsidRDefault="00A06EE4" w:rsidP="00A06EE4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br w:type="page"/>
      </w:r>
      <w:r w:rsidR="002F1A00" w:rsidRPr="002F1A00">
        <w:rPr>
          <w:rStyle w:val="FontStyle16"/>
          <w:b/>
          <w:spacing w:val="0"/>
          <w:sz w:val="28"/>
          <w:szCs w:val="28"/>
        </w:rPr>
        <w:t>Определение хорионического гонадотропина человека с помощью термохемилюминесцентного иммуноанализа</w:t>
      </w:r>
    </w:p>
    <w:p w:rsidR="002F1A00" w:rsidRDefault="002F1A00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Разработана методика двухсайтового твердофазного термохемилюминесцентного иммуноанализа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для определения хорионического гонадотропина человека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с использованием дисков из каптона-500Н, на которые нанесены моноклинальные антитела против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 xml:space="preserve"> и моноклональные антитела против другого эпитопа,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>содержащие несколько остатков ТХЛ-метки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В этом анализе принцип усиления не применялся.</w:t>
      </w: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7"/>
          <w:spacing w:val="0"/>
          <w:sz w:val="28"/>
          <w:szCs w:val="28"/>
        </w:rPr>
        <w:t xml:space="preserve">Приготовление меченых антител. </w:t>
      </w:r>
      <w:r w:rsidR="002F1A00">
        <w:rPr>
          <w:rStyle w:val="FontStyle16"/>
          <w:spacing w:val="0"/>
          <w:sz w:val="28"/>
          <w:szCs w:val="28"/>
        </w:rPr>
        <w:t>К моноклональ</w:t>
      </w:r>
      <w:r w:rsidRPr="00132A6C">
        <w:rPr>
          <w:rStyle w:val="FontStyle16"/>
          <w:spacing w:val="0"/>
          <w:sz w:val="28"/>
          <w:szCs w:val="28"/>
        </w:rPr>
        <w:t xml:space="preserve">ным мышиным антителам против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растворенным в 1мл 0,9% </w:t>
      </w:r>
      <w:r w:rsidRPr="00132A6C">
        <w:rPr>
          <w:rStyle w:val="FontStyle16"/>
          <w:spacing w:val="0"/>
          <w:sz w:val="28"/>
          <w:szCs w:val="28"/>
          <w:lang w:val="en-US"/>
        </w:rPr>
        <w:t>NaCl</w:t>
      </w:r>
      <w:r w:rsidR="001A23F4" w:rsidRPr="00132A6C">
        <w:rPr>
          <w:rStyle w:val="FontStyle16"/>
          <w:spacing w:val="0"/>
          <w:sz w:val="28"/>
          <w:szCs w:val="28"/>
        </w:rPr>
        <w:t>,</w:t>
      </w:r>
      <w:r w:rsidRPr="00132A6C">
        <w:rPr>
          <w:rStyle w:val="FontStyle16"/>
          <w:spacing w:val="0"/>
          <w:sz w:val="28"/>
          <w:szCs w:val="28"/>
        </w:rPr>
        <w:t xml:space="preserve"> добавляют 1мл </w:t>
      </w:r>
      <w:smartTag w:uri="urn:schemas-microsoft-com:office:smarttags" w:element="metricconverter">
        <w:smartTagPr>
          <w:attr w:name="ProductID" w:val="100 мМ"/>
        </w:smartTagPr>
        <w:r w:rsidRPr="00132A6C">
          <w:rPr>
            <w:rStyle w:val="FontStyle16"/>
            <w:spacing w:val="0"/>
            <w:sz w:val="28"/>
            <w:szCs w:val="28"/>
          </w:rPr>
          <w:t>100 мМ</w:t>
        </w:r>
      </w:smartTag>
      <w:r w:rsidRPr="00132A6C">
        <w:rPr>
          <w:rStyle w:val="FontStyle16"/>
          <w:spacing w:val="0"/>
          <w:sz w:val="28"/>
          <w:szCs w:val="28"/>
        </w:rPr>
        <w:t xml:space="preserve"> боратного буфера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 затем 200 мкл раствора соединения VIII в 1,4-диоксане</w:t>
      </w:r>
      <w:r w:rsidR="001A23F4" w:rsidRPr="00132A6C">
        <w:rPr>
          <w:rStyle w:val="FontStyle16"/>
          <w:spacing w:val="0"/>
          <w:sz w:val="28"/>
          <w:szCs w:val="28"/>
        </w:rPr>
        <w:t>.</w:t>
      </w:r>
      <w:r w:rsidRPr="00132A6C">
        <w:rPr>
          <w:rStyle w:val="FontStyle16"/>
          <w:spacing w:val="0"/>
          <w:sz w:val="28"/>
          <w:szCs w:val="28"/>
        </w:rPr>
        <w:t xml:space="preserve"> Раствор осторожно перемешивают 2 ч при комнатной температуре. Реакцию останавливают диализом против боратного буфера при 4°С. Как показало измерение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активности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ТХЛ-метки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этого конъюгата</w:t>
      </w:r>
      <w:r w:rsidR="002F1A00">
        <w:rPr>
          <w:rStyle w:val="FontStyle16"/>
          <w:spacing w:val="0"/>
          <w:sz w:val="28"/>
          <w:szCs w:val="28"/>
        </w:rPr>
        <w:t>,</w:t>
      </w:r>
      <w:r w:rsidR="00FE380E" w:rsidRPr="00FE380E">
        <w:rPr>
          <w:rStyle w:val="FontStyle16"/>
          <w:spacing w:val="0"/>
          <w:sz w:val="28"/>
          <w:szCs w:val="28"/>
        </w:rPr>
        <w:t xml:space="preserve"> </w:t>
      </w:r>
      <w:r w:rsidR="00FE380E" w:rsidRPr="00132A6C">
        <w:rPr>
          <w:rStyle w:val="FontStyle16"/>
          <w:spacing w:val="0"/>
          <w:sz w:val="28"/>
          <w:szCs w:val="28"/>
        </w:rPr>
        <w:t>эффективность введениях метки равна 40%.</w:t>
      </w:r>
    </w:p>
    <w:p w:rsidR="002F1A00" w:rsidRPr="00132A6C" w:rsidRDefault="002F1A00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</w:p>
    <w:p w:rsidR="0063665D" w:rsidRPr="00132A6C" w:rsidRDefault="00C65BCA" w:rsidP="00132A6C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18pt;height:299.25pt">
            <v:imagedata r:id="rId16" o:title=""/>
          </v:shape>
        </w:pict>
      </w:r>
    </w:p>
    <w:p w:rsidR="0063665D" w:rsidRPr="00132A6C" w:rsidRDefault="0063665D" w:rsidP="00132A6C">
      <w:pPr>
        <w:pStyle w:val="Style3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 xml:space="preserve">Иммунная реактивность конъюгата моноклональных антител против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 xml:space="preserve"> с 10 остатками соединения VIII подтверждена методом иммуноферментного анализа типа </w:t>
      </w:r>
      <w:r w:rsidRPr="00132A6C">
        <w:rPr>
          <w:rStyle w:val="FontStyle16"/>
          <w:spacing w:val="0"/>
          <w:sz w:val="28"/>
          <w:szCs w:val="28"/>
          <w:lang w:val="en-US"/>
        </w:rPr>
        <w:t>ELISA</w:t>
      </w:r>
      <w:r w:rsidRPr="00132A6C">
        <w:rPr>
          <w:rStyle w:val="FontStyle16"/>
          <w:spacing w:val="0"/>
          <w:sz w:val="28"/>
          <w:szCs w:val="28"/>
        </w:rPr>
        <w:t xml:space="preserve"> путем изучения конкурентного связывания в сравнении с коныогатом моноклональных антител против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 xml:space="preserve"> с пероксидазой хрена. Удельная активность ТХЛ-метки полностью сохранялась при добавлении бычьей сыворотки и стандартов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>.</w:t>
      </w:r>
    </w:p>
    <w:p w:rsidR="0063665D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7"/>
          <w:spacing w:val="0"/>
          <w:sz w:val="28"/>
          <w:szCs w:val="28"/>
        </w:rPr>
        <w:t xml:space="preserve">Выполнение анализа. </w:t>
      </w:r>
      <w:r w:rsidRPr="00132A6C">
        <w:rPr>
          <w:rStyle w:val="FontStyle16"/>
          <w:spacing w:val="0"/>
          <w:sz w:val="28"/>
          <w:szCs w:val="28"/>
        </w:rPr>
        <w:t xml:space="preserve">На диски из каптона-500Н наносят специфические мышиные моноклональные антитела против /3-цепи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>, дважды промывают боратным буфером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 xml:space="preserve">и инкубируют в течение ночи с 160 мкл стандарта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>, содержащего 40% бычьей сыворотки, 50-60% боратного буфера и 19 мкг/мл меченого конъюгата. На рис. 17 представлена калибровочная кривая, построенная по усредненным результатам 5 измерений. Интенсивность ТХЛ определяли с помощью автоматической системы, описанной в предыдущем разделе.</w:t>
      </w:r>
    </w:p>
    <w:p w:rsidR="0063665D" w:rsidRDefault="002F1A00" w:rsidP="00FE380E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br w:type="page"/>
      </w:r>
      <w:r w:rsidRPr="002F1A00">
        <w:rPr>
          <w:rStyle w:val="FontStyle16"/>
          <w:b/>
          <w:spacing w:val="0"/>
          <w:sz w:val="28"/>
          <w:szCs w:val="28"/>
        </w:rPr>
        <w:t>Заключение</w:t>
      </w:r>
    </w:p>
    <w:p w:rsidR="002F1A00" w:rsidRPr="002F1A00" w:rsidRDefault="002F1A00" w:rsidP="002F1A00">
      <w:pPr>
        <w:pStyle w:val="Style2"/>
        <w:widowControl/>
        <w:spacing w:line="360" w:lineRule="auto"/>
        <w:ind w:firstLine="720"/>
        <w:jc w:val="center"/>
        <w:rPr>
          <w:rStyle w:val="FontStyle16"/>
          <w:b/>
          <w:spacing w:val="0"/>
          <w:sz w:val="28"/>
          <w:szCs w:val="28"/>
        </w:rPr>
      </w:pPr>
    </w:p>
    <w:p w:rsidR="0063665D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Обладающие хемилюминесцентной активностью соединения можно получить в форме, позволяющей связать их с компонентами иммунохимической реакции. При использовании в качестве ТХЛ-меток. устойчивых 1,2-диоксетанов для количественного определения меченых соединении достаточно одного нагревания. По указанным ниже причинам для э</w:t>
      </w:r>
      <w:r w:rsidR="00FE380E">
        <w:rPr>
          <w:rStyle w:val="FontStyle16"/>
          <w:spacing w:val="0"/>
          <w:sz w:val="28"/>
          <w:szCs w:val="28"/>
        </w:rPr>
        <w:t>той цели особенно удобны 1,2-ди</w:t>
      </w:r>
      <w:r w:rsidRPr="00132A6C">
        <w:rPr>
          <w:rStyle w:val="FontStyle16"/>
          <w:spacing w:val="0"/>
          <w:sz w:val="28"/>
          <w:szCs w:val="28"/>
        </w:rPr>
        <w:t>оксетаны, получаемые из различных функционально-замещенных адамантилиденадамантанов.</w:t>
      </w:r>
    </w:p>
    <w:p w:rsidR="0063665D" w:rsidRPr="00132A6C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Термическая, а также химическая устойчивость этих меток позволяет долго хранить как сами метки, так и их кон</w:t>
      </w:r>
      <w:r w:rsidR="00FE380E">
        <w:rPr>
          <w:rStyle w:val="FontStyle16"/>
          <w:spacing w:val="0"/>
          <w:sz w:val="28"/>
          <w:szCs w:val="28"/>
        </w:rPr>
        <w:t>ью</w:t>
      </w:r>
      <w:r w:rsidRPr="00132A6C">
        <w:rPr>
          <w:rStyle w:val="FontStyle16"/>
          <w:spacing w:val="0"/>
          <w:sz w:val="28"/>
          <w:szCs w:val="28"/>
        </w:rPr>
        <w:t>гаты, применять буферные растворы с широким диапазоном рН, компоненты сыворотки и органические растворители, не опасаясь заметного разложения этих меток.</w:t>
      </w:r>
    </w:p>
    <w:p w:rsidR="0063665D" w:rsidRPr="00132A6C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Термохемилюмннесцентные реакции - это процессы первого порядка. Поэтому кинетика реакции не зависит от содержания метки в пробе. Ошибочные измерения можно отбросить с помощью алгоритма подгонки кривой.</w:t>
      </w:r>
    </w:p>
    <w:p w:rsidR="0063665D" w:rsidRPr="00132A6C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Для измерения интенсивности ТХЛ не нужны дополнительные химические реагенты.</w:t>
      </w:r>
    </w:p>
    <w:p w:rsidR="0063665D" w:rsidRPr="00132A6C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ТХЛ-меткн легко синтезировать с высоким выходом, воспроизводимой высокой степенью чистоты и высокой удельной активностью.</w:t>
      </w:r>
    </w:p>
    <w:p w:rsidR="0063665D" w:rsidRPr="00132A6C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Так как эти метки бесцветны, самогашение не наблюдается и в белки можно вводить большое число меток без потери удельной активности.</w:t>
      </w:r>
    </w:p>
    <w:p w:rsidR="0063665D" w:rsidRPr="00FE380E" w:rsidRDefault="0063665D" w:rsidP="00132A6C">
      <w:pPr>
        <w:pStyle w:val="Style4"/>
        <w:widowControl/>
        <w:numPr>
          <w:ilvl w:val="0"/>
          <w:numId w:val="1"/>
        </w:numPr>
        <w:tabs>
          <w:tab w:val="left" w:pos="749"/>
        </w:tabs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FE380E">
        <w:rPr>
          <w:rStyle w:val="FontStyle16"/>
          <w:spacing w:val="0"/>
          <w:sz w:val="28"/>
          <w:szCs w:val="28"/>
        </w:rPr>
        <w:t>Хотя удельная активность диадамантил-1,2-диоксетанов невысока</w:t>
      </w:r>
      <w:r w:rsidR="001A23F4" w:rsidRPr="00FE380E">
        <w:rPr>
          <w:rStyle w:val="FontStyle16"/>
          <w:spacing w:val="0"/>
          <w:sz w:val="28"/>
          <w:szCs w:val="28"/>
        </w:rPr>
        <w:t>,</w:t>
      </w:r>
      <w:r w:rsidRPr="00FE380E">
        <w:rPr>
          <w:rStyle w:val="FontStyle16"/>
          <w:spacing w:val="0"/>
          <w:sz w:val="28"/>
          <w:szCs w:val="28"/>
        </w:rPr>
        <w:t xml:space="preserve"> интенсивность ХЛ можно увеличить в 40 раз за счет переноса энергии к термически устойчивым</w:t>
      </w:r>
      <w:r w:rsidR="00FE380E">
        <w:rPr>
          <w:rStyle w:val="FontStyle16"/>
          <w:spacing w:val="0"/>
          <w:sz w:val="28"/>
          <w:szCs w:val="28"/>
        </w:rPr>
        <w:t xml:space="preserve"> </w:t>
      </w:r>
      <w:r w:rsidRPr="00FE380E">
        <w:rPr>
          <w:rStyle w:val="FontStyle16"/>
          <w:spacing w:val="0"/>
          <w:sz w:val="28"/>
          <w:szCs w:val="28"/>
        </w:rPr>
        <w:t>флуорофорам, например СКП-9,10-дифенилантрацену. При добавлении акцепторных соединений типа флуоресцеина или рубрена наблюдается сдвиг ТХЛ в красную область спектра.</w:t>
      </w:r>
    </w:p>
    <w:p w:rsidR="001A23F4" w:rsidRPr="00132A6C" w:rsidRDefault="0063665D" w:rsidP="00132A6C">
      <w:pPr>
        <w:pStyle w:val="Style2"/>
        <w:widowControl/>
        <w:spacing w:line="360" w:lineRule="auto"/>
        <w:ind w:firstLine="720"/>
        <w:rPr>
          <w:rStyle w:val="FontStyle16"/>
          <w:spacing w:val="0"/>
          <w:sz w:val="28"/>
          <w:szCs w:val="28"/>
        </w:rPr>
      </w:pPr>
      <w:r w:rsidRPr="00132A6C">
        <w:rPr>
          <w:rStyle w:val="FontStyle16"/>
          <w:spacing w:val="0"/>
          <w:sz w:val="28"/>
          <w:szCs w:val="28"/>
        </w:rPr>
        <w:t>7) В небольшие белки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можно вводить большое число ТХЛ-меток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и остатков ДФА</w:t>
      </w:r>
      <w:r w:rsidR="001A23F4" w:rsidRPr="00132A6C">
        <w:rPr>
          <w:rStyle w:val="FontStyle16"/>
          <w:spacing w:val="0"/>
          <w:sz w:val="28"/>
          <w:szCs w:val="28"/>
        </w:rPr>
        <w:t>;</w:t>
      </w:r>
      <w:r w:rsidRPr="00132A6C">
        <w:rPr>
          <w:rStyle w:val="FontStyle16"/>
          <w:spacing w:val="0"/>
          <w:sz w:val="28"/>
          <w:szCs w:val="28"/>
        </w:rPr>
        <w:t xml:space="preserve"> таким </w:t>
      </w:r>
      <w:r w:rsidR="002F185B" w:rsidRPr="00132A6C">
        <w:rPr>
          <w:rStyle w:val="FontStyle16"/>
          <w:spacing w:val="0"/>
          <w:sz w:val="28"/>
          <w:szCs w:val="28"/>
        </w:rPr>
        <w:t>образом,</w:t>
      </w:r>
      <w:r w:rsidRPr="00132A6C">
        <w:rPr>
          <w:rStyle w:val="FontStyle16"/>
          <w:spacing w:val="0"/>
          <w:sz w:val="28"/>
          <w:szCs w:val="28"/>
        </w:rPr>
        <w:t xml:space="preserve"> получают эффективно термохемилюминесци-рующий белок, который в свою очередь можно использовать как водорастворимую метку. В настоящее время удается определять ТХЛ только сухих проб, выдерживающих нагревание до 250°С; водные растворы</w:t>
      </w:r>
      <w:r w:rsidR="001A23F4" w:rsidRPr="00132A6C">
        <w:rPr>
          <w:rStyle w:val="FontStyle16"/>
          <w:spacing w:val="0"/>
          <w:sz w:val="28"/>
          <w:szCs w:val="28"/>
        </w:rPr>
        <w:t xml:space="preserve"> </w:t>
      </w:r>
      <w:r w:rsidRPr="00132A6C">
        <w:rPr>
          <w:rStyle w:val="FontStyle16"/>
          <w:spacing w:val="0"/>
          <w:sz w:val="28"/>
          <w:szCs w:val="28"/>
        </w:rPr>
        <w:t>анализировать нельзя. Бол</w:t>
      </w:r>
      <w:r w:rsidRPr="00132A6C">
        <w:rPr>
          <w:rStyle w:val="FontStyle16"/>
          <w:strike/>
          <w:spacing w:val="0"/>
          <w:sz w:val="28"/>
          <w:szCs w:val="28"/>
        </w:rPr>
        <w:t>ьш</w:t>
      </w:r>
      <w:r w:rsidRPr="00132A6C">
        <w:rPr>
          <w:rStyle w:val="FontStyle16"/>
          <w:spacing w:val="0"/>
          <w:sz w:val="28"/>
          <w:szCs w:val="28"/>
        </w:rPr>
        <w:t>и</w:t>
      </w:r>
      <w:r w:rsidRPr="00132A6C">
        <w:rPr>
          <w:rStyle w:val="FontStyle16"/>
          <w:strike/>
          <w:spacing w:val="0"/>
          <w:sz w:val="28"/>
          <w:szCs w:val="28"/>
        </w:rPr>
        <w:t>н</w:t>
      </w:r>
      <w:r w:rsidRPr="00132A6C">
        <w:rPr>
          <w:rStyle w:val="FontStyle16"/>
          <w:spacing w:val="0"/>
          <w:sz w:val="28"/>
          <w:szCs w:val="28"/>
        </w:rPr>
        <w:t xml:space="preserve">ство элементов этого нового метода постоянно совершенствуются, но наиболее существенного улучшения следует ожидать от разработки системы нагревания проб, в которой повышение температуры должно быть очень быстрым, строго локализованным и осуществляться точно по заданной программе. Методика определения </w:t>
      </w:r>
      <w:r w:rsidRPr="00132A6C">
        <w:rPr>
          <w:rStyle w:val="FontStyle16"/>
          <w:spacing w:val="0"/>
          <w:sz w:val="28"/>
          <w:szCs w:val="28"/>
          <w:lang w:val="en-US"/>
        </w:rPr>
        <w:t>hCG</w:t>
      </w:r>
      <w:r w:rsidRPr="00132A6C">
        <w:rPr>
          <w:rStyle w:val="FontStyle16"/>
          <w:spacing w:val="0"/>
          <w:sz w:val="28"/>
          <w:szCs w:val="28"/>
        </w:rPr>
        <w:t xml:space="preserve"> убедительно показывает, что цели, стоящие перед иммуноанализами типа ТИА и </w:t>
      </w:r>
      <w:r w:rsidRPr="00132A6C">
        <w:rPr>
          <w:rStyle w:val="FontStyle16"/>
          <w:spacing w:val="0"/>
          <w:sz w:val="28"/>
          <w:szCs w:val="28"/>
          <w:lang w:val="en-US"/>
        </w:rPr>
        <w:t>FATIMA</w:t>
      </w:r>
      <w:r w:rsidRPr="00132A6C">
        <w:rPr>
          <w:rStyle w:val="FontStyle16"/>
          <w:spacing w:val="0"/>
          <w:sz w:val="28"/>
          <w:szCs w:val="28"/>
        </w:rPr>
        <w:t>, вполне достижимы.</w:t>
      </w:r>
      <w:bookmarkStart w:id="0" w:name="_GoBack"/>
      <w:bookmarkEnd w:id="0"/>
    </w:p>
    <w:sectPr w:rsidR="001A23F4" w:rsidRPr="00132A6C" w:rsidSect="00132A6C">
      <w:pgSz w:w="11905" w:h="16837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70" w:rsidRDefault="00491070">
      <w:r>
        <w:separator/>
      </w:r>
    </w:p>
  </w:endnote>
  <w:endnote w:type="continuationSeparator" w:id="0">
    <w:p w:rsidR="00491070" w:rsidRDefault="0049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70" w:rsidRDefault="00491070">
      <w:r>
        <w:separator/>
      </w:r>
    </w:p>
  </w:footnote>
  <w:footnote w:type="continuationSeparator" w:id="0">
    <w:p w:rsidR="00491070" w:rsidRDefault="0049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61EDD"/>
    <w:multiLevelType w:val="singleLevel"/>
    <w:tmpl w:val="7F5C53B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C4"/>
    <w:rsid w:val="00025CF1"/>
    <w:rsid w:val="00132A6C"/>
    <w:rsid w:val="001A23F4"/>
    <w:rsid w:val="001D72F9"/>
    <w:rsid w:val="001E5793"/>
    <w:rsid w:val="002F185B"/>
    <w:rsid w:val="002F1A00"/>
    <w:rsid w:val="00336282"/>
    <w:rsid w:val="003C36AE"/>
    <w:rsid w:val="00491070"/>
    <w:rsid w:val="00533264"/>
    <w:rsid w:val="0053665C"/>
    <w:rsid w:val="0063665D"/>
    <w:rsid w:val="006550FD"/>
    <w:rsid w:val="007D3163"/>
    <w:rsid w:val="00814A7D"/>
    <w:rsid w:val="00A06EE4"/>
    <w:rsid w:val="00B23982"/>
    <w:rsid w:val="00C65BCA"/>
    <w:rsid w:val="00C810B5"/>
    <w:rsid w:val="00CC0BC4"/>
    <w:rsid w:val="00E54974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F85C7AB-7606-4B6D-AB92-769B1D7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69" w:lineRule="exact"/>
      <w:ind w:hanging="739"/>
    </w:pPr>
  </w:style>
  <w:style w:type="paragraph" w:customStyle="1" w:styleId="Style2">
    <w:name w:val="Style2"/>
    <w:basedOn w:val="a"/>
    <w:pPr>
      <w:spacing w:line="213" w:lineRule="exact"/>
      <w:ind w:firstLine="480"/>
      <w:jc w:val="both"/>
    </w:pPr>
  </w:style>
  <w:style w:type="paragraph" w:customStyle="1" w:styleId="Style3">
    <w:name w:val="Style3"/>
    <w:basedOn w:val="a"/>
    <w:pPr>
      <w:spacing w:line="206" w:lineRule="exact"/>
      <w:jc w:val="both"/>
    </w:pPr>
  </w:style>
  <w:style w:type="paragraph" w:customStyle="1" w:styleId="Style4">
    <w:name w:val="Style4"/>
    <w:basedOn w:val="a"/>
    <w:pPr>
      <w:spacing w:line="211" w:lineRule="exact"/>
      <w:ind w:firstLine="490"/>
      <w:jc w:val="both"/>
    </w:pPr>
  </w:style>
  <w:style w:type="paragraph" w:customStyle="1" w:styleId="Style5">
    <w:name w:val="Style5"/>
    <w:basedOn w:val="a"/>
    <w:pPr>
      <w:spacing w:line="202" w:lineRule="exact"/>
      <w:ind w:hanging="562"/>
    </w:pPr>
  </w:style>
  <w:style w:type="paragraph" w:customStyle="1" w:styleId="Style6">
    <w:name w:val="Style6"/>
    <w:basedOn w:val="a"/>
    <w:pPr>
      <w:spacing w:line="212" w:lineRule="exact"/>
      <w:ind w:firstLine="494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221" w:lineRule="exact"/>
      <w:ind w:hanging="456"/>
    </w:pPr>
  </w:style>
  <w:style w:type="character" w:customStyle="1" w:styleId="FontStyle11">
    <w:name w:val="Font Style11"/>
    <w:rPr>
      <w:rFonts w:ascii="Candara" w:hAnsi="Candara" w:cs="Candara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46"/>
      <w:szCs w:val="4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Термохемилюминесцентный иммуноанализ</vt:lpstr>
    </vt:vector>
  </TitlesOfParts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Термохемилюминесцентный иммуноанализ</dc:title>
  <dc:subject/>
  <dc:creator>FuckYouBill</dc:creator>
  <cp:keywords/>
  <dc:description/>
  <cp:lastModifiedBy>admin</cp:lastModifiedBy>
  <cp:revision>2</cp:revision>
  <dcterms:created xsi:type="dcterms:W3CDTF">2014-02-25T10:15:00Z</dcterms:created>
  <dcterms:modified xsi:type="dcterms:W3CDTF">2014-02-25T10:15:00Z</dcterms:modified>
</cp:coreProperties>
</file>