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87" w:rsidRPr="00A2414B" w:rsidRDefault="00790387" w:rsidP="00790387">
      <w:pPr>
        <w:spacing w:before="120"/>
        <w:jc w:val="center"/>
        <w:rPr>
          <w:b/>
          <w:sz w:val="32"/>
        </w:rPr>
      </w:pPr>
      <w:r w:rsidRPr="00A2414B">
        <w:rPr>
          <w:b/>
          <w:sz w:val="32"/>
        </w:rPr>
        <w:t>Типичные ошибки, допускаемые истцами в арбитраже.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1.</w:t>
      </w:r>
      <w:r>
        <w:t xml:space="preserve"> </w:t>
      </w:r>
      <w:r w:rsidRPr="00A2414B">
        <w:t>Неправильная подсудность.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Проблема заключается в том</w:t>
      </w:r>
      <w:r>
        <w:t xml:space="preserve">, </w:t>
      </w:r>
      <w:r w:rsidRPr="00A2414B">
        <w:t>что сторона</w:t>
      </w:r>
      <w:r>
        <w:t xml:space="preserve">, </w:t>
      </w:r>
      <w:r w:rsidRPr="00A2414B">
        <w:t>инициирующая судебное разбирательство</w:t>
      </w:r>
      <w:r>
        <w:t xml:space="preserve">, </w:t>
      </w:r>
      <w:r w:rsidRPr="00A2414B">
        <w:t>вытекающее из договора</w:t>
      </w:r>
      <w:r>
        <w:t xml:space="preserve">, </w:t>
      </w:r>
      <w:r w:rsidRPr="00A2414B">
        <w:t>не обращает внимание на специальную подсудность споров (арбитражную оговорку) установленную в договоре.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в договоре может быть установлена иная подсудность спора</w:t>
      </w:r>
      <w:r>
        <w:t xml:space="preserve">, </w:t>
      </w:r>
      <w:r w:rsidRPr="00A2414B">
        <w:t>нежели чем по месту нахождения ответчика.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Последствием несоблюдения правил подсудности является передача дела по подсудности тому суду</w:t>
      </w:r>
      <w:r>
        <w:t xml:space="preserve">, </w:t>
      </w:r>
      <w:r w:rsidRPr="00A2414B">
        <w:t>которому оно подсудно в соответствии с арбитражной оговоркой</w:t>
      </w:r>
      <w:r>
        <w:t xml:space="preserve">, </w:t>
      </w:r>
      <w:r w:rsidRPr="00A2414B">
        <w:t xml:space="preserve">что приводит к затягиванию времени необходимого на разрешение спора.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Неправильная подведомственность.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Ошибка истца заключается в неправильном определении истцом характера спора.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В настоящее время после принятия Арбитражного процессуального кодекса РФ (2002 года) все споры экономического характера подведомственны арбитражным судам.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то же время</w:t>
      </w:r>
      <w:r>
        <w:t xml:space="preserve">, </w:t>
      </w:r>
      <w:r w:rsidRPr="00A2414B">
        <w:t>до недавнего времени встречалось большое количество споров экономического характера</w:t>
      </w:r>
      <w:r>
        <w:t xml:space="preserve">, </w:t>
      </w:r>
      <w:r w:rsidRPr="00A2414B">
        <w:t>которые изначально рассматривались в судах общей юрисдикции</w:t>
      </w:r>
      <w:r>
        <w:t xml:space="preserve">, </w:t>
      </w:r>
      <w:r w:rsidRPr="00A2414B">
        <w:t>но в последствии</w:t>
      </w:r>
      <w:r>
        <w:t xml:space="preserve">, </w:t>
      </w:r>
      <w:r w:rsidRPr="00A2414B">
        <w:t>производство по которым было прекращено в связи с подведомственностью подобных дел арбитражному суду.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споры между участниками ООО о праве собственности на долю в уставном капитале ООО.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Последствием несоблюдения правил подведомственности является прекращение судом производства по делу.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Устранить данную проблему можно только путем подачи нового иска с соблюдением правил подведомственности.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3. Предъявления иска ненадлежащему ответчику.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Ярким примером может служить ситуация</w:t>
      </w:r>
      <w:r>
        <w:t xml:space="preserve">, </w:t>
      </w:r>
      <w:r w:rsidRPr="00A2414B">
        <w:t>когда убытки</w:t>
      </w:r>
      <w:r>
        <w:t xml:space="preserve">, </w:t>
      </w:r>
      <w:r w:rsidRPr="00A2414B">
        <w:t>причиненные незаконными действиями органов государственной власти</w:t>
      </w:r>
      <w:r>
        <w:t xml:space="preserve">, </w:t>
      </w:r>
      <w:r w:rsidRPr="00A2414B">
        <w:t>взыскиваются непосредственно с указанных органов исполнительной власти</w:t>
      </w:r>
      <w:r>
        <w:t xml:space="preserve">, </w:t>
      </w:r>
      <w:r w:rsidRPr="00A2414B">
        <w:t>а не с Российской Федерации и Министерства финансов РФ</w:t>
      </w:r>
      <w:r>
        <w:t xml:space="preserve">, </w:t>
      </w:r>
      <w:r w:rsidRPr="00A2414B">
        <w:t>как распорядителя бюджетных средств.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Ситуация в подобных случаях разрешается путем подачи ходатайства о замене ответчика.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Зачастую суды самостоятельно предлагают истцам заменить ответчика.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В случае</w:t>
      </w:r>
      <w:r>
        <w:t xml:space="preserve">, </w:t>
      </w:r>
      <w:r w:rsidRPr="00A2414B">
        <w:t>если такого ходатайства не будет заявлено в иске будет отказано.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4. Несоблюдение претензионного порядка рассмотрения спора.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ряде договоров установлен особый порядок рассмотрения споров</w:t>
      </w:r>
      <w:r>
        <w:t xml:space="preserve">, </w:t>
      </w:r>
      <w:r w:rsidRPr="00A2414B">
        <w:t>в соответствии с которым</w:t>
      </w:r>
      <w:r>
        <w:t xml:space="preserve">, </w:t>
      </w:r>
      <w:r w:rsidRPr="00A2414B">
        <w:t>стороны вправе передать спор на рассмотрение арбитражному суду только после того</w:t>
      </w:r>
      <w:r>
        <w:t xml:space="preserve">, </w:t>
      </w:r>
      <w:r w:rsidRPr="00A2414B">
        <w:t>как одной из сторон будет направлена соответствующая претензия.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Несоблюдение претензионного порядка рассмотрения спора является основанием для оставления иска без рассмотрения. 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Исправить ситуацию можно</w:t>
      </w:r>
      <w:r>
        <w:t xml:space="preserve">, </w:t>
      </w:r>
      <w:r w:rsidRPr="00A2414B">
        <w:t>направив в порядке</w:t>
      </w:r>
      <w:r>
        <w:t xml:space="preserve">, </w:t>
      </w:r>
      <w:r w:rsidRPr="00A2414B">
        <w:t>предусмотренном договором</w:t>
      </w:r>
      <w:r>
        <w:t xml:space="preserve">, </w:t>
      </w:r>
      <w:r w:rsidRPr="00A2414B">
        <w:t>претензию контрагенту и заново подать иск в арбитражный суд</w:t>
      </w:r>
      <w:r>
        <w:t xml:space="preserve">, </w:t>
      </w:r>
      <w:r w:rsidRPr="00A2414B">
        <w:t xml:space="preserve">подтвердив суду соблюдение претензионного порядка рассмотрения спора.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5.Неверный способ защиты права.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Иногда истцами выбирается не тот способ защиты права</w:t>
      </w:r>
      <w:r>
        <w:t xml:space="preserve">, </w:t>
      </w:r>
      <w:r w:rsidRPr="00A2414B">
        <w:t xml:space="preserve">который законом предусмотрен для подобных правоотношений.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в ситуации</w:t>
      </w:r>
      <w:r>
        <w:t xml:space="preserve">, </w:t>
      </w:r>
      <w:r w:rsidRPr="00A2414B">
        <w:t>когда один из участников ООО продает свою долю в компании с нарушением преимущественного права покупки</w:t>
      </w:r>
      <w:r>
        <w:t xml:space="preserve">, </w:t>
      </w:r>
      <w:r w:rsidRPr="00A2414B">
        <w:t>установленного законом</w:t>
      </w:r>
      <w:r>
        <w:t xml:space="preserve">, </w:t>
      </w:r>
      <w:r w:rsidRPr="00A2414B">
        <w:t>другой участник данного ООО</w:t>
      </w:r>
      <w:r>
        <w:t xml:space="preserve">, </w:t>
      </w:r>
      <w:r w:rsidRPr="00A2414B">
        <w:t>вместо того чтобы предъявить иск о переводе на истца прав и обязанностей по сделке</w:t>
      </w:r>
      <w:r>
        <w:t xml:space="preserve">, </w:t>
      </w:r>
      <w:r w:rsidRPr="00A2414B">
        <w:t>заявляет требование о признании данной сделки недействительной.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Последствием неправильного выбора способа защиты права</w:t>
      </w:r>
      <w:r>
        <w:t xml:space="preserve">, </w:t>
      </w:r>
      <w:r w:rsidRPr="00A2414B">
        <w:t>как правило</w:t>
      </w:r>
      <w:r>
        <w:t xml:space="preserve">, </w:t>
      </w:r>
      <w:r w:rsidRPr="00A2414B">
        <w:t xml:space="preserve">служит отказ судом в удовлетворении иска.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процессе рассмотрения спора можно попытаться изменить предмет или основание иска</w:t>
      </w:r>
      <w:r>
        <w:t xml:space="preserve">, </w:t>
      </w:r>
      <w:r w:rsidRPr="00A2414B">
        <w:t>что в некоторых случаях позволит добиться позитивного результата</w:t>
      </w:r>
      <w:r>
        <w:t xml:space="preserve">, </w:t>
      </w:r>
      <w:r w:rsidRPr="00A2414B">
        <w:t>но в большинстве случаев</w:t>
      </w:r>
      <w:r>
        <w:t xml:space="preserve">, </w:t>
      </w:r>
      <w:r w:rsidRPr="00A2414B">
        <w:t>выбор неправильного способа защиты права приведет к необходимости изменения предмета и основания иска</w:t>
      </w:r>
      <w:r>
        <w:t xml:space="preserve">, </w:t>
      </w:r>
      <w:r w:rsidRPr="00A2414B">
        <w:t xml:space="preserve">что недопустимо с точки зрения закона. 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Исправить ситуацию можно подав новый иск</w:t>
      </w:r>
      <w:r>
        <w:t xml:space="preserve">, </w:t>
      </w:r>
      <w:r w:rsidRPr="00A2414B">
        <w:t xml:space="preserve">в котором способ защиты права будет выбран с учетом спорных правоотношений.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6. Некорректное формулирование исковых требований.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Ярким примером может служить ситуация когда истец вместо предъявления требований о признании недействительными решений налогового органа о регистрации изменений в ЕГРЮЛ предъявляет требования о признании недействительными записей в ЕГРЮЛ</w:t>
      </w:r>
      <w:r>
        <w:t xml:space="preserve">, </w:t>
      </w:r>
      <w:r w:rsidRPr="00A2414B">
        <w:t>которые вносятся на основании решений налогового органа и сами по себе ненормативными актами не являются.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данном случае</w:t>
      </w:r>
      <w:r>
        <w:t xml:space="preserve">, </w:t>
      </w:r>
      <w:r w:rsidRPr="00A2414B">
        <w:t>если истец не скорректирует исковые требования</w:t>
      </w:r>
      <w:r>
        <w:t xml:space="preserve">, </w:t>
      </w:r>
      <w:r w:rsidRPr="00A2414B">
        <w:t xml:space="preserve">суд откажет в удовлетворении исковых требований (хотя практике известны и обратные примеры). 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Проблема легко устраняется изменением предмета иска.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7.Неверное определение предмета доказывания.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Речь идет о ситуации</w:t>
      </w:r>
      <w:r>
        <w:t xml:space="preserve">, </w:t>
      </w:r>
      <w:r w:rsidRPr="00A2414B">
        <w:t>когда истец и суды неверно определяют те обстоятельства</w:t>
      </w:r>
      <w:r>
        <w:t xml:space="preserve">, </w:t>
      </w:r>
      <w:r w:rsidRPr="00A2414B">
        <w:t>которые должны быть предметом доказывания в суде</w:t>
      </w:r>
      <w:r>
        <w:t xml:space="preserve">, </w:t>
      </w:r>
      <w:r w:rsidRPr="00A2414B">
        <w:t>что в результате приводит к принятию судами неправосудных решений</w:t>
      </w:r>
      <w:r>
        <w:t xml:space="preserve">, </w:t>
      </w:r>
      <w:r w:rsidRPr="00A2414B">
        <w:t xml:space="preserve">а для истцов порождает риск отказа в удовлетворении исковых требований.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в споре по делу о признании недействительным решения общего собрания участников ООО и записей в ЕГРЮЛ</w:t>
      </w:r>
      <w:r>
        <w:t xml:space="preserve">, </w:t>
      </w:r>
      <w:r w:rsidRPr="00A2414B">
        <w:t>в связи с тем</w:t>
      </w:r>
      <w:r>
        <w:t xml:space="preserve">, </w:t>
      </w:r>
      <w:r w:rsidRPr="00A2414B">
        <w:t>что один из участников ООО был выведен из его состава</w:t>
      </w:r>
      <w:r>
        <w:t xml:space="preserve">, </w:t>
      </w:r>
      <w:r w:rsidRPr="00A2414B">
        <w:t>суды неверно определили предмет доказывания</w:t>
      </w:r>
      <w:r>
        <w:t xml:space="preserve">, </w:t>
      </w:r>
      <w:r w:rsidRPr="00A2414B">
        <w:t>так как при рассмотрении спора исходили из того обстоятельства</w:t>
      </w:r>
      <w:r>
        <w:t xml:space="preserve">, </w:t>
      </w:r>
      <w:r w:rsidRPr="00A2414B">
        <w:t>что участник ООО вышел из ООО на основании заявления</w:t>
      </w:r>
      <w:r>
        <w:t xml:space="preserve">, </w:t>
      </w:r>
      <w:r w:rsidRPr="00A2414B">
        <w:t>в то время как</w:t>
      </w:r>
      <w:r>
        <w:t xml:space="preserve">, </w:t>
      </w:r>
      <w:r w:rsidRPr="00A2414B">
        <w:t>он уступил свою долю на основании договора.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результате такая ситуация привела к принятию неправильных решений и отмене судебных актов.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Положение в подобных случаях может быть исправлено только тщательным анализом правоотношений сторон и существующих доказательств по делу</w:t>
      </w:r>
      <w:r>
        <w:t xml:space="preserve">, </w:t>
      </w:r>
      <w:r w:rsidRPr="00A2414B">
        <w:t xml:space="preserve">а в случае необходимости путем корректировки оснований иска. 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8.Пропуск сроков исковой давности.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Истцы часто забывают о соблюдении необходимых сроков исковой давности при подаче исков.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 xml:space="preserve">Подача искового заявления за пределами сроков исковой давности является самостоятельным и достаточным основанием для отказа в иске.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Основные сроки исковой давности: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- общий срок исковой давности</w:t>
      </w:r>
      <w:r>
        <w:t xml:space="preserve"> - </w:t>
      </w:r>
      <w:r w:rsidRPr="00A2414B">
        <w:t>три года;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- срок исковой давности по спорам о признании недействительными оспоримых сделок – один год;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- срок исковой давности при подаче иска о признании недействительным ненормативного акта органа государственной власти</w:t>
      </w:r>
      <w:r>
        <w:t xml:space="preserve"> - </w:t>
      </w:r>
      <w:r w:rsidRPr="00A2414B">
        <w:t>три месяца;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- срок исковой давности на обжалование действий/бездействий (постановлений) судебного пристава исполнителя – десять дней;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- срок исковой давности на обжалование решений коллегиальных органов управления хозяйственных обществ</w:t>
      </w:r>
      <w:r>
        <w:t xml:space="preserve"> - </w:t>
      </w:r>
      <w:r w:rsidRPr="00A2414B">
        <w:t>два месяца.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Как правило</w:t>
      </w:r>
      <w:r>
        <w:t xml:space="preserve">, </w:t>
      </w:r>
      <w:r w:rsidRPr="00A2414B">
        <w:t>сроки исковой давности исчисляются с того момента</w:t>
      </w:r>
      <w:r>
        <w:t xml:space="preserve">, </w:t>
      </w:r>
      <w:r w:rsidRPr="00A2414B">
        <w:t xml:space="preserve">когда лицо узнало или должно было узнать о нарушении своих прав. 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В некоторых случаях можно убедить суд в том</w:t>
      </w:r>
      <w:r>
        <w:t xml:space="preserve">, </w:t>
      </w:r>
      <w:r w:rsidRPr="00A2414B">
        <w:t>что срок исковой давности не пропущен</w:t>
      </w:r>
      <w:r>
        <w:t xml:space="preserve">, </w:t>
      </w:r>
      <w:r w:rsidRPr="00A2414B">
        <w:t>так как истцу стало известно о нарушении его прав совсем недавно</w:t>
      </w:r>
      <w:r>
        <w:t xml:space="preserve">, </w:t>
      </w:r>
      <w:r w:rsidRPr="00A2414B">
        <w:t>но это отдельная история.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9.Неправильная квалификация отношений.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Характерным примером неправильной квалификации правоотношений является предъявление иска о взыскании убытков вместо заявления требований о взыскании неосновательного обогащения.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Результатом служит отказ в иске.</w:t>
      </w:r>
    </w:p>
    <w:p w:rsidR="00790387" w:rsidRDefault="00790387" w:rsidP="00790387">
      <w:pPr>
        <w:spacing w:before="120"/>
        <w:ind w:firstLine="567"/>
        <w:jc w:val="both"/>
      </w:pPr>
      <w:r w:rsidRPr="00A2414B">
        <w:t>Ситуация может быть исправлена путем изменения предмета иска</w:t>
      </w:r>
      <w:r>
        <w:t xml:space="preserve">, </w:t>
      </w:r>
      <w:r w:rsidRPr="00A2414B">
        <w:t>но зачастую требует одновременного изменения основания иска</w:t>
      </w:r>
      <w:r>
        <w:t xml:space="preserve">, </w:t>
      </w:r>
      <w:r w:rsidRPr="00A2414B">
        <w:t xml:space="preserve">что недопустимо с точки зрения закона. 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10. Неправильное построение защиты интересов при подаче нескольких исков.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в корпоративных конфликтах истцы вместо того</w:t>
      </w:r>
      <w:r>
        <w:t xml:space="preserve">, </w:t>
      </w:r>
      <w:r w:rsidRPr="00A2414B">
        <w:t>чтобы в одном иске оспаривать решение общего собрания</w:t>
      </w:r>
      <w:r>
        <w:t xml:space="preserve">, </w:t>
      </w:r>
      <w:r w:rsidRPr="00A2414B">
        <w:t>сделку по уступке доли в уставном капитале</w:t>
      </w:r>
      <w:r>
        <w:t xml:space="preserve">, </w:t>
      </w:r>
      <w:r w:rsidRPr="00A2414B">
        <w:t>а также ненормативные акты налогового органа</w:t>
      </w:r>
      <w:r>
        <w:t xml:space="preserve">, </w:t>
      </w:r>
      <w:r w:rsidRPr="00A2414B">
        <w:t>подают несколько исков</w:t>
      </w:r>
      <w:r>
        <w:t xml:space="preserve">, </w:t>
      </w:r>
      <w:r w:rsidRPr="00A2414B">
        <w:t>что в результате приводит к тому</w:t>
      </w:r>
      <w:r>
        <w:t xml:space="preserve">, </w:t>
      </w:r>
      <w:r w:rsidRPr="00A2414B">
        <w:t>что суд приостанавливает одно дело до рассмотрения другого.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В результате рассмотрение спора может затянуться на годы.</w:t>
      </w:r>
    </w:p>
    <w:p w:rsidR="00790387" w:rsidRPr="00A2414B" w:rsidRDefault="00790387" w:rsidP="00790387">
      <w:pPr>
        <w:spacing w:before="120"/>
        <w:ind w:firstLine="567"/>
        <w:jc w:val="both"/>
      </w:pPr>
      <w:r w:rsidRPr="00A2414B">
        <w:t>Проблема в данном случае может быть исправлена заявлением ходатайства об объединении дел</w:t>
      </w:r>
      <w:r>
        <w:t xml:space="preserve">, </w:t>
      </w:r>
      <w:r w:rsidRPr="00A2414B">
        <w:t>при условии</w:t>
      </w:r>
      <w:r>
        <w:t xml:space="preserve">, </w:t>
      </w:r>
      <w:r w:rsidRPr="00A2414B">
        <w:t xml:space="preserve">что суд его удовлетворит.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387"/>
    <w:rsid w:val="001A35F6"/>
    <w:rsid w:val="00474E07"/>
    <w:rsid w:val="006D4CA8"/>
    <w:rsid w:val="006F4BAC"/>
    <w:rsid w:val="00790387"/>
    <w:rsid w:val="00811DD4"/>
    <w:rsid w:val="00A2414B"/>
    <w:rsid w:val="00D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4E8E72-DA79-47C3-A4D5-BBBCEF6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3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Типичные ошибки, допускаемые истцами в арбитраже</vt:lpstr>
    </vt:vector>
  </TitlesOfParts>
  <Company>Home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ошибки, допускаемые истцами в арбитраже</dc:title>
  <dc:subject/>
  <dc:creator>User</dc:creator>
  <cp:keywords/>
  <dc:description/>
  <cp:lastModifiedBy>admin</cp:lastModifiedBy>
  <cp:revision>2</cp:revision>
  <dcterms:created xsi:type="dcterms:W3CDTF">2014-02-20T05:48:00Z</dcterms:created>
  <dcterms:modified xsi:type="dcterms:W3CDTF">2014-02-20T05:48:00Z</dcterms:modified>
</cp:coreProperties>
</file>