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45B6" w:rsidRDefault="009A45B6">
      <w:pPr>
        <w:pStyle w:val="4"/>
        <w:jc w:val="left"/>
      </w:pPr>
    </w:p>
    <w:p w:rsidR="009A45B6" w:rsidRDefault="002F4714">
      <w:pPr>
        <w:pStyle w:val="4"/>
        <w:rPr>
          <w:sz w:val="32"/>
        </w:rPr>
      </w:pPr>
      <w:r>
        <w:rPr>
          <w:sz w:val="32"/>
        </w:rPr>
        <w:t>Министерство общего и профессионального образования РФ</w:t>
      </w:r>
    </w:p>
    <w:p w:rsidR="009A45B6" w:rsidRDefault="009A45B6"/>
    <w:p w:rsidR="009A45B6" w:rsidRDefault="002F4714">
      <w:pPr>
        <w:pStyle w:val="4"/>
      </w:pPr>
      <w:r>
        <w:t>КГТУ</w:t>
      </w:r>
    </w:p>
    <w:p w:rsidR="009A45B6" w:rsidRDefault="009A45B6">
      <w:pPr>
        <w:jc w:val="center"/>
        <w:rPr>
          <w:rFonts w:ascii="Kudriashov" w:hAnsi="Kudriashov"/>
          <w:b/>
          <w:i/>
          <w:sz w:val="36"/>
        </w:rPr>
      </w:pPr>
    </w:p>
    <w:p w:rsidR="009A45B6" w:rsidRDefault="009A45B6">
      <w:pPr>
        <w:jc w:val="center"/>
        <w:rPr>
          <w:rFonts w:ascii="Kudriashov" w:hAnsi="Kudriashov"/>
          <w:b/>
          <w:i/>
          <w:sz w:val="36"/>
        </w:rPr>
      </w:pPr>
    </w:p>
    <w:p w:rsidR="009A45B6" w:rsidRDefault="009A45B6">
      <w:pPr>
        <w:jc w:val="right"/>
        <w:rPr>
          <w:b/>
          <w:i/>
          <w:sz w:val="36"/>
        </w:rPr>
      </w:pPr>
    </w:p>
    <w:p w:rsidR="009A45B6" w:rsidRDefault="002F4714">
      <w:pPr>
        <w:pStyle w:val="1"/>
        <w:jc w:val="right"/>
        <w:rPr>
          <w:b/>
          <w:i/>
        </w:rPr>
      </w:pPr>
      <w:r>
        <w:rPr>
          <w:b/>
          <w:i/>
        </w:rPr>
        <w:t>Кафедра БиЭП</w:t>
      </w:r>
    </w:p>
    <w:p w:rsidR="009A45B6" w:rsidRDefault="009A45B6"/>
    <w:p w:rsidR="009A45B6" w:rsidRDefault="009A45B6"/>
    <w:p w:rsidR="009A45B6" w:rsidRDefault="009A45B6"/>
    <w:p w:rsidR="009A45B6" w:rsidRDefault="009A45B6"/>
    <w:p w:rsidR="009A45B6" w:rsidRDefault="009A45B6"/>
    <w:p w:rsidR="009A45B6" w:rsidRDefault="009A45B6"/>
    <w:p w:rsidR="009A45B6" w:rsidRDefault="009A45B6"/>
    <w:p w:rsidR="009A45B6" w:rsidRDefault="009A45B6"/>
    <w:p w:rsidR="009A45B6" w:rsidRDefault="009A45B6"/>
    <w:p w:rsidR="009A45B6" w:rsidRDefault="009A45B6"/>
    <w:p w:rsidR="009A45B6" w:rsidRDefault="009A45B6"/>
    <w:p w:rsidR="009A45B6" w:rsidRDefault="009A45B6"/>
    <w:p w:rsidR="009A45B6" w:rsidRDefault="009A45B6"/>
    <w:p w:rsidR="009A45B6" w:rsidRDefault="002F4714">
      <w:pPr>
        <w:pStyle w:val="5"/>
      </w:pPr>
      <w:r>
        <w:t>требования к мониторам ПК и</w:t>
      </w:r>
    </w:p>
    <w:p w:rsidR="009A45B6" w:rsidRDefault="009A45B6"/>
    <w:p w:rsidR="009A45B6" w:rsidRDefault="002F4714">
      <w:pPr>
        <w:jc w:val="center"/>
        <w:rPr>
          <w:b/>
          <w:i/>
          <w:caps/>
          <w:sz w:val="44"/>
          <w:u w:val="wave"/>
        </w:rPr>
      </w:pPr>
      <w:r>
        <w:rPr>
          <w:b/>
          <w:i/>
          <w:caps/>
          <w:sz w:val="44"/>
          <w:u w:val="wave"/>
        </w:rPr>
        <w:t xml:space="preserve"> работоспособность оператора </w:t>
      </w:r>
    </w:p>
    <w:p w:rsidR="009A45B6" w:rsidRDefault="009A45B6">
      <w:pPr>
        <w:jc w:val="center"/>
        <w:rPr>
          <w:i/>
          <w:caps/>
          <w:sz w:val="32"/>
        </w:rPr>
      </w:pPr>
    </w:p>
    <w:p w:rsidR="009A45B6" w:rsidRDefault="002F4714">
      <w:pPr>
        <w:jc w:val="center"/>
        <w:rPr>
          <w:i/>
          <w:caps/>
          <w:sz w:val="32"/>
        </w:rPr>
      </w:pPr>
      <w:r>
        <w:rPr>
          <w:i/>
          <w:caps/>
          <w:sz w:val="32"/>
        </w:rPr>
        <w:t>.</w:t>
      </w:r>
    </w:p>
    <w:p w:rsidR="009A45B6" w:rsidRDefault="009A45B6">
      <w:pPr>
        <w:jc w:val="center"/>
        <w:rPr>
          <w:i/>
          <w:caps/>
          <w:sz w:val="32"/>
        </w:rPr>
      </w:pPr>
    </w:p>
    <w:p w:rsidR="009A45B6" w:rsidRDefault="009A45B6">
      <w:pPr>
        <w:jc w:val="center"/>
        <w:rPr>
          <w:i/>
          <w:caps/>
          <w:sz w:val="32"/>
        </w:rPr>
      </w:pPr>
    </w:p>
    <w:p w:rsidR="009A45B6" w:rsidRDefault="009A45B6">
      <w:pPr>
        <w:jc w:val="center"/>
        <w:rPr>
          <w:i/>
          <w:caps/>
          <w:sz w:val="32"/>
        </w:rPr>
      </w:pPr>
    </w:p>
    <w:p w:rsidR="009A45B6" w:rsidRDefault="009A45B6">
      <w:pPr>
        <w:jc w:val="center"/>
        <w:rPr>
          <w:i/>
          <w:caps/>
          <w:sz w:val="32"/>
        </w:rPr>
      </w:pPr>
    </w:p>
    <w:p w:rsidR="009A45B6" w:rsidRDefault="009A45B6">
      <w:pPr>
        <w:jc w:val="center"/>
        <w:rPr>
          <w:i/>
          <w:caps/>
          <w:sz w:val="32"/>
        </w:rPr>
      </w:pPr>
    </w:p>
    <w:p w:rsidR="009A45B6" w:rsidRDefault="009A45B6">
      <w:pPr>
        <w:jc w:val="center"/>
        <w:rPr>
          <w:i/>
          <w:caps/>
          <w:sz w:val="32"/>
        </w:rPr>
      </w:pPr>
    </w:p>
    <w:p w:rsidR="009A45B6" w:rsidRDefault="009A45B6">
      <w:pPr>
        <w:jc w:val="center"/>
        <w:rPr>
          <w:i/>
          <w:caps/>
          <w:sz w:val="32"/>
        </w:rPr>
      </w:pPr>
    </w:p>
    <w:p w:rsidR="009A45B6" w:rsidRDefault="009A45B6">
      <w:pPr>
        <w:jc w:val="center"/>
        <w:rPr>
          <w:i/>
          <w:caps/>
          <w:sz w:val="32"/>
        </w:rPr>
      </w:pPr>
    </w:p>
    <w:p w:rsidR="009A45B6" w:rsidRDefault="002F4714">
      <w:pPr>
        <w:pStyle w:val="3"/>
        <w:rPr>
          <w:sz w:val="28"/>
        </w:rPr>
      </w:pPr>
      <w:r>
        <w:rPr>
          <w:b/>
          <w:sz w:val="28"/>
        </w:rPr>
        <w:t>Выполнила:</w:t>
      </w:r>
      <w:r>
        <w:rPr>
          <w:sz w:val="28"/>
        </w:rPr>
        <w:t xml:space="preserve"> ст-ка гр. АУ-46</w:t>
      </w:r>
    </w:p>
    <w:p w:rsidR="009A45B6" w:rsidRDefault="002F4714">
      <w:pPr>
        <w:jc w:val="right"/>
        <w:rPr>
          <w:i/>
          <w:sz w:val="28"/>
        </w:rPr>
      </w:pPr>
      <w:r>
        <w:rPr>
          <w:i/>
          <w:sz w:val="28"/>
        </w:rPr>
        <w:t>Молоканова М.А.</w:t>
      </w:r>
    </w:p>
    <w:p w:rsidR="009A45B6" w:rsidRDefault="009A45B6">
      <w:pPr>
        <w:jc w:val="right"/>
        <w:rPr>
          <w:i/>
          <w:sz w:val="28"/>
        </w:rPr>
      </w:pPr>
    </w:p>
    <w:p w:rsidR="009A45B6" w:rsidRDefault="002F4714">
      <w:pPr>
        <w:rPr>
          <w:i/>
          <w:sz w:val="28"/>
        </w:rPr>
      </w:pPr>
      <w:r>
        <w:rPr>
          <w:i/>
          <w:sz w:val="28"/>
        </w:rPr>
        <w:t xml:space="preserve">                                                                                </w:t>
      </w:r>
    </w:p>
    <w:p w:rsidR="009A45B6" w:rsidRDefault="002F4714">
      <w:pPr>
        <w:rPr>
          <w:i/>
          <w:sz w:val="28"/>
        </w:rPr>
      </w:pPr>
      <w:r>
        <w:rPr>
          <w:b/>
          <w:i/>
          <w:sz w:val="28"/>
        </w:rPr>
        <w:t xml:space="preserve">                                                                                        Принял</w:t>
      </w:r>
      <w:r>
        <w:rPr>
          <w:i/>
          <w:sz w:val="28"/>
        </w:rPr>
        <w:t xml:space="preserve">:                   </w:t>
      </w:r>
    </w:p>
    <w:p w:rsidR="009A45B6" w:rsidRDefault="002F4714">
      <w:pPr>
        <w:jc w:val="right"/>
        <w:rPr>
          <w:i/>
          <w:sz w:val="28"/>
        </w:rPr>
      </w:pPr>
      <w:r>
        <w:rPr>
          <w:i/>
          <w:sz w:val="28"/>
        </w:rPr>
        <w:t xml:space="preserve"> Храмов В.В.    </w:t>
      </w:r>
    </w:p>
    <w:p w:rsidR="009A45B6" w:rsidRDefault="009A45B6">
      <w:pPr>
        <w:pStyle w:val="2"/>
        <w:rPr>
          <w:caps/>
          <w:sz w:val="24"/>
        </w:rPr>
      </w:pPr>
    </w:p>
    <w:p w:rsidR="009A45B6" w:rsidRDefault="009A45B6">
      <w:pPr>
        <w:pStyle w:val="2"/>
        <w:rPr>
          <w:caps/>
          <w:sz w:val="24"/>
        </w:rPr>
      </w:pPr>
    </w:p>
    <w:p w:rsidR="009A45B6" w:rsidRDefault="009A45B6">
      <w:pPr>
        <w:pStyle w:val="2"/>
        <w:jc w:val="left"/>
        <w:rPr>
          <w:caps/>
          <w:sz w:val="24"/>
        </w:rPr>
      </w:pPr>
    </w:p>
    <w:p w:rsidR="009A45B6" w:rsidRDefault="009A45B6"/>
    <w:p w:rsidR="009A45B6" w:rsidRDefault="009A45B6"/>
    <w:p w:rsidR="009A45B6" w:rsidRDefault="009A45B6">
      <w:pPr>
        <w:pStyle w:val="2"/>
        <w:rPr>
          <w:i w:val="0"/>
          <w:sz w:val="20"/>
        </w:rPr>
      </w:pPr>
    </w:p>
    <w:p w:rsidR="009A45B6" w:rsidRDefault="009A45B6"/>
    <w:p w:rsidR="009A45B6" w:rsidRDefault="002F4714">
      <w:pPr>
        <w:pStyle w:val="2"/>
        <w:rPr>
          <w:b/>
        </w:rPr>
      </w:pPr>
      <w:r>
        <w:rPr>
          <w:b/>
        </w:rPr>
        <w:t>Красноярск, 1998</w:t>
      </w:r>
    </w:p>
    <w:p w:rsidR="009A45B6" w:rsidRDefault="009A45B6"/>
    <w:p w:rsidR="009A45B6" w:rsidRDefault="002F4714">
      <w:pPr>
        <w:pStyle w:val="a4"/>
        <w:rPr>
          <w:rFonts w:ascii="Courier New" w:hAnsi="Courier New"/>
        </w:rPr>
      </w:pPr>
      <w:r>
        <w:rPr>
          <w:rFonts w:ascii="Courier New" w:hAnsi="Courier New"/>
        </w:rPr>
        <w:lastRenderedPageBreak/>
        <w:t>ПЛАН</w:t>
      </w:r>
    </w:p>
    <w:p w:rsidR="009A45B6" w:rsidRDefault="002F4714">
      <w:pPr>
        <w:pStyle w:val="a4"/>
        <w:numPr>
          <w:ilvl w:val="0"/>
          <w:numId w:val="1"/>
        </w:numPr>
        <w:jc w:val="left"/>
        <w:rPr>
          <w:rFonts w:ascii="Courier New" w:hAnsi="Courier New"/>
          <w:b w:val="0"/>
          <w:i w:val="0"/>
          <w:caps w:val="0"/>
          <w:sz w:val="24"/>
          <w:u w:val="none"/>
        </w:rPr>
      </w:pPr>
      <w:r>
        <w:rPr>
          <w:rFonts w:ascii="Courier New" w:hAnsi="Courier New"/>
          <w:b w:val="0"/>
          <w:i w:val="0"/>
          <w:caps w:val="0"/>
          <w:sz w:val="24"/>
          <w:u w:val="none"/>
        </w:rPr>
        <w:t>Введение.</w:t>
      </w:r>
    </w:p>
    <w:p w:rsidR="009A45B6" w:rsidRDefault="002F4714">
      <w:pPr>
        <w:pStyle w:val="a4"/>
        <w:numPr>
          <w:ilvl w:val="0"/>
          <w:numId w:val="1"/>
        </w:numPr>
        <w:jc w:val="left"/>
        <w:rPr>
          <w:rFonts w:ascii="Courier New" w:hAnsi="Courier New"/>
          <w:b w:val="0"/>
          <w:i w:val="0"/>
          <w:caps w:val="0"/>
          <w:sz w:val="24"/>
          <w:u w:val="none"/>
        </w:rPr>
      </w:pPr>
      <w:r>
        <w:rPr>
          <w:rFonts w:ascii="Courier New" w:hAnsi="Courier New"/>
          <w:b w:val="0"/>
          <w:i w:val="0"/>
          <w:caps w:val="0"/>
          <w:sz w:val="24"/>
          <w:u w:val="none"/>
        </w:rPr>
        <w:t>Основные характеристики изображения на экране.</w:t>
      </w:r>
    </w:p>
    <w:p w:rsidR="009A45B6" w:rsidRDefault="002F4714">
      <w:pPr>
        <w:pStyle w:val="a4"/>
        <w:numPr>
          <w:ilvl w:val="0"/>
          <w:numId w:val="1"/>
        </w:numPr>
        <w:jc w:val="left"/>
        <w:rPr>
          <w:rFonts w:ascii="Courier New" w:hAnsi="Courier New"/>
          <w:b w:val="0"/>
          <w:i w:val="0"/>
          <w:caps w:val="0"/>
          <w:sz w:val="24"/>
          <w:u w:val="none"/>
        </w:rPr>
      </w:pPr>
      <w:r>
        <w:rPr>
          <w:rFonts w:ascii="Courier New" w:hAnsi="Courier New"/>
          <w:b w:val="0"/>
          <w:i w:val="0"/>
          <w:caps w:val="0"/>
          <w:sz w:val="24"/>
          <w:u w:val="none"/>
        </w:rPr>
        <w:t>Освещенность рабочего помещения.</w:t>
      </w:r>
    </w:p>
    <w:p w:rsidR="009A45B6" w:rsidRDefault="002F4714">
      <w:pPr>
        <w:pStyle w:val="a4"/>
        <w:numPr>
          <w:ilvl w:val="0"/>
          <w:numId w:val="1"/>
        </w:numPr>
        <w:jc w:val="left"/>
        <w:rPr>
          <w:rFonts w:ascii="Courier New" w:hAnsi="Courier New"/>
          <w:b w:val="0"/>
          <w:i w:val="0"/>
          <w:caps w:val="0"/>
          <w:sz w:val="24"/>
          <w:u w:val="none"/>
        </w:rPr>
      </w:pPr>
      <w:r>
        <w:rPr>
          <w:rFonts w:ascii="Courier New" w:hAnsi="Courier New"/>
          <w:b w:val="0"/>
          <w:i w:val="0"/>
          <w:caps w:val="0"/>
          <w:sz w:val="24"/>
          <w:u w:val="none"/>
        </w:rPr>
        <w:t>Излучения и поля.</w:t>
      </w:r>
    </w:p>
    <w:p w:rsidR="009A45B6" w:rsidRDefault="002F4714">
      <w:pPr>
        <w:pStyle w:val="a4"/>
        <w:numPr>
          <w:ilvl w:val="0"/>
          <w:numId w:val="1"/>
        </w:numPr>
        <w:jc w:val="left"/>
        <w:rPr>
          <w:rFonts w:ascii="Courier New" w:hAnsi="Courier New"/>
          <w:b w:val="0"/>
          <w:i w:val="0"/>
          <w:caps w:val="0"/>
          <w:sz w:val="24"/>
          <w:u w:val="none"/>
        </w:rPr>
      </w:pPr>
      <w:r>
        <w:rPr>
          <w:rFonts w:ascii="Courier New" w:hAnsi="Courier New"/>
          <w:b w:val="0"/>
          <w:i w:val="0"/>
          <w:caps w:val="0"/>
          <w:sz w:val="24"/>
          <w:u w:val="none"/>
        </w:rPr>
        <w:t>Стандарты на мониторы.</w:t>
      </w:r>
    </w:p>
    <w:p w:rsidR="009A45B6" w:rsidRDefault="002F4714">
      <w:pPr>
        <w:pStyle w:val="a4"/>
        <w:numPr>
          <w:ilvl w:val="0"/>
          <w:numId w:val="1"/>
        </w:numPr>
        <w:jc w:val="left"/>
        <w:rPr>
          <w:rFonts w:ascii="Courier New" w:hAnsi="Courier New"/>
          <w:b w:val="0"/>
          <w:i w:val="0"/>
          <w:caps w:val="0"/>
          <w:sz w:val="24"/>
          <w:u w:val="none"/>
        </w:rPr>
      </w:pPr>
      <w:r>
        <w:rPr>
          <w:rFonts w:ascii="Courier New" w:hAnsi="Courier New"/>
          <w:b w:val="0"/>
          <w:i w:val="0"/>
          <w:caps w:val="0"/>
          <w:sz w:val="24"/>
          <w:u w:val="none"/>
        </w:rPr>
        <w:t>Воздействие работы с ПК на зрение человека.</w:t>
      </w:r>
    </w:p>
    <w:p w:rsidR="009A45B6" w:rsidRDefault="002F4714">
      <w:pPr>
        <w:pStyle w:val="a4"/>
        <w:numPr>
          <w:ilvl w:val="0"/>
          <w:numId w:val="1"/>
        </w:numPr>
        <w:jc w:val="left"/>
        <w:rPr>
          <w:rFonts w:ascii="Courier New" w:hAnsi="Courier New"/>
          <w:b w:val="0"/>
          <w:i w:val="0"/>
          <w:caps w:val="0"/>
          <w:sz w:val="24"/>
          <w:u w:val="none"/>
        </w:rPr>
      </w:pPr>
      <w:r>
        <w:rPr>
          <w:rFonts w:ascii="Courier New" w:hAnsi="Courier New"/>
          <w:b w:val="0"/>
          <w:i w:val="0"/>
          <w:caps w:val="0"/>
          <w:sz w:val="24"/>
          <w:u w:val="none"/>
        </w:rPr>
        <w:t>Заключение</w:t>
      </w:r>
    </w:p>
    <w:p w:rsidR="009A45B6" w:rsidRDefault="002F4714">
      <w:pPr>
        <w:pStyle w:val="a4"/>
        <w:numPr>
          <w:ilvl w:val="0"/>
          <w:numId w:val="1"/>
        </w:numPr>
        <w:jc w:val="left"/>
        <w:rPr>
          <w:rFonts w:ascii="Courier New" w:hAnsi="Courier New"/>
          <w:b w:val="0"/>
          <w:i w:val="0"/>
          <w:caps w:val="0"/>
          <w:sz w:val="24"/>
          <w:u w:val="none"/>
        </w:rPr>
      </w:pPr>
      <w:r>
        <w:rPr>
          <w:rFonts w:ascii="Courier New" w:hAnsi="Courier New"/>
          <w:b w:val="0"/>
          <w:i w:val="0"/>
          <w:caps w:val="0"/>
          <w:sz w:val="24"/>
          <w:u w:val="none"/>
        </w:rPr>
        <w:t>Список литературы.</w:t>
      </w: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b w:val="0"/>
          <w:i w:val="0"/>
          <w:caps w:val="0"/>
          <w:sz w:val="24"/>
          <w:u w:val="none"/>
        </w:rPr>
      </w:pPr>
    </w:p>
    <w:p w:rsidR="009A45B6" w:rsidRDefault="009A45B6">
      <w:pPr>
        <w:pStyle w:val="a4"/>
        <w:ind w:firstLine="0"/>
        <w:jc w:val="left"/>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9A45B6">
      <w:pPr>
        <w:pStyle w:val="a4"/>
        <w:rPr>
          <w:rFonts w:ascii="Courier New" w:hAnsi="Courier New"/>
        </w:rPr>
      </w:pPr>
    </w:p>
    <w:p w:rsidR="009A45B6" w:rsidRDefault="002F4714">
      <w:pPr>
        <w:pStyle w:val="a4"/>
        <w:rPr>
          <w:rFonts w:ascii="Courier New" w:hAnsi="Courier New"/>
        </w:rPr>
      </w:pPr>
      <w:r>
        <w:rPr>
          <w:rFonts w:ascii="Courier New" w:hAnsi="Courier New"/>
        </w:rPr>
        <w:t>Введение</w:t>
      </w:r>
    </w:p>
    <w:p w:rsidR="009A45B6" w:rsidRDefault="009A45B6">
      <w:pPr>
        <w:pStyle w:val="a4"/>
        <w:rPr>
          <w:rFonts w:ascii="Courier New" w:hAnsi="Courier New"/>
        </w:rPr>
      </w:pPr>
    </w:p>
    <w:p w:rsidR="009A45B6" w:rsidRDefault="002F4714">
      <w:pPr>
        <w:ind w:right="282" w:firstLine="567"/>
        <w:jc w:val="both"/>
        <w:rPr>
          <w:rFonts w:ascii="Courier New" w:hAnsi="Courier New"/>
          <w:sz w:val="24"/>
        </w:rPr>
      </w:pPr>
      <w:r>
        <w:rPr>
          <w:rFonts w:ascii="Courier New" w:hAnsi="Courier New"/>
          <w:sz w:val="24"/>
        </w:rPr>
        <w:t>Персональные компьютеры используются миллионами людей во всем мире — программистами, операторами и просто пользователями — в процессе повседневной деятельности. Поэтому среди гигиенических проблем современности проблемы гигиены труда пользователей ПЭВМ относятся к числу наиболее актуальных, так как непрерывно расширяется круг задач, решаемых ПЭВМ, и все большие контингенты людей вовлекаются в процесс использования вычислительной техники.</w:t>
      </w:r>
    </w:p>
    <w:p w:rsidR="009A45B6" w:rsidRDefault="002F4714">
      <w:pPr>
        <w:pStyle w:val="a5"/>
        <w:ind w:right="282" w:firstLine="567"/>
        <w:jc w:val="both"/>
        <w:rPr>
          <w:sz w:val="24"/>
        </w:rPr>
      </w:pPr>
      <w:r>
        <w:rPr>
          <w:sz w:val="24"/>
        </w:rPr>
        <w:t xml:space="preserve"> Труд оператора ПЭВМ относится к формам труда с высоким нервно-эмоциональным напряжением. Это обусловлено необходимостью постоянного слежения за динамикой изображения, различения текста рукописных и печатных материалов, выполнением машинописных и графических работ. В процессе работы требуется постоянно поддерживать активное внимание. Труд требует высокой ответственности, поскольку цена ошибки бывает достаточно велика, вплоть до крупных экономических потерь и аварий. </w:t>
      </w:r>
    </w:p>
    <w:p w:rsidR="009A45B6" w:rsidRDefault="002F4714">
      <w:pPr>
        <w:pStyle w:val="a5"/>
        <w:ind w:right="282" w:firstLine="567"/>
        <w:jc w:val="both"/>
      </w:pPr>
      <w:r>
        <w:rPr>
          <w:sz w:val="24"/>
        </w:rPr>
        <w:t>Возросшее применение ПК на рабочих местах различного назначения привлекло внимание к целому ряду фактов отрицательного воздействия на здоровье, которые связаны или считаются связанными именно с работой на компьютере. Основная нагрузка при этом приходится на зрение, поскольку при работе с монитором глаза устают значительно быстрее, чем при любых других видах работы. Поэтому имеет смысл подробнее остановиться на медицинских аспектах воздействия работы за компьютером на зрение оператора, а также на требованиях к мониторам и   характеристиках изображения на экране.</w:t>
      </w:r>
      <w:r>
        <w:t xml:space="preserve">  </w:t>
      </w: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firstLine="567"/>
        <w:jc w:val="both"/>
      </w:pPr>
    </w:p>
    <w:p w:rsidR="009A45B6" w:rsidRDefault="009A45B6">
      <w:pPr>
        <w:pStyle w:val="a5"/>
        <w:ind w:right="282"/>
        <w:jc w:val="both"/>
      </w:pPr>
    </w:p>
    <w:p w:rsidR="009A45B6" w:rsidRDefault="009A45B6">
      <w:pPr>
        <w:pStyle w:val="a5"/>
        <w:ind w:right="282"/>
      </w:pPr>
    </w:p>
    <w:p w:rsidR="009A45B6" w:rsidRDefault="009A45B6">
      <w:pPr>
        <w:pStyle w:val="a5"/>
        <w:ind w:right="282"/>
        <w:jc w:val="center"/>
        <w:rPr>
          <w:b/>
          <w:i/>
          <w:caps/>
          <w:sz w:val="28"/>
          <w:u w:val="single"/>
        </w:rPr>
      </w:pPr>
    </w:p>
    <w:p w:rsidR="009A45B6" w:rsidRDefault="009A45B6">
      <w:pPr>
        <w:pStyle w:val="a5"/>
        <w:ind w:right="282"/>
        <w:jc w:val="center"/>
        <w:rPr>
          <w:b/>
          <w:i/>
          <w:caps/>
          <w:sz w:val="28"/>
          <w:u w:val="single"/>
        </w:rPr>
      </w:pPr>
    </w:p>
    <w:p w:rsidR="009A45B6" w:rsidRDefault="009A45B6">
      <w:pPr>
        <w:pStyle w:val="a5"/>
        <w:ind w:right="282"/>
        <w:jc w:val="center"/>
        <w:rPr>
          <w:b/>
          <w:i/>
          <w:caps/>
          <w:sz w:val="28"/>
          <w:u w:val="single"/>
        </w:rPr>
      </w:pPr>
    </w:p>
    <w:p w:rsidR="009A45B6" w:rsidRDefault="009A45B6">
      <w:pPr>
        <w:pStyle w:val="a5"/>
        <w:ind w:right="282"/>
        <w:jc w:val="center"/>
        <w:rPr>
          <w:b/>
          <w:i/>
          <w:caps/>
          <w:sz w:val="28"/>
          <w:u w:val="single"/>
        </w:rPr>
      </w:pPr>
    </w:p>
    <w:p w:rsidR="009A45B6" w:rsidRDefault="009A45B6">
      <w:pPr>
        <w:pStyle w:val="a5"/>
        <w:ind w:right="282"/>
        <w:jc w:val="center"/>
        <w:rPr>
          <w:b/>
          <w:i/>
          <w:caps/>
          <w:sz w:val="28"/>
          <w:u w:val="single"/>
        </w:rPr>
      </w:pPr>
    </w:p>
    <w:p w:rsidR="009A45B6" w:rsidRDefault="002F4714">
      <w:pPr>
        <w:pStyle w:val="a5"/>
        <w:ind w:right="282"/>
        <w:jc w:val="center"/>
        <w:rPr>
          <w:b/>
          <w:i/>
          <w:caps/>
          <w:sz w:val="28"/>
          <w:u w:val="single"/>
        </w:rPr>
      </w:pPr>
      <w:r>
        <w:rPr>
          <w:b/>
          <w:i/>
          <w:caps/>
          <w:sz w:val="28"/>
          <w:u w:val="single"/>
        </w:rPr>
        <w:t>Основные характеристики изображения на экране</w:t>
      </w:r>
    </w:p>
    <w:p w:rsidR="009A45B6" w:rsidRDefault="009A45B6">
      <w:pPr>
        <w:pStyle w:val="a5"/>
        <w:ind w:right="282" w:firstLine="567"/>
        <w:jc w:val="center"/>
        <w:rPr>
          <w:b/>
          <w:i/>
          <w:caps/>
          <w:sz w:val="28"/>
          <w:u w:val="single"/>
        </w:rPr>
      </w:pPr>
    </w:p>
    <w:p w:rsidR="009A45B6" w:rsidRDefault="002F4714">
      <w:pPr>
        <w:pStyle w:val="a5"/>
        <w:ind w:right="282" w:firstLine="567"/>
        <w:jc w:val="both"/>
        <w:rPr>
          <w:sz w:val="24"/>
        </w:rPr>
      </w:pPr>
      <w:r>
        <w:rPr>
          <w:sz w:val="24"/>
        </w:rPr>
        <w:t>Монитор - это, как правило, единственное устройство, "лицом к лицу" с которым пользователь проводит не один год. Удобочитаемость информации на экране зависит от четкости элементов изображения. Основными параметрами изображения на экране монитора являются яркость, контраст, размеры и форма знаков, отражательная способность экрана, наличие или отсутствие мерцаний.</w:t>
      </w:r>
    </w:p>
    <w:p w:rsidR="009A45B6" w:rsidRDefault="009A45B6">
      <w:pPr>
        <w:pStyle w:val="a5"/>
        <w:ind w:right="282" w:firstLine="567"/>
        <w:jc w:val="both"/>
        <w:rPr>
          <w:sz w:val="24"/>
        </w:rPr>
      </w:pPr>
    </w:p>
    <w:p w:rsidR="009A45B6" w:rsidRDefault="002F4714">
      <w:pPr>
        <w:pStyle w:val="a5"/>
        <w:ind w:right="282" w:firstLine="567"/>
        <w:jc w:val="both"/>
        <w:rPr>
          <w:sz w:val="24"/>
        </w:rPr>
      </w:pPr>
      <w:r>
        <w:rPr>
          <w:b/>
          <w:i/>
          <w:sz w:val="24"/>
        </w:rPr>
        <w:t>Яркость изображения</w:t>
      </w:r>
      <w:r>
        <w:rPr>
          <w:sz w:val="24"/>
        </w:rPr>
        <w:t xml:space="preserve"> (имеется в виду яркость светлых элементов, т. е. знака для негативного изображения и фона для позитивного) нормируется для того, чтобы облегчить приспособление глаз к самосветящимся объектам. Ограничены также (в пределах (25%) и колебания яркости. Нормируется внешняя освещенность экрана (100 - 250 лк). Исследования показали, что при более высоких уровнях освещенности экрана зрительная система утомляется быстрее и в большей степени.</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До сих пор спорным остается вопрос о том, что лучше для зрения: позитивное изображение (светлый экран и темные символы) или, наоборот, негативное изображение. И для того и для другого варианта можно привести доводы за и против. Гигиенисты считают, однако, что если работа с ПЭВМ предполагает одновременно и работу с бумажным носителем — тетрадь, книга (то есть приходится попеременно смотреть на участки с позитивной и негативной полярностью), то лучше и на экране монитора иметь темные символы на светлом фоне, чтобы глазам не приходилось все время перестраиваться. При выборе цветовой гаммы предпочтение следует отдавать зелено-голубой части спектра. Опрос, проведенный в 1997г. среди студентов Московской медицинской академии имени И.М. Сеченова, показал, что 66% пользователей предпочитают для длительной работы с видеотерминалом позитивное изображение, в основном вариант "голубой экран - черные символы".</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 xml:space="preserve">Мнения по поводу выбора определенного </w:t>
      </w:r>
      <w:r>
        <w:rPr>
          <w:b/>
          <w:i/>
          <w:sz w:val="24"/>
        </w:rPr>
        <w:t>цвета</w:t>
      </w:r>
      <w:r>
        <w:rPr>
          <w:sz w:val="24"/>
        </w:rPr>
        <w:t xml:space="preserve"> свечения экрана также расходятся. Предполагается, что белый, зеленый и оранжевый цвета дают одинаковую четкость при негативной полярности; при наблюдении с больших расстояний зеленый и оранжевый цвета видны лучше, тогда как белый несколько способствует уменьшению числа ошибок чтения. Если учитывать цветовую слепоту и цветное бинокулярное зрение, то красный и голубой цвета не рекомендуются. Вообще, многоцветное представление информации на экране компьютера значительно упрощает ее анализ, однако может  вызвать проблемы у людей с дефектами цветового зрения.</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 xml:space="preserve">Весьма часто фактором, способствующим быстрому утомлению глаз, становится и </w:t>
      </w:r>
      <w:r>
        <w:rPr>
          <w:b/>
          <w:i/>
          <w:sz w:val="24"/>
        </w:rPr>
        <w:t>контраст</w:t>
      </w:r>
      <w:r>
        <w:rPr>
          <w:sz w:val="24"/>
        </w:rPr>
        <w:t xml:space="preserve"> между фоном и символами на экране. Понятно, что малая контрастность затрудняет различение символов, однако и слишком большая тоже вредит. Поэтому контраст должен находиться в пределах от 3:1 до 1,5:1. При более низких уровнях контрастности у работающих быстрее наступали неблагоприятные изменения способности фокусировать изображение и критической частоты слияния световых мельканий, регистрировалось больше жалоб на усталость глаз и общую усталость.</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 xml:space="preserve">Человеческий глаз не может долго работать с мелкими объектами. Вот почему нормируются </w:t>
      </w:r>
      <w:r>
        <w:rPr>
          <w:b/>
          <w:i/>
          <w:sz w:val="24"/>
        </w:rPr>
        <w:t>размеры знаков на экране</w:t>
      </w:r>
      <w:r>
        <w:rPr>
          <w:sz w:val="24"/>
        </w:rPr>
        <w:t>. Например, угловой размер знака должен быть в пределах от 16 до 60 угловых минут, что составляет от 0,46 до 1,75 см, если пользователь смотрит на экран с расстояния 50 см (минимальное расстояние, рекомендуемое гигиенистами).</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 xml:space="preserve">Гигиенистами отмечено, что чтение, в первую очередь у детей, значительно затруднено и быстро приводит к утомлению, если буквы имеют непривычные вычурные очертания. По этой причине врачи без энтузиазма относятся к повальному увлечению разнообразными шрифтами, особенно в образовательных программах для детей. Исследования зрения у школьников начальных классов показали, что при чтении текста, набранного шрифтом более сложного рисунка, у детей быстрее падает скорость чтения, чаще отмечается снижение критической частоты слияния световых мельканий. СанПиН включает несколько параметров, определяющих допустимую </w:t>
      </w:r>
      <w:r>
        <w:rPr>
          <w:b/>
          <w:i/>
          <w:sz w:val="24"/>
        </w:rPr>
        <w:t>форму</w:t>
      </w:r>
      <w:r>
        <w:rPr>
          <w:sz w:val="24"/>
        </w:rPr>
        <w:t xml:space="preserve"> и размеры знака. В частности, нормируется отношение ширины знака к высоте (0,5-1,0, лучше 0,7-0,9), т. е. знаки не должны быть ни слишком узкими, ни слишком широкими. Удобочитаемость снижается, если растр изображения виден; увеличение матрицы знака (до 7*9) повышает удобочитаемость. Оптимальная </w:t>
      </w:r>
      <w:r>
        <w:rPr>
          <w:b/>
          <w:i/>
          <w:sz w:val="24"/>
        </w:rPr>
        <w:t>величина</w:t>
      </w:r>
      <w:r>
        <w:rPr>
          <w:sz w:val="24"/>
        </w:rPr>
        <w:t xml:space="preserve"> знаков диктуется как  достаточными для идентификации размерами, так и  тем, что знаки не должны быть слишком большими, иначе при чтении слишком мало знаков попадает в поле зрения. Поскольку яркость, в принципе, меняется при каждом пробеге сканирующего луча, четкость символов определяется крутизной изменения яркости при пересечении  контура символа.</w:t>
      </w:r>
    </w:p>
    <w:p w:rsidR="009A45B6" w:rsidRDefault="009A45B6">
      <w:pPr>
        <w:pStyle w:val="a5"/>
        <w:ind w:right="282" w:firstLine="567"/>
        <w:jc w:val="both"/>
        <w:rPr>
          <w:sz w:val="24"/>
        </w:rPr>
      </w:pPr>
    </w:p>
    <w:p w:rsidR="009A45B6" w:rsidRDefault="002F4714">
      <w:pPr>
        <w:pStyle w:val="a5"/>
        <w:ind w:right="282" w:firstLine="567"/>
        <w:jc w:val="both"/>
        <w:rPr>
          <w:sz w:val="24"/>
        </w:rPr>
      </w:pPr>
      <w:r>
        <w:rPr>
          <w:b/>
          <w:i/>
          <w:sz w:val="24"/>
        </w:rPr>
        <w:t>Отражательная способность</w:t>
      </w:r>
      <w:r>
        <w:rPr>
          <w:sz w:val="24"/>
        </w:rPr>
        <w:t xml:space="preserve"> экрана не должна превышать 1%. Для снижения количества бликов и облегчения концентрации внимания корпус монитора должен иметь матовую одноцветную поверхность (светло-серый, светло-бежевый тона) с коэффициентом отражения 0,4-0,6, без блестящих деталей и с минимальным числом органов управления и надписей на лицевой стороне. Антибликовое покрытие уменьшает отражение внешнего света от стеклянной поверхности экрана. Различают несколько типов покрытия: например, специальная, рассеивающая световой поток, гравировка экрана; более эффективное кремниевое покрытие, часто применяемое в стеклянных фильтрах; особые виды устанавливаемых на кинескоп антибликовых панелей. Следует, однако, отметить, что первые два способа уменьшения отражающей способности экрана несколько снижают контрастность и ухудшают цветопередачу, поэтому мониторы с блестящими экранами обычно передают цвета ярче.</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 xml:space="preserve">Изменение яркости во время одного цикла регенерации может восприниматься как </w:t>
      </w:r>
      <w:r>
        <w:rPr>
          <w:b/>
          <w:i/>
          <w:sz w:val="24"/>
        </w:rPr>
        <w:t>мерцание</w:t>
      </w:r>
      <w:r>
        <w:rPr>
          <w:sz w:val="24"/>
        </w:rPr>
        <w:t>. Частота, при которой не наблюдается мерцаний — частота слияния мерцаний. Восприятие мерцания зависит не только от  частоты регенерации, но и от ряда других параметров, таких как яркость экрана, освещенность помещения, степень осцилляции, контраст, а также от использования центрального или периферического зрения и от индивидуальной чувствительности. Мерцание отрицательно воздействует на зрительный комфорт оператора и может вызвать симптомы зрительного утомления. Поскольку сетчатка глаза вынуждена постоянно перенастраиваться, видимые мерцания способствуют возникновению адаптационной перегрузки глаз, и, кроме того, изменению аккомодации.</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 xml:space="preserve">Изменение положения символов на экране во времени — дефект, называемый </w:t>
      </w:r>
      <w:r>
        <w:rPr>
          <w:b/>
          <w:i/>
          <w:sz w:val="24"/>
        </w:rPr>
        <w:t>дрожанием изображения</w:t>
      </w:r>
      <w:r>
        <w:rPr>
          <w:sz w:val="24"/>
        </w:rPr>
        <w:t xml:space="preserve">. Это явление связано с неправильными колебаниями магнитного поля, используемого для отклонения электронного луча.  </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 xml:space="preserve">Некоторые виды люминофора имеют значительное </w:t>
      </w:r>
      <w:r>
        <w:rPr>
          <w:b/>
          <w:i/>
          <w:sz w:val="24"/>
        </w:rPr>
        <w:t>послесвечение</w:t>
      </w:r>
      <w:r>
        <w:rPr>
          <w:sz w:val="24"/>
        </w:rPr>
        <w:t>, то есть яркость символов снижается очень медленно, и они воспринимаются на протяжении нескольких периодов регенерации после того, как соответствующие пиксели уже больше не облучаются. Такое явление  значительно снижает четкость изображения; на мониторах с быстрыми люминофорами оно не наблюдается.</w:t>
      </w:r>
    </w:p>
    <w:p w:rsidR="009A45B6" w:rsidRDefault="009A45B6">
      <w:pPr>
        <w:pStyle w:val="a5"/>
        <w:ind w:right="282"/>
        <w:jc w:val="both"/>
        <w:rPr>
          <w:sz w:val="24"/>
        </w:rPr>
      </w:pPr>
    </w:p>
    <w:p w:rsidR="009A45B6" w:rsidRDefault="002F4714">
      <w:pPr>
        <w:pStyle w:val="a5"/>
        <w:ind w:right="282" w:firstLine="567"/>
        <w:jc w:val="both"/>
        <w:rPr>
          <w:sz w:val="24"/>
        </w:rPr>
      </w:pPr>
      <w:r>
        <w:rPr>
          <w:sz w:val="24"/>
        </w:rPr>
        <w:t>Основные нормируемые визуальные характеристики мониторов и соответствующие допустимые значения этих характеристик представлены в таблице 1.</w:t>
      </w:r>
    </w:p>
    <w:p w:rsidR="009A45B6" w:rsidRDefault="009A45B6">
      <w:pPr>
        <w:pStyle w:val="a5"/>
        <w:ind w:right="282" w:firstLine="567"/>
        <w:jc w:val="both"/>
        <w:rPr>
          <w:sz w:val="24"/>
        </w:rPr>
      </w:pPr>
    </w:p>
    <w:p w:rsidR="009A45B6" w:rsidRDefault="002F4714">
      <w:pPr>
        <w:pStyle w:val="a5"/>
        <w:ind w:right="282" w:firstLine="567"/>
        <w:jc w:val="both"/>
        <w:rPr>
          <w:i/>
          <w:sz w:val="24"/>
        </w:rPr>
      </w:pPr>
      <w:r>
        <w:rPr>
          <w:i/>
          <w:sz w:val="24"/>
        </w:rPr>
        <w:t>Таблица 1.</w:t>
      </w:r>
    </w:p>
    <w:p w:rsidR="009A45B6" w:rsidRDefault="002F4714">
      <w:pPr>
        <w:pStyle w:val="a5"/>
        <w:ind w:right="282" w:firstLine="567"/>
        <w:jc w:val="center"/>
        <w:rPr>
          <w:b/>
          <w:i/>
          <w:sz w:val="28"/>
          <w:u w:val="single"/>
        </w:rPr>
      </w:pPr>
      <w:r>
        <w:rPr>
          <w:b/>
          <w:i/>
          <w:sz w:val="28"/>
          <w:u w:val="single"/>
        </w:rPr>
        <w:t xml:space="preserve">Некоторые нормируемые визуальные параметры видеотерминалов </w:t>
      </w:r>
    </w:p>
    <w:p w:rsidR="009A45B6" w:rsidRDefault="009A45B6">
      <w:pPr>
        <w:pStyle w:val="a5"/>
        <w:ind w:right="282" w:firstLine="567"/>
        <w:jc w:val="both"/>
        <w:rPr>
          <w:sz w:val="28"/>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8"/>
        <w:gridCol w:w="4819"/>
      </w:tblGrid>
      <w:tr w:rsidR="009A45B6">
        <w:tc>
          <w:tcPr>
            <w:tcW w:w="4928" w:type="dxa"/>
          </w:tcPr>
          <w:p w:rsidR="009A45B6" w:rsidRDefault="002F4714">
            <w:pPr>
              <w:pStyle w:val="a5"/>
              <w:ind w:right="282" w:firstLine="567"/>
              <w:jc w:val="both"/>
              <w:rPr>
                <w:b/>
                <w:i/>
                <w:sz w:val="24"/>
                <w:lang w:val="en-US"/>
              </w:rPr>
            </w:pPr>
            <w:r>
              <w:rPr>
                <w:b/>
                <w:i/>
                <w:sz w:val="24"/>
              </w:rPr>
              <w:t>Параметры</w:t>
            </w:r>
          </w:p>
        </w:tc>
        <w:tc>
          <w:tcPr>
            <w:tcW w:w="4819" w:type="dxa"/>
          </w:tcPr>
          <w:p w:rsidR="009A45B6" w:rsidRDefault="002F4714">
            <w:pPr>
              <w:pStyle w:val="a5"/>
              <w:ind w:right="282" w:firstLine="567"/>
              <w:jc w:val="both"/>
              <w:rPr>
                <w:b/>
                <w:i/>
                <w:sz w:val="24"/>
                <w:lang w:val="en-US"/>
              </w:rPr>
            </w:pPr>
            <w:r>
              <w:rPr>
                <w:b/>
                <w:i/>
                <w:sz w:val="24"/>
              </w:rPr>
              <w:t>Допустимые значения</w:t>
            </w:r>
          </w:p>
        </w:tc>
      </w:tr>
      <w:tr w:rsidR="009A45B6">
        <w:tc>
          <w:tcPr>
            <w:tcW w:w="4928" w:type="dxa"/>
          </w:tcPr>
          <w:p w:rsidR="009A45B6" w:rsidRDefault="002F4714">
            <w:pPr>
              <w:pStyle w:val="a5"/>
              <w:ind w:right="282"/>
              <w:jc w:val="both"/>
              <w:rPr>
                <w:sz w:val="24"/>
                <w:lang w:val="en-US"/>
              </w:rPr>
            </w:pPr>
            <w:r>
              <w:rPr>
                <w:sz w:val="24"/>
              </w:rPr>
              <w:t>Яркость знака или фона (измеряется в темноте)</w:t>
            </w:r>
          </w:p>
        </w:tc>
        <w:tc>
          <w:tcPr>
            <w:tcW w:w="4819" w:type="dxa"/>
          </w:tcPr>
          <w:p w:rsidR="009A45B6" w:rsidRDefault="002F4714">
            <w:pPr>
              <w:pStyle w:val="a5"/>
              <w:ind w:right="282" w:firstLine="567"/>
              <w:jc w:val="both"/>
              <w:rPr>
                <w:sz w:val="24"/>
                <w:lang w:val="en-US"/>
              </w:rPr>
            </w:pPr>
            <w:r>
              <w:rPr>
                <w:sz w:val="24"/>
              </w:rPr>
              <w:t>35-120 кд/м</w:t>
            </w:r>
            <w:r>
              <w:rPr>
                <w:sz w:val="24"/>
                <w:vertAlign w:val="superscript"/>
              </w:rPr>
              <w:t>2</w:t>
            </w:r>
          </w:p>
        </w:tc>
      </w:tr>
      <w:tr w:rsidR="009A45B6">
        <w:tc>
          <w:tcPr>
            <w:tcW w:w="4928" w:type="dxa"/>
          </w:tcPr>
          <w:p w:rsidR="009A45B6" w:rsidRDefault="002F4714">
            <w:pPr>
              <w:pStyle w:val="a5"/>
              <w:ind w:right="282"/>
              <w:jc w:val="both"/>
              <w:rPr>
                <w:sz w:val="24"/>
                <w:lang w:val="en-US"/>
              </w:rPr>
            </w:pPr>
            <w:r>
              <w:rPr>
                <w:sz w:val="24"/>
              </w:rPr>
              <w:t xml:space="preserve">Контраст </w:t>
            </w:r>
          </w:p>
        </w:tc>
        <w:tc>
          <w:tcPr>
            <w:tcW w:w="4819" w:type="dxa"/>
          </w:tcPr>
          <w:p w:rsidR="009A45B6" w:rsidRDefault="002F4714">
            <w:pPr>
              <w:pStyle w:val="a5"/>
              <w:ind w:right="282" w:firstLine="567"/>
              <w:jc w:val="both"/>
              <w:rPr>
                <w:sz w:val="24"/>
                <w:lang w:val="en-US"/>
              </w:rPr>
            </w:pPr>
            <w:r>
              <w:rPr>
                <w:sz w:val="24"/>
              </w:rPr>
              <w:t>От 3:1 до 1,5:1</w:t>
            </w:r>
          </w:p>
        </w:tc>
      </w:tr>
      <w:tr w:rsidR="009A45B6">
        <w:tc>
          <w:tcPr>
            <w:tcW w:w="4928" w:type="dxa"/>
          </w:tcPr>
          <w:p w:rsidR="009A45B6" w:rsidRDefault="002F4714">
            <w:pPr>
              <w:pStyle w:val="a5"/>
              <w:ind w:right="282"/>
              <w:jc w:val="both"/>
              <w:rPr>
                <w:sz w:val="24"/>
                <w:lang w:val="en-US"/>
              </w:rPr>
            </w:pPr>
            <w:r>
              <w:rPr>
                <w:sz w:val="24"/>
              </w:rPr>
              <w:t xml:space="preserve">Временная нестабильность изображения (мерцания) </w:t>
            </w:r>
          </w:p>
        </w:tc>
        <w:tc>
          <w:tcPr>
            <w:tcW w:w="4819" w:type="dxa"/>
          </w:tcPr>
          <w:p w:rsidR="009A45B6" w:rsidRDefault="002F4714">
            <w:pPr>
              <w:pStyle w:val="a5"/>
              <w:ind w:right="282" w:firstLine="567"/>
              <w:jc w:val="both"/>
              <w:rPr>
                <w:sz w:val="24"/>
                <w:lang w:val="en-US"/>
              </w:rPr>
            </w:pPr>
            <w:r>
              <w:rPr>
                <w:sz w:val="24"/>
              </w:rPr>
              <w:t xml:space="preserve">Не должна быть зафиксирована более 90% наблюдателей </w:t>
            </w:r>
          </w:p>
        </w:tc>
      </w:tr>
      <w:tr w:rsidR="009A45B6">
        <w:tc>
          <w:tcPr>
            <w:tcW w:w="4928" w:type="dxa"/>
          </w:tcPr>
          <w:p w:rsidR="009A45B6" w:rsidRDefault="002F4714">
            <w:pPr>
              <w:pStyle w:val="a5"/>
              <w:ind w:right="282"/>
              <w:jc w:val="both"/>
              <w:rPr>
                <w:sz w:val="24"/>
                <w:lang w:val="en-US"/>
              </w:rPr>
            </w:pPr>
            <w:r>
              <w:rPr>
                <w:sz w:val="24"/>
              </w:rPr>
              <w:t>Угловой размер знака</w:t>
            </w:r>
          </w:p>
        </w:tc>
        <w:tc>
          <w:tcPr>
            <w:tcW w:w="4819" w:type="dxa"/>
          </w:tcPr>
          <w:p w:rsidR="009A45B6" w:rsidRDefault="002F4714">
            <w:pPr>
              <w:pStyle w:val="a5"/>
              <w:ind w:right="282" w:firstLine="567"/>
              <w:jc w:val="both"/>
              <w:rPr>
                <w:sz w:val="24"/>
                <w:lang w:val="en-US"/>
              </w:rPr>
            </w:pPr>
            <w:r>
              <w:rPr>
                <w:sz w:val="24"/>
              </w:rPr>
              <w:t>16-60</w:t>
            </w:r>
          </w:p>
        </w:tc>
      </w:tr>
      <w:tr w:rsidR="009A45B6">
        <w:tc>
          <w:tcPr>
            <w:tcW w:w="4928" w:type="dxa"/>
          </w:tcPr>
          <w:p w:rsidR="009A45B6" w:rsidRDefault="002F4714">
            <w:pPr>
              <w:pStyle w:val="a5"/>
              <w:ind w:right="282"/>
              <w:jc w:val="both"/>
              <w:rPr>
                <w:sz w:val="24"/>
                <w:lang w:val="en-US"/>
              </w:rPr>
            </w:pPr>
            <w:r>
              <w:rPr>
                <w:sz w:val="24"/>
              </w:rPr>
              <w:t xml:space="preserve">Отношение ширины знака к высоте </w:t>
            </w:r>
          </w:p>
        </w:tc>
        <w:tc>
          <w:tcPr>
            <w:tcW w:w="4819" w:type="dxa"/>
          </w:tcPr>
          <w:p w:rsidR="009A45B6" w:rsidRDefault="002F4714">
            <w:pPr>
              <w:pStyle w:val="a5"/>
              <w:ind w:right="282" w:firstLine="567"/>
              <w:jc w:val="both"/>
              <w:rPr>
                <w:sz w:val="24"/>
                <w:lang w:val="en-US"/>
              </w:rPr>
            </w:pPr>
            <w:r>
              <w:rPr>
                <w:sz w:val="24"/>
              </w:rPr>
              <w:t>0,5-1,0</w:t>
            </w:r>
          </w:p>
        </w:tc>
      </w:tr>
      <w:tr w:rsidR="009A45B6">
        <w:trPr>
          <w:trHeight w:val="590"/>
        </w:trPr>
        <w:tc>
          <w:tcPr>
            <w:tcW w:w="4928" w:type="dxa"/>
          </w:tcPr>
          <w:p w:rsidR="009A45B6" w:rsidRDefault="002F4714">
            <w:pPr>
              <w:pStyle w:val="a5"/>
              <w:ind w:right="282"/>
              <w:jc w:val="both"/>
              <w:rPr>
                <w:sz w:val="24"/>
                <w:lang w:val="en-US"/>
              </w:rPr>
            </w:pPr>
            <w:r>
              <w:rPr>
                <w:sz w:val="24"/>
              </w:rPr>
              <w:t>Отражательная способность экрана (блики)</w:t>
            </w:r>
          </w:p>
        </w:tc>
        <w:tc>
          <w:tcPr>
            <w:tcW w:w="4819" w:type="dxa"/>
          </w:tcPr>
          <w:p w:rsidR="009A45B6" w:rsidRDefault="002F4714">
            <w:pPr>
              <w:pStyle w:val="a5"/>
              <w:ind w:right="282" w:firstLine="567"/>
              <w:jc w:val="both"/>
              <w:rPr>
                <w:sz w:val="24"/>
                <w:lang w:val="en-US"/>
              </w:rPr>
            </w:pPr>
            <w:r>
              <w:rPr>
                <w:sz w:val="24"/>
              </w:rPr>
              <w:t>не более 1%</w:t>
            </w:r>
          </w:p>
        </w:tc>
      </w:tr>
      <w:tr w:rsidR="009A45B6">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928" w:type="dxa"/>
          </w:tcPr>
          <w:p w:rsidR="009A45B6" w:rsidRDefault="002F4714">
            <w:pPr>
              <w:jc w:val="both"/>
              <w:rPr>
                <w:rFonts w:ascii="Courier New" w:hAnsi="Courier New"/>
                <w:sz w:val="24"/>
              </w:rPr>
            </w:pPr>
            <w:r>
              <w:rPr>
                <w:rFonts w:ascii="Courier New" w:hAnsi="Courier New"/>
                <w:sz w:val="24"/>
              </w:rPr>
              <w:t>Неравномерность яркости элементов знаков</w:t>
            </w:r>
          </w:p>
        </w:tc>
        <w:tc>
          <w:tcPr>
            <w:tcW w:w="4819" w:type="dxa"/>
          </w:tcPr>
          <w:p w:rsidR="009A45B6" w:rsidRDefault="002F4714">
            <w:pPr>
              <w:jc w:val="both"/>
              <w:rPr>
                <w:rFonts w:ascii="Courier New" w:hAnsi="Courier New"/>
                <w:sz w:val="24"/>
              </w:rPr>
            </w:pPr>
            <w:r>
              <w:rPr>
                <w:rFonts w:ascii="Courier New" w:hAnsi="Courier New"/>
                <w:sz w:val="24"/>
              </w:rPr>
              <w:t xml:space="preserve">    не более </w:t>
            </w:r>
            <w:r>
              <w:rPr>
                <w:rFonts w:ascii="Courier New" w:hAnsi="Courier New"/>
                <w:sz w:val="24"/>
              </w:rPr>
              <w:sym w:font="Symbol" w:char="F0B1"/>
            </w:r>
            <w:r>
              <w:rPr>
                <w:rFonts w:ascii="Courier New" w:hAnsi="Courier New"/>
                <w:sz w:val="24"/>
              </w:rPr>
              <w:t xml:space="preserve"> 25%</w:t>
            </w:r>
          </w:p>
        </w:tc>
      </w:tr>
      <w:tr w:rsidR="009A45B6">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928" w:type="dxa"/>
          </w:tcPr>
          <w:p w:rsidR="009A45B6" w:rsidRDefault="002F4714">
            <w:pPr>
              <w:jc w:val="both"/>
              <w:rPr>
                <w:rFonts w:ascii="Courier New" w:hAnsi="Courier New"/>
                <w:sz w:val="24"/>
              </w:rPr>
            </w:pPr>
            <w:r>
              <w:rPr>
                <w:rFonts w:ascii="Courier New" w:hAnsi="Courier New"/>
                <w:sz w:val="24"/>
              </w:rPr>
              <w:t>Неравномерность яркости рабочего поля экрана</w:t>
            </w:r>
          </w:p>
        </w:tc>
        <w:tc>
          <w:tcPr>
            <w:tcW w:w="4819" w:type="dxa"/>
          </w:tcPr>
          <w:p w:rsidR="009A45B6" w:rsidRDefault="002F4714">
            <w:pPr>
              <w:jc w:val="both"/>
              <w:rPr>
                <w:rFonts w:ascii="Courier New" w:hAnsi="Courier New"/>
                <w:sz w:val="24"/>
              </w:rPr>
            </w:pPr>
            <w:r>
              <w:rPr>
                <w:rFonts w:ascii="Courier New" w:hAnsi="Courier New"/>
                <w:sz w:val="24"/>
              </w:rPr>
              <w:t xml:space="preserve">    не более </w:t>
            </w:r>
            <w:r>
              <w:rPr>
                <w:rFonts w:ascii="Courier New" w:hAnsi="Courier New"/>
                <w:sz w:val="24"/>
              </w:rPr>
              <w:sym w:font="Symbol" w:char="F0B1"/>
            </w:r>
            <w:r>
              <w:rPr>
                <w:rFonts w:ascii="Courier New" w:hAnsi="Courier New"/>
                <w:sz w:val="24"/>
              </w:rPr>
              <w:t xml:space="preserve"> 20%</w:t>
            </w:r>
          </w:p>
        </w:tc>
      </w:tr>
      <w:tr w:rsidR="009A45B6">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72"/>
        </w:trPr>
        <w:tc>
          <w:tcPr>
            <w:tcW w:w="4928" w:type="dxa"/>
          </w:tcPr>
          <w:p w:rsidR="009A45B6" w:rsidRDefault="002F4714">
            <w:pPr>
              <w:jc w:val="both"/>
              <w:rPr>
                <w:rFonts w:ascii="Courier New" w:hAnsi="Courier New"/>
                <w:sz w:val="24"/>
              </w:rPr>
            </w:pPr>
            <w:r>
              <w:rPr>
                <w:rFonts w:ascii="Courier New" w:hAnsi="Courier New"/>
                <w:sz w:val="24"/>
              </w:rPr>
              <w:t xml:space="preserve">Формат матрицы знака </w:t>
            </w:r>
          </w:p>
          <w:p w:rsidR="009A45B6" w:rsidRDefault="009A45B6">
            <w:pPr>
              <w:jc w:val="both"/>
              <w:rPr>
                <w:rFonts w:ascii="Courier New" w:hAnsi="Courier New"/>
                <w:sz w:val="24"/>
              </w:rPr>
            </w:pPr>
          </w:p>
          <w:p w:rsidR="009A45B6" w:rsidRDefault="002F4714">
            <w:pPr>
              <w:jc w:val="both"/>
              <w:rPr>
                <w:rFonts w:ascii="Courier New" w:hAnsi="Courier New"/>
                <w:sz w:val="24"/>
              </w:rPr>
            </w:pPr>
            <w:r>
              <w:rPr>
                <w:rFonts w:ascii="Courier New" w:hAnsi="Courier New"/>
                <w:sz w:val="24"/>
              </w:rPr>
              <w:t>для прописных букв и цифр, (для отображения строчных букв с нижними выносными элементами формат матрицы должен быть увеличен сверху или снизу на 2 элемента изображения)</w:t>
            </w:r>
          </w:p>
        </w:tc>
        <w:tc>
          <w:tcPr>
            <w:tcW w:w="4819" w:type="dxa"/>
          </w:tcPr>
          <w:p w:rsidR="009A45B6" w:rsidRDefault="002F4714">
            <w:pPr>
              <w:jc w:val="both"/>
              <w:rPr>
                <w:rFonts w:ascii="Courier New" w:hAnsi="Courier New"/>
                <w:sz w:val="24"/>
              </w:rPr>
            </w:pPr>
            <w:r>
              <w:rPr>
                <w:rFonts w:ascii="Courier New" w:hAnsi="Courier New"/>
                <w:sz w:val="24"/>
              </w:rPr>
              <w:t xml:space="preserve">    не менее 7 * 9 элементов изображения </w:t>
            </w:r>
          </w:p>
          <w:p w:rsidR="009A45B6" w:rsidRDefault="009A45B6">
            <w:pPr>
              <w:jc w:val="both"/>
              <w:rPr>
                <w:rFonts w:ascii="Courier New" w:hAnsi="Courier New"/>
                <w:sz w:val="24"/>
              </w:rPr>
            </w:pPr>
          </w:p>
          <w:p w:rsidR="009A45B6" w:rsidRDefault="002F4714">
            <w:pPr>
              <w:pStyle w:val="a6"/>
            </w:pPr>
            <w:r>
              <w:t xml:space="preserve">не менее 5 * 7 элементов изображения </w:t>
            </w:r>
          </w:p>
          <w:p w:rsidR="009A45B6" w:rsidRDefault="009A45B6">
            <w:pPr>
              <w:jc w:val="both"/>
              <w:rPr>
                <w:rFonts w:ascii="Courier New" w:hAnsi="Courier New"/>
                <w:sz w:val="24"/>
              </w:rPr>
            </w:pPr>
          </w:p>
        </w:tc>
      </w:tr>
      <w:tr w:rsidR="009A45B6">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928" w:type="dxa"/>
          </w:tcPr>
          <w:p w:rsidR="009A45B6" w:rsidRDefault="002F4714">
            <w:pPr>
              <w:jc w:val="both"/>
              <w:rPr>
                <w:rFonts w:ascii="Courier New" w:hAnsi="Courier New"/>
                <w:sz w:val="24"/>
              </w:rPr>
            </w:pPr>
            <w:r>
              <w:rPr>
                <w:rFonts w:ascii="Courier New" w:hAnsi="Courier New"/>
                <w:sz w:val="24"/>
              </w:rPr>
              <w:t>Размер минимального элемента  отображения (пикселя) для монохромного монитора, мм</w:t>
            </w:r>
          </w:p>
        </w:tc>
        <w:tc>
          <w:tcPr>
            <w:tcW w:w="4819" w:type="dxa"/>
          </w:tcPr>
          <w:p w:rsidR="009A45B6" w:rsidRDefault="002F4714">
            <w:pPr>
              <w:jc w:val="both"/>
              <w:rPr>
                <w:rFonts w:ascii="Courier New" w:hAnsi="Courier New"/>
                <w:sz w:val="24"/>
              </w:rPr>
            </w:pPr>
            <w:r>
              <w:rPr>
                <w:rFonts w:ascii="Courier New" w:hAnsi="Courier New"/>
                <w:sz w:val="24"/>
              </w:rPr>
              <w:t>0,3</w:t>
            </w:r>
          </w:p>
        </w:tc>
      </w:tr>
    </w:tbl>
    <w:p w:rsidR="009A45B6" w:rsidRDefault="009A45B6"/>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928"/>
        <w:gridCol w:w="4819"/>
      </w:tblGrid>
      <w:tr w:rsidR="009A45B6">
        <w:tc>
          <w:tcPr>
            <w:tcW w:w="4928" w:type="dxa"/>
          </w:tcPr>
          <w:p w:rsidR="009A45B6" w:rsidRDefault="002F4714">
            <w:pPr>
              <w:jc w:val="both"/>
              <w:rPr>
                <w:rFonts w:ascii="Courier New" w:hAnsi="Courier New"/>
                <w:sz w:val="24"/>
              </w:rPr>
            </w:pPr>
            <w:r>
              <w:rPr>
                <w:rFonts w:ascii="Courier New" w:hAnsi="Courier New"/>
                <w:sz w:val="24"/>
              </w:rPr>
              <w:t>Допустимое горизонтальное смещение однотипных знаков, % от ширины знака</w:t>
            </w:r>
          </w:p>
        </w:tc>
        <w:tc>
          <w:tcPr>
            <w:tcW w:w="4819" w:type="dxa"/>
          </w:tcPr>
          <w:p w:rsidR="009A45B6" w:rsidRDefault="002F4714">
            <w:pPr>
              <w:jc w:val="both"/>
              <w:rPr>
                <w:rFonts w:ascii="Courier New" w:hAnsi="Courier New"/>
                <w:sz w:val="24"/>
              </w:rPr>
            </w:pPr>
            <w:r>
              <w:rPr>
                <w:rFonts w:ascii="Courier New" w:hAnsi="Courier New"/>
                <w:sz w:val="24"/>
              </w:rPr>
              <w:t>не более 5</w:t>
            </w:r>
          </w:p>
        </w:tc>
      </w:tr>
      <w:tr w:rsidR="009A45B6">
        <w:trPr>
          <w:trHeight w:val="1022"/>
        </w:trPr>
        <w:tc>
          <w:tcPr>
            <w:tcW w:w="4928" w:type="dxa"/>
          </w:tcPr>
          <w:p w:rsidR="009A45B6" w:rsidRDefault="002F4714">
            <w:pPr>
              <w:jc w:val="both"/>
              <w:rPr>
                <w:rFonts w:ascii="Courier New" w:hAnsi="Courier New"/>
                <w:sz w:val="24"/>
              </w:rPr>
            </w:pPr>
            <w:r>
              <w:rPr>
                <w:rFonts w:ascii="Courier New" w:hAnsi="Courier New"/>
                <w:sz w:val="24"/>
              </w:rPr>
              <w:t>Допустимое вертикальное смещение однотипных знаков, % от высоты матрицы,</w:t>
            </w:r>
          </w:p>
        </w:tc>
        <w:tc>
          <w:tcPr>
            <w:tcW w:w="4819" w:type="dxa"/>
          </w:tcPr>
          <w:p w:rsidR="009A45B6" w:rsidRDefault="002F4714">
            <w:pPr>
              <w:jc w:val="both"/>
              <w:rPr>
                <w:rFonts w:ascii="Courier New" w:hAnsi="Courier New"/>
                <w:sz w:val="24"/>
              </w:rPr>
            </w:pPr>
            <w:r>
              <w:rPr>
                <w:rFonts w:ascii="Courier New" w:hAnsi="Courier New"/>
                <w:sz w:val="24"/>
              </w:rPr>
              <w:t>не более 5</w:t>
            </w:r>
          </w:p>
        </w:tc>
      </w:tr>
      <w:tr w:rsidR="009A45B6">
        <w:trPr>
          <w:trHeight w:val="1898"/>
        </w:trPr>
        <w:tc>
          <w:tcPr>
            <w:tcW w:w="4928" w:type="dxa"/>
          </w:tcPr>
          <w:p w:rsidR="009A45B6" w:rsidRDefault="002F4714">
            <w:pPr>
              <w:jc w:val="both"/>
              <w:rPr>
                <w:rFonts w:ascii="Courier New" w:hAnsi="Courier New"/>
                <w:sz w:val="24"/>
              </w:rPr>
            </w:pPr>
            <w:r>
              <w:rPr>
                <w:rFonts w:ascii="Courier New" w:hAnsi="Courier New"/>
                <w:sz w:val="24"/>
              </w:rPr>
              <w:t>Допустимая пространственная нестабильность изображения (дрожание по амплитуде изображения) при частоте колебаний в диапазоне от 0,5 до 30 Гц, мм</w:t>
            </w:r>
          </w:p>
        </w:tc>
        <w:tc>
          <w:tcPr>
            <w:tcW w:w="4819" w:type="dxa"/>
          </w:tcPr>
          <w:p w:rsidR="009A45B6" w:rsidRDefault="002F4714">
            <w:pPr>
              <w:jc w:val="both"/>
              <w:rPr>
                <w:rFonts w:ascii="Courier New" w:hAnsi="Courier New"/>
                <w:b/>
                <w:sz w:val="24"/>
                <w:lang w:val="en-US"/>
              </w:rPr>
            </w:pPr>
            <w:r>
              <w:rPr>
                <w:rFonts w:ascii="Courier New" w:hAnsi="Courier New"/>
                <w:b/>
                <w:sz w:val="24"/>
              </w:rPr>
              <w:t xml:space="preserve">                             </w:t>
            </w:r>
            <w:r>
              <w:rPr>
                <w:rFonts w:ascii="Courier New" w:hAnsi="Courier New"/>
                <w:sz w:val="24"/>
              </w:rPr>
              <w:t>-</w:t>
            </w:r>
            <w:r>
              <w:rPr>
                <w:rFonts w:ascii="Courier New" w:hAnsi="Courier New"/>
                <w:b/>
                <w:sz w:val="24"/>
              </w:rPr>
              <w:t xml:space="preserve"> </w:t>
            </w:r>
          </w:p>
          <w:p w:rsidR="009A45B6" w:rsidRDefault="002F4714">
            <w:pPr>
              <w:jc w:val="both"/>
              <w:rPr>
                <w:rFonts w:ascii="Courier New" w:hAnsi="Courier New"/>
                <w:b/>
                <w:sz w:val="24"/>
                <w:lang w:val="en-US"/>
              </w:rPr>
            </w:pPr>
            <w:r>
              <w:rPr>
                <w:rFonts w:ascii="Courier New" w:hAnsi="Courier New"/>
                <w:sz w:val="24"/>
              </w:rPr>
              <w:t>не  более 2</w:t>
            </w:r>
            <w:r>
              <w:rPr>
                <w:rFonts w:ascii="Courier New" w:hAnsi="Courier New"/>
                <w:sz w:val="24"/>
                <w:lang w:val="en-US"/>
              </w:rPr>
              <w:t>L*</w:t>
            </w:r>
            <w:r>
              <w:rPr>
                <w:rFonts w:ascii="Courier New" w:hAnsi="Courier New"/>
                <w:snapToGrid w:val="0"/>
                <w:sz w:val="24"/>
                <w:lang w:val="en-US"/>
              </w:rPr>
              <w:t>10</w:t>
            </w:r>
            <w:r>
              <w:rPr>
                <w:rFonts w:ascii="Courier New" w:hAnsi="Courier New"/>
                <w:snapToGrid w:val="0"/>
                <w:sz w:val="24"/>
                <w:vertAlign w:val="superscript"/>
                <w:lang w:val="en-US"/>
              </w:rPr>
              <w:t>-4</w:t>
            </w:r>
          </w:p>
          <w:p w:rsidR="009A45B6" w:rsidRDefault="002F4714">
            <w:pPr>
              <w:jc w:val="both"/>
              <w:rPr>
                <w:rFonts w:ascii="Courier New" w:hAnsi="Courier New"/>
                <w:sz w:val="24"/>
              </w:rPr>
            </w:pPr>
            <w:r>
              <w:rPr>
                <w:rFonts w:ascii="Courier New" w:hAnsi="Courier New"/>
                <w:sz w:val="24"/>
              </w:rPr>
              <w:t>(</w:t>
            </w:r>
            <w:r>
              <w:rPr>
                <w:rFonts w:ascii="Courier New" w:hAnsi="Courier New"/>
                <w:sz w:val="24"/>
                <w:lang w:val="en-US"/>
              </w:rPr>
              <w:t>L-</w:t>
            </w:r>
            <w:r>
              <w:rPr>
                <w:rFonts w:ascii="Courier New" w:hAnsi="Courier New"/>
                <w:sz w:val="24"/>
              </w:rPr>
              <w:t>расстояние наблюдения, мм)</w:t>
            </w:r>
          </w:p>
        </w:tc>
      </w:tr>
    </w:tbl>
    <w:p w:rsidR="009A45B6" w:rsidRDefault="009A45B6">
      <w:pPr>
        <w:tabs>
          <w:tab w:val="left" w:pos="392"/>
          <w:tab w:val="left" w:pos="5920"/>
          <w:tab w:val="left" w:pos="8897"/>
        </w:tabs>
        <w:ind w:right="-60" w:firstLine="567"/>
        <w:rPr>
          <w:rFonts w:ascii="Courier New" w:hAnsi="Courier New"/>
          <w:sz w:val="24"/>
        </w:rPr>
      </w:pPr>
    </w:p>
    <w:p w:rsidR="009A45B6" w:rsidRDefault="00C93A0A">
      <w:pPr>
        <w:tabs>
          <w:tab w:val="left" w:pos="392"/>
          <w:tab w:val="left" w:pos="5920"/>
          <w:tab w:val="left" w:pos="8897"/>
        </w:tabs>
        <w:ind w:right="282" w:firstLine="567"/>
        <w:jc w:val="both"/>
        <w:rPr>
          <w:rFonts w:ascii="Courier New" w:hAnsi="Courier New"/>
          <w:sz w:val="24"/>
        </w:rPr>
      </w:pPr>
      <w:r>
        <w:rPr>
          <w:rFonts w:ascii="Courier New" w:hAnsi="Courier New"/>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0;text-align:left;margin-left:15.3pt;margin-top:26.8pt;width:287pt;height:111pt;z-index:251657728;mso-position-horizontal:absolute;mso-position-horizontal-relative:text;mso-position-vertical:absolute;mso-position-vertical-relative:text" o:allowincell="f">
            <v:imagedata r:id="rId5" o:title=""/>
            <w10:wrap type="topAndBottom"/>
          </v:shape>
          <o:OLEObject Type="Embed" ProgID="Equation.3" ShapeID="_x0000_s1030" DrawAspect="Content" ObjectID="_1468855160" r:id="rId6"/>
        </w:object>
      </w:r>
      <w:r w:rsidR="002F4714">
        <w:rPr>
          <w:rFonts w:ascii="Courier New" w:hAnsi="Courier New"/>
          <w:i/>
          <w:sz w:val="24"/>
          <w:u w:val="single"/>
        </w:rPr>
        <w:t>Примечание:</w:t>
      </w:r>
      <w:r w:rsidR="002F4714">
        <w:rPr>
          <w:rFonts w:ascii="Courier New" w:hAnsi="Courier New"/>
          <w:sz w:val="24"/>
        </w:rPr>
        <w:t xml:space="preserve"> под неравномерностью яркости понимаются отношения</w:t>
      </w:r>
    </w:p>
    <w:p w:rsidR="009A45B6" w:rsidRDefault="009A45B6">
      <w:pPr>
        <w:tabs>
          <w:tab w:val="left" w:pos="392"/>
          <w:tab w:val="left" w:pos="5920"/>
          <w:tab w:val="left" w:pos="8897"/>
        </w:tabs>
        <w:ind w:right="282" w:firstLine="567"/>
        <w:jc w:val="both"/>
        <w:rPr>
          <w:rFonts w:ascii="Courier New" w:hAnsi="Courier New"/>
          <w:sz w:val="24"/>
        </w:rPr>
      </w:pPr>
    </w:p>
    <w:p w:rsidR="009A45B6" w:rsidRDefault="002F4714">
      <w:pPr>
        <w:tabs>
          <w:tab w:val="left" w:pos="392"/>
          <w:tab w:val="left" w:pos="5920"/>
          <w:tab w:val="left" w:pos="8897"/>
        </w:tabs>
        <w:ind w:right="282" w:firstLine="567"/>
        <w:jc w:val="both"/>
        <w:rPr>
          <w:rFonts w:ascii="Courier New" w:hAnsi="Courier New"/>
          <w:sz w:val="24"/>
        </w:rPr>
      </w:pPr>
      <w:r>
        <w:rPr>
          <w:rFonts w:ascii="Courier New" w:hAnsi="Courier New"/>
          <w:sz w:val="24"/>
          <w:lang w:val="en-US"/>
        </w:rPr>
        <w:t>где n —</w:t>
      </w:r>
      <w:r>
        <w:rPr>
          <w:rFonts w:ascii="Courier New" w:hAnsi="Courier New"/>
          <w:sz w:val="24"/>
        </w:rPr>
        <w:t xml:space="preserve"> число измеренных значений яркости;</w:t>
      </w:r>
    </w:p>
    <w:p w:rsidR="009A45B6" w:rsidRDefault="002F4714">
      <w:pPr>
        <w:tabs>
          <w:tab w:val="left" w:pos="392"/>
          <w:tab w:val="left" w:pos="5920"/>
          <w:tab w:val="left" w:pos="8897"/>
        </w:tabs>
        <w:ind w:right="282" w:firstLine="567"/>
        <w:jc w:val="both"/>
        <w:rPr>
          <w:rFonts w:ascii="Courier New" w:hAnsi="Courier New"/>
          <w:sz w:val="24"/>
        </w:rPr>
      </w:pPr>
      <w:r>
        <w:rPr>
          <w:rFonts w:ascii="Courier New" w:hAnsi="Courier New"/>
          <w:sz w:val="24"/>
        </w:rPr>
        <w:t xml:space="preserve">    </w:t>
      </w:r>
      <w:r>
        <w:rPr>
          <w:rFonts w:ascii="Courier New" w:hAnsi="Courier New"/>
          <w:sz w:val="24"/>
          <w:lang w:val="en-US"/>
        </w:rPr>
        <w:t>L</w:t>
      </w:r>
      <w:r>
        <w:rPr>
          <w:rFonts w:ascii="Courier New" w:hAnsi="Courier New"/>
          <w:sz w:val="24"/>
          <w:vertAlign w:val="subscript"/>
          <w:lang w:val="en-US"/>
        </w:rPr>
        <w:t>max</w:t>
      </w:r>
      <w:r>
        <w:rPr>
          <w:rFonts w:ascii="Courier New" w:hAnsi="Courier New"/>
          <w:sz w:val="24"/>
          <w:lang w:val="en-US"/>
        </w:rPr>
        <w:t xml:space="preserve"> — </w:t>
      </w:r>
      <w:r>
        <w:rPr>
          <w:rFonts w:ascii="Courier New" w:hAnsi="Courier New"/>
          <w:sz w:val="24"/>
        </w:rPr>
        <w:t>максимальное значение яркости;</w:t>
      </w:r>
    </w:p>
    <w:p w:rsidR="009A45B6" w:rsidRDefault="002F4714">
      <w:pPr>
        <w:tabs>
          <w:tab w:val="left" w:pos="392"/>
          <w:tab w:val="left" w:pos="5920"/>
          <w:tab w:val="left" w:pos="8897"/>
        </w:tabs>
        <w:ind w:right="282" w:firstLine="567"/>
        <w:jc w:val="both"/>
        <w:rPr>
          <w:rFonts w:ascii="Courier New" w:hAnsi="Courier New"/>
          <w:sz w:val="24"/>
        </w:rPr>
      </w:pPr>
      <w:r>
        <w:rPr>
          <w:rFonts w:ascii="Courier New" w:hAnsi="Courier New"/>
          <w:sz w:val="24"/>
          <w:lang w:val="en-US"/>
        </w:rPr>
        <w:t xml:space="preserve">    L</w:t>
      </w:r>
      <w:r>
        <w:rPr>
          <w:rFonts w:ascii="Courier New" w:hAnsi="Courier New"/>
          <w:sz w:val="24"/>
          <w:vertAlign w:val="subscript"/>
          <w:lang w:val="en-US"/>
        </w:rPr>
        <w:t>min</w:t>
      </w:r>
      <w:r>
        <w:rPr>
          <w:rFonts w:ascii="Courier New" w:hAnsi="Courier New"/>
          <w:sz w:val="24"/>
          <w:lang w:val="en-US"/>
        </w:rPr>
        <w:t xml:space="preserve"> — </w:t>
      </w:r>
      <w:r>
        <w:rPr>
          <w:rFonts w:ascii="Courier New" w:hAnsi="Courier New"/>
          <w:sz w:val="24"/>
        </w:rPr>
        <w:t>минимальное значение яркости;</w:t>
      </w:r>
    </w:p>
    <w:p w:rsidR="009A45B6" w:rsidRDefault="009A45B6">
      <w:pPr>
        <w:tabs>
          <w:tab w:val="left" w:pos="392"/>
          <w:tab w:val="left" w:pos="5920"/>
          <w:tab w:val="left" w:pos="8897"/>
        </w:tabs>
        <w:ind w:right="282" w:firstLine="567"/>
        <w:jc w:val="both"/>
        <w:rPr>
          <w:rFonts w:ascii="Courier New" w:hAnsi="Courier New"/>
          <w:sz w:val="24"/>
        </w:rPr>
      </w:pPr>
    </w:p>
    <w:p w:rsidR="009A45B6" w:rsidRDefault="002F4714">
      <w:pPr>
        <w:pStyle w:val="a5"/>
        <w:ind w:right="282" w:firstLine="567"/>
        <w:jc w:val="center"/>
        <w:rPr>
          <w:b/>
          <w:i/>
          <w:caps/>
          <w:sz w:val="28"/>
          <w:u w:val="single"/>
        </w:rPr>
      </w:pPr>
      <w:r>
        <w:rPr>
          <w:b/>
          <w:i/>
          <w:caps/>
          <w:sz w:val="28"/>
          <w:u w:val="single"/>
        </w:rPr>
        <w:t>освещенность рабочего помещения</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 xml:space="preserve">Итак, основная нагрузка при работе за компьютером приходится на глаза. Их утомляемость во многом зависит не только от качества изображения на экране, но и от общей освещенности помещения. В то время как для обычных офисов рекомендуется освещенность до 1600 люкс, для рабочих мест, оснащенных видеотерминалами, рекомендуется освещенность 100-500 люкс. Согласно гигиеническим нормам, освещенность на поверхности стола и клавиатуре должна быть не менее 300 люкс, а вертикальная освещенность экрана - всего 100-250 люкс. Исследования физиологов и гигиенистов убедительно доказали, что и полутьма, и слишком высокая освещенность экрана приводят к быстрому зрительному утомлению. </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Размещать компьютер рекомендуется так, чтобы свет (естественный или искусственный) падал сбоку, лучше слева, это избавит вас от мешающих теней и поможет снизить освещенность экрана. В качестве источников освещения рекомендуется применять люминесцентные лампы типа ЛБ со светильниками серии ЛПО36 с зеркализованными решетками. Лампы накаливания лучше использовать для местного освещения зоны рабочего документа (клавиатуры, книги, тетради). Постарайтесь, чтобы люстра в вашей рабочей комнате имела закрытые снизу светильники, так чтобы на экран монитора падал рассеянно-отраженный свет. Это избавит вас от бликов и облегчит зрительную работу. А вот настольная лампа, наоборот, должна иметь плотный, непросвечивающий абажур, направляющий свет прямо в зону рабочего документа.</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Условия внешнего освещения часто влияют на оценку качества цветопередачи и других параметров отображения. Многие производители, такие как Mitsubishi и Panasonic, борются с внешними факторами, уменьшая кривизну экрана, вплоть до создания совершенно плоских экранов. По данным Panasonic, в модели PanaFlat PF70, выпускаемой этой компанией, блики по сравнению с обычными ЭЛТ уменьшены на 87%. Имеется также ряд других средств, позволяющих бороться с внешним светом, - специальные многослойные покрытия и капюшоны, такие как поставляемые с моделями серии Electron компании LaCie.</w:t>
      </w:r>
    </w:p>
    <w:p w:rsidR="009A45B6" w:rsidRDefault="009A45B6">
      <w:pPr>
        <w:pStyle w:val="a5"/>
        <w:ind w:right="282" w:firstLine="567"/>
        <w:jc w:val="both"/>
        <w:rPr>
          <w:sz w:val="24"/>
        </w:rPr>
      </w:pPr>
    </w:p>
    <w:p w:rsidR="009A45B6" w:rsidRDefault="009A45B6">
      <w:pPr>
        <w:pStyle w:val="a5"/>
        <w:ind w:right="282" w:firstLine="567"/>
        <w:jc w:val="both"/>
        <w:rPr>
          <w:sz w:val="24"/>
        </w:rPr>
      </w:pPr>
    </w:p>
    <w:p w:rsidR="009A45B6" w:rsidRDefault="002F4714">
      <w:pPr>
        <w:pStyle w:val="a5"/>
        <w:jc w:val="center"/>
        <w:rPr>
          <w:b/>
          <w:i/>
          <w:caps/>
          <w:sz w:val="28"/>
          <w:u w:val="single"/>
        </w:rPr>
      </w:pPr>
      <w:r>
        <w:rPr>
          <w:b/>
          <w:i/>
          <w:caps/>
          <w:sz w:val="28"/>
          <w:u w:val="single"/>
        </w:rPr>
        <w:t>Излучения и поля</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К числу вредных факторов, с которыми сталкивается человек, работающий за монитором, относятся рентгеновское и электромагнитное излучения, а также электростатическое поле. (Допустимые нормы для этих параметров представлены в таблице 2.)</w:t>
      </w:r>
    </w:p>
    <w:p w:rsidR="009A45B6" w:rsidRDefault="009A45B6">
      <w:pPr>
        <w:pStyle w:val="a5"/>
        <w:ind w:right="282" w:firstLine="567"/>
        <w:jc w:val="both"/>
        <w:rPr>
          <w:sz w:val="24"/>
        </w:rPr>
      </w:pPr>
    </w:p>
    <w:p w:rsidR="009A45B6" w:rsidRDefault="002F4714">
      <w:pPr>
        <w:pStyle w:val="a5"/>
        <w:ind w:right="282" w:firstLine="567"/>
        <w:jc w:val="both"/>
        <w:rPr>
          <w:i/>
          <w:sz w:val="24"/>
        </w:rPr>
      </w:pPr>
      <w:r>
        <w:rPr>
          <w:i/>
          <w:sz w:val="24"/>
        </w:rPr>
        <w:t>Таблица 2.</w:t>
      </w:r>
    </w:p>
    <w:p w:rsidR="009A45B6" w:rsidRDefault="002F4714">
      <w:pPr>
        <w:pStyle w:val="a5"/>
        <w:ind w:right="282" w:firstLine="567"/>
        <w:jc w:val="center"/>
        <w:rPr>
          <w:b/>
          <w:i/>
          <w:sz w:val="28"/>
          <w:u w:val="single"/>
        </w:rPr>
      </w:pPr>
      <w:r>
        <w:rPr>
          <w:b/>
          <w:i/>
          <w:sz w:val="28"/>
          <w:u w:val="single"/>
        </w:rPr>
        <w:t>Допустимые значения параметров излучений, генерируемых видеомониторами.</w:t>
      </w:r>
    </w:p>
    <w:p w:rsidR="009A45B6" w:rsidRDefault="009A45B6">
      <w:pPr>
        <w:pStyle w:val="a5"/>
        <w:ind w:right="282" w:firstLine="567"/>
        <w:jc w:val="both"/>
        <w:rPr>
          <w:sz w:val="24"/>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7"/>
        <w:gridCol w:w="3331"/>
      </w:tblGrid>
      <w:tr w:rsidR="009A45B6">
        <w:tc>
          <w:tcPr>
            <w:tcW w:w="6487" w:type="dxa"/>
          </w:tcPr>
          <w:p w:rsidR="009A45B6" w:rsidRDefault="002F4714">
            <w:pPr>
              <w:pStyle w:val="a5"/>
              <w:ind w:right="282" w:firstLine="567"/>
              <w:jc w:val="both"/>
              <w:rPr>
                <w:sz w:val="24"/>
                <w:lang w:val="en-US"/>
              </w:rPr>
            </w:pPr>
            <w:r>
              <w:rPr>
                <w:sz w:val="24"/>
              </w:rPr>
              <w:t>Параметры</w:t>
            </w:r>
          </w:p>
        </w:tc>
        <w:tc>
          <w:tcPr>
            <w:tcW w:w="3331" w:type="dxa"/>
          </w:tcPr>
          <w:p w:rsidR="009A45B6" w:rsidRDefault="002F4714">
            <w:pPr>
              <w:pStyle w:val="a5"/>
              <w:ind w:right="282" w:firstLine="567"/>
              <w:jc w:val="both"/>
              <w:rPr>
                <w:sz w:val="24"/>
                <w:lang w:val="en-US"/>
              </w:rPr>
            </w:pPr>
            <w:r>
              <w:rPr>
                <w:sz w:val="24"/>
              </w:rPr>
              <w:t>Допустимые значения</w:t>
            </w:r>
          </w:p>
        </w:tc>
      </w:tr>
      <w:tr w:rsidR="009A45B6">
        <w:tc>
          <w:tcPr>
            <w:tcW w:w="6487" w:type="dxa"/>
          </w:tcPr>
          <w:p w:rsidR="009A45B6" w:rsidRDefault="002F4714">
            <w:pPr>
              <w:pStyle w:val="a5"/>
              <w:ind w:right="282" w:firstLine="567"/>
              <w:jc w:val="both"/>
              <w:rPr>
                <w:sz w:val="24"/>
                <w:lang w:val="en-US"/>
              </w:rPr>
            </w:pPr>
            <w:r>
              <w:rPr>
                <w:sz w:val="24"/>
              </w:rPr>
              <w:t xml:space="preserve">Мощность экспозиционной дозы рентгеновского излучения на расстоянии 0,05 м вокруг видеомонитора </w:t>
            </w:r>
          </w:p>
        </w:tc>
        <w:tc>
          <w:tcPr>
            <w:tcW w:w="3331" w:type="dxa"/>
          </w:tcPr>
          <w:p w:rsidR="009A45B6" w:rsidRDefault="002F4714">
            <w:pPr>
              <w:pStyle w:val="a5"/>
              <w:ind w:right="282" w:firstLine="567"/>
              <w:jc w:val="both"/>
              <w:rPr>
                <w:sz w:val="24"/>
                <w:lang w:val="en-US"/>
              </w:rPr>
            </w:pPr>
            <w:r>
              <w:rPr>
                <w:sz w:val="24"/>
              </w:rPr>
              <w:t>100 мкР/час</w:t>
            </w:r>
          </w:p>
        </w:tc>
      </w:tr>
      <w:tr w:rsidR="009A45B6">
        <w:tc>
          <w:tcPr>
            <w:tcW w:w="6487" w:type="dxa"/>
          </w:tcPr>
          <w:p w:rsidR="009A45B6" w:rsidRDefault="002F4714">
            <w:pPr>
              <w:pStyle w:val="a5"/>
              <w:ind w:right="282" w:firstLine="567"/>
              <w:jc w:val="both"/>
              <w:rPr>
                <w:sz w:val="24"/>
                <w:lang w:val="en-US"/>
              </w:rPr>
            </w:pPr>
            <w:r>
              <w:rPr>
                <w:sz w:val="24"/>
              </w:rPr>
              <w:t xml:space="preserve">Электромагнитное излучение на расстоянии 0,5 м вокруг видеомонитора </w:t>
            </w:r>
          </w:p>
          <w:p w:rsidR="009A45B6" w:rsidRDefault="002F4714">
            <w:pPr>
              <w:pStyle w:val="a5"/>
              <w:ind w:right="282" w:firstLine="567"/>
              <w:jc w:val="both"/>
              <w:rPr>
                <w:sz w:val="24"/>
                <w:lang w:val="en-US"/>
              </w:rPr>
            </w:pPr>
            <w:r>
              <w:rPr>
                <w:sz w:val="24"/>
              </w:rPr>
              <w:t xml:space="preserve">по электрической составляющей:  </w:t>
            </w:r>
          </w:p>
          <w:p w:rsidR="009A45B6" w:rsidRDefault="002F4714">
            <w:pPr>
              <w:pStyle w:val="a5"/>
              <w:ind w:right="282" w:firstLine="567"/>
              <w:jc w:val="both"/>
              <w:rPr>
                <w:sz w:val="24"/>
                <w:lang w:val="en-US"/>
              </w:rPr>
            </w:pPr>
            <w:r>
              <w:rPr>
                <w:sz w:val="24"/>
              </w:rPr>
              <w:t xml:space="preserve">в диапазоне 5 Гц-2 кГц </w:t>
            </w:r>
          </w:p>
        </w:tc>
        <w:tc>
          <w:tcPr>
            <w:tcW w:w="3331" w:type="dxa"/>
          </w:tcPr>
          <w:p w:rsidR="009A45B6" w:rsidRDefault="009A45B6">
            <w:pPr>
              <w:pStyle w:val="a5"/>
              <w:ind w:right="282" w:firstLine="567"/>
              <w:jc w:val="both"/>
              <w:rPr>
                <w:sz w:val="24"/>
                <w:lang w:val="en-US"/>
              </w:rPr>
            </w:pPr>
          </w:p>
          <w:p w:rsidR="009A45B6" w:rsidRDefault="009A45B6">
            <w:pPr>
              <w:pStyle w:val="a5"/>
              <w:ind w:right="282" w:firstLine="567"/>
              <w:jc w:val="both"/>
              <w:rPr>
                <w:sz w:val="24"/>
                <w:lang w:val="en-US"/>
              </w:rPr>
            </w:pPr>
          </w:p>
          <w:p w:rsidR="009A45B6" w:rsidRDefault="009A45B6">
            <w:pPr>
              <w:pStyle w:val="a5"/>
              <w:ind w:right="282" w:firstLine="567"/>
              <w:jc w:val="both"/>
              <w:rPr>
                <w:sz w:val="24"/>
                <w:lang w:val="en-US"/>
              </w:rPr>
            </w:pPr>
          </w:p>
          <w:p w:rsidR="009A45B6" w:rsidRDefault="002F4714">
            <w:pPr>
              <w:pStyle w:val="a5"/>
              <w:ind w:right="282" w:firstLine="567"/>
              <w:jc w:val="both"/>
              <w:rPr>
                <w:sz w:val="24"/>
                <w:lang w:val="en-US"/>
              </w:rPr>
            </w:pPr>
            <w:r>
              <w:rPr>
                <w:sz w:val="24"/>
              </w:rPr>
              <w:t>25 В/м</w:t>
            </w:r>
          </w:p>
        </w:tc>
      </w:tr>
      <w:tr w:rsidR="009A45B6">
        <w:tc>
          <w:tcPr>
            <w:tcW w:w="6487" w:type="dxa"/>
          </w:tcPr>
          <w:p w:rsidR="009A45B6" w:rsidRDefault="002F4714">
            <w:pPr>
              <w:pStyle w:val="a5"/>
              <w:ind w:right="282" w:firstLine="567"/>
              <w:jc w:val="both"/>
              <w:rPr>
                <w:sz w:val="24"/>
                <w:lang w:val="en-US"/>
              </w:rPr>
            </w:pPr>
            <w:r>
              <w:rPr>
                <w:sz w:val="24"/>
              </w:rPr>
              <w:t>в диапазоне 2-400 кГц</w:t>
            </w:r>
          </w:p>
        </w:tc>
        <w:tc>
          <w:tcPr>
            <w:tcW w:w="3331" w:type="dxa"/>
          </w:tcPr>
          <w:p w:rsidR="009A45B6" w:rsidRDefault="002F4714">
            <w:pPr>
              <w:pStyle w:val="a5"/>
              <w:ind w:right="282" w:firstLine="567"/>
              <w:jc w:val="both"/>
              <w:rPr>
                <w:sz w:val="24"/>
                <w:lang w:val="en-US"/>
              </w:rPr>
            </w:pPr>
            <w:r>
              <w:rPr>
                <w:sz w:val="24"/>
              </w:rPr>
              <w:t>2,5 В/м</w:t>
            </w:r>
          </w:p>
        </w:tc>
      </w:tr>
      <w:tr w:rsidR="009A45B6">
        <w:tc>
          <w:tcPr>
            <w:tcW w:w="6487" w:type="dxa"/>
          </w:tcPr>
          <w:p w:rsidR="009A45B6" w:rsidRDefault="002F4714">
            <w:pPr>
              <w:pStyle w:val="a5"/>
              <w:ind w:right="282" w:firstLine="567"/>
              <w:jc w:val="both"/>
              <w:rPr>
                <w:sz w:val="24"/>
                <w:lang w:val="en-US"/>
              </w:rPr>
            </w:pPr>
            <w:r>
              <w:rPr>
                <w:sz w:val="24"/>
              </w:rPr>
              <w:t xml:space="preserve">по магнитной составляющей: </w:t>
            </w:r>
          </w:p>
          <w:p w:rsidR="009A45B6" w:rsidRDefault="002F4714">
            <w:pPr>
              <w:pStyle w:val="a5"/>
              <w:ind w:right="282" w:firstLine="567"/>
              <w:jc w:val="both"/>
              <w:rPr>
                <w:sz w:val="24"/>
                <w:lang w:val="en-US"/>
              </w:rPr>
            </w:pPr>
            <w:r>
              <w:rPr>
                <w:sz w:val="24"/>
              </w:rPr>
              <w:t xml:space="preserve">в диапазоне 5 Гц-2 кГц </w:t>
            </w:r>
          </w:p>
        </w:tc>
        <w:tc>
          <w:tcPr>
            <w:tcW w:w="3331" w:type="dxa"/>
          </w:tcPr>
          <w:p w:rsidR="009A45B6" w:rsidRDefault="002F4714">
            <w:pPr>
              <w:pStyle w:val="a5"/>
              <w:ind w:right="282" w:firstLine="567"/>
              <w:jc w:val="both"/>
              <w:rPr>
                <w:sz w:val="24"/>
                <w:lang w:val="en-US"/>
              </w:rPr>
            </w:pPr>
            <w:r>
              <w:rPr>
                <w:sz w:val="24"/>
              </w:rPr>
              <w:t>250 нТл</w:t>
            </w:r>
          </w:p>
        </w:tc>
      </w:tr>
      <w:tr w:rsidR="009A45B6">
        <w:tc>
          <w:tcPr>
            <w:tcW w:w="6487" w:type="dxa"/>
          </w:tcPr>
          <w:p w:rsidR="009A45B6" w:rsidRDefault="002F4714">
            <w:pPr>
              <w:pStyle w:val="a5"/>
              <w:ind w:right="282" w:firstLine="567"/>
              <w:jc w:val="both"/>
              <w:rPr>
                <w:sz w:val="24"/>
                <w:lang w:val="en-US"/>
              </w:rPr>
            </w:pPr>
            <w:r>
              <w:rPr>
                <w:sz w:val="24"/>
              </w:rPr>
              <w:t xml:space="preserve">в диапазоне 2-400 кГц  </w:t>
            </w:r>
          </w:p>
        </w:tc>
        <w:tc>
          <w:tcPr>
            <w:tcW w:w="3331" w:type="dxa"/>
          </w:tcPr>
          <w:p w:rsidR="009A45B6" w:rsidRDefault="002F4714">
            <w:pPr>
              <w:pStyle w:val="a5"/>
              <w:ind w:right="282" w:firstLine="567"/>
              <w:jc w:val="both"/>
              <w:rPr>
                <w:sz w:val="24"/>
                <w:lang w:val="en-US"/>
              </w:rPr>
            </w:pPr>
            <w:r>
              <w:rPr>
                <w:sz w:val="24"/>
              </w:rPr>
              <w:t>25 нТл</w:t>
            </w:r>
          </w:p>
        </w:tc>
      </w:tr>
      <w:tr w:rsidR="009A45B6">
        <w:tc>
          <w:tcPr>
            <w:tcW w:w="6487" w:type="dxa"/>
          </w:tcPr>
          <w:p w:rsidR="009A45B6" w:rsidRDefault="002F4714">
            <w:pPr>
              <w:pStyle w:val="a5"/>
              <w:ind w:right="282" w:firstLine="567"/>
              <w:jc w:val="both"/>
              <w:rPr>
                <w:sz w:val="24"/>
                <w:lang w:val="en-US"/>
              </w:rPr>
            </w:pPr>
            <w:r>
              <w:rPr>
                <w:sz w:val="24"/>
              </w:rPr>
              <w:t xml:space="preserve">Поверхностный электростатический потенциал </w:t>
            </w:r>
          </w:p>
        </w:tc>
        <w:tc>
          <w:tcPr>
            <w:tcW w:w="3331" w:type="dxa"/>
          </w:tcPr>
          <w:p w:rsidR="009A45B6" w:rsidRDefault="002F4714">
            <w:pPr>
              <w:pStyle w:val="a5"/>
              <w:ind w:right="282" w:firstLine="567"/>
              <w:jc w:val="both"/>
              <w:rPr>
                <w:sz w:val="24"/>
                <w:lang w:val="en-US"/>
              </w:rPr>
            </w:pPr>
            <w:r>
              <w:rPr>
                <w:sz w:val="24"/>
              </w:rPr>
              <w:t>Не более 500 В</w:t>
            </w:r>
          </w:p>
        </w:tc>
      </w:tr>
    </w:tbl>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Благодаря существующим достаточно строгим стандартам дозы рентгеновского излучения от современных видеомониторов не опасны для большинства пользователей. Исключение составляют люди с повышенной чувствительностью к нему (в частности, рентгеновские излучения от монитора опасны для беременных женщин, поскольку могут оказать неблагоприятное воздействие на плод на ранних стадиях развития).</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Специалисты не пришли к однозначному выводу относительно воздействия электромагнитного излучения на организм человека, однако совершенно очевидно, что уровни излучения, фиксируемые вблизи монитора (таблица 2), опасности не представляют.</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 xml:space="preserve">При работе монитора возникает и электростатическое поле. Уровни его напряженности невелики и не оказывают существенного воздействия на организм человека в отличие от более высоких уровней электростатического поля, характерных для промышленных условий. Более значимой для пользователей является способность заряженных микрочастиц адсорбировать пылинки, тем самым препятствуя их оседанию и повышая дополнительный риск аллергических заболеваний кожи, глаз, верхних дыхательных путей. </w:t>
      </w:r>
    </w:p>
    <w:p w:rsidR="009A45B6" w:rsidRDefault="009A45B6">
      <w:pPr>
        <w:pStyle w:val="a5"/>
        <w:ind w:right="282" w:firstLine="567"/>
        <w:jc w:val="both"/>
        <w:rPr>
          <w:sz w:val="24"/>
        </w:rPr>
      </w:pPr>
    </w:p>
    <w:p w:rsidR="009A45B6" w:rsidRDefault="009A45B6">
      <w:pPr>
        <w:tabs>
          <w:tab w:val="left" w:pos="392"/>
          <w:tab w:val="left" w:pos="5920"/>
          <w:tab w:val="left" w:pos="8897"/>
        </w:tabs>
        <w:ind w:right="282" w:firstLine="567"/>
        <w:jc w:val="both"/>
        <w:rPr>
          <w:rFonts w:ascii="Courier New" w:hAnsi="Courier New"/>
          <w:sz w:val="24"/>
          <w:lang w:val="en-US"/>
        </w:rPr>
      </w:pPr>
    </w:p>
    <w:p w:rsidR="009A45B6" w:rsidRDefault="009A45B6">
      <w:pPr>
        <w:tabs>
          <w:tab w:val="left" w:pos="392"/>
          <w:tab w:val="left" w:pos="5920"/>
          <w:tab w:val="left" w:pos="8897"/>
        </w:tabs>
        <w:ind w:right="282" w:firstLine="567"/>
        <w:jc w:val="both"/>
        <w:rPr>
          <w:rFonts w:ascii="Courier New" w:hAnsi="Courier New"/>
          <w:sz w:val="24"/>
        </w:rPr>
      </w:pPr>
    </w:p>
    <w:p w:rsidR="009A45B6" w:rsidRDefault="002F4714">
      <w:pPr>
        <w:pStyle w:val="a5"/>
        <w:ind w:right="282" w:firstLine="567"/>
        <w:jc w:val="center"/>
        <w:rPr>
          <w:b/>
          <w:i/>
          <w:caps/>
          <w:sz w:val="28"/>
          <w:u w:val="single"/>
        </w:rPr>
      </w:pPr>
      <w:r>
        <w:rPr>
          <w:sz w:val="24"/>
        </w:rPr>
        <w:cr/>
      </w:r>
      <w:r>
        <w:rPr>
          <w:b/>
          <w:i/>
          <w:caps/>
          <w:sz w:val="28"/>
          <w:u w:val="single"/>
        </w:rPr>
        <w:t>Стандарты на мониторы</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Выделяют две основные группы стандартов и рекомендаций - по безопасности и эргономике.</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К первой группе относятся стандарты UL, CSA, DHHS, CE, скандинавские SEMRO, DEMKO, NEMKO и FIMKO, а также FCC Class B. Из второй группы наиболее известны MPR-II, TCO "92 и TCO"95, ISO 9241-3, EPA Energy Star, TUV Ergonomie.</w:t>
      </w:r>
    </w:p>
    <w:p w:rsidR="009A45B6" w:rsidRDefault="009A45B6">
      <w:pPr>
        <w:pStyle w:val="a5"/>
        <w:ind w:right="282" w:firstLine="567"/>
        <w:jc w:val="both"/>
        <w:rPr>
          <w:sz w:val="24"/>
        </w:rPr>
      </w:pPr>
    </w:p>
    <w:p w:rsidR="009A45B6" w:rsidRDefault="002F4714">
      <w:pPr>
        <w:pStyle w:val="a5"/>
        <w:ind w:right="282" w:firstLine="567"/>
        <w:jc w:val="both"/>
        <w:rPr>
          <w:sz w:val="24"/>
        </w:rPr>
      </w:pPr>
      <w:r>
        <w:rPr>
          <w:b/>
          <w:i/>
          <w:sz w:val="24"/>
        </w:rPr>
        <w:t>FCC Class B</w:t>
      </w:r>
      <w:r>
        <w:rPr>
          <w:sz w:val="24"/>
        </w:rPr>
        <w:t>. Этот стандарт разработан канадской Федеральной комиссией по коммуникациям для обеспечения приемлемой защиты окружающей среды от влияния радиопомех в замкнутом пространстве. Оборудование, соответствующее требованиям FCC Class B, не должно мешать работе теле- и радиоаппаратуры.</w:t>
      </w:r>
    </w:p>
    <w:p w:rsidR="009A45B6" w:rsidRDefault="009A45B6">
      <w:pPr>
        <w:pStyle w:val="a5"/>
        <w:ind w:right="282" w:firstLine="567"/>
        <w:jc w:val="both"/>
        <w:rPr>
          <w:sz w:val="24"/>
        </w:rPr>
      </w:pPr>
    </w:p>
    <w:p w:rsidR="009A45B6" w:rsidRDefault="002F4714">
      <w:pPr>
        <w:pStyle w:val="a5"/>
        <w:ind w:right="282" w:firstLine="567"/>
        <w:jc w:val="both"/>
        <w:rPr>
          <w:sz w:val="24"/>
        </w:rPr>
      </w:pPr>
      <w:r>
        <w:rPr>
          <w:b/>
          <w:i/>
          <w:sz w:val="24"/>
        </w:rPr>
        <w:t>MPR-II</w:t>
      </w:r>
      <w:r>
        <w:rPr>
          <w:sz w:val="24"/>
        </w:rPr>
        <w:t>. Этот стандарт был выпущен в 1990 г. Шведским национальным департаментом стандартов и утвержден ЕЭС. MPR-II налагает ограничения на излучения от компьютерных мониторов и промышленной техники, используемой в офисе.</w:t>
      </w:r>
    </w:p>
    <w:p w:rsidR="009A45B6" w:rsidRDefault="009A45B6">
      <w:pPr>
        <w:pStyle w:val="a5"/>
        <w:ind w:right="282" w:firstLine="567"/>
        <w:jc w:val="both"/>
        <w:rPr>
          <w:sz w:val="24"/>
        </w:rPr>
      </w:pPr>
    </w:p>
    <w:p w:rsidR="009A45B6" w:rsidRDefault="002F4714">
      <w:pPr>
        <w:pStyle w:val="a5"/>
        <w:ind w:right="282" w:firstLine="567"/>
        <w:jc w:val="both"/>
        <w:rPr>
          <w:sz w:val="24"/>
        </w:rPr>
      </w:pPr>
      <w:r>
        <w:rPr>
          <w:b/>
          <w:i/>
          <w:sz w:val="24"/>
        </w:rPr>
        <w:t>ТСО "92</w:t>
      </w:r>
      <w:r>
        <w:rPr>
          <w:sz w:val="24"/>
        </w:rPr>
        <w:t>. Рекомендация, разработанная Шведской конфедерацией профсоюзов и Национальным советом индустриального и технического развития Швеции (NUTEK), регламентирует взаимодействие с окружающей средой. Она требует уменьшения электрического и магнитного полей до технически возможного уровня с целью защиты пользователя. Для того чтобы получить сертификат ТСО "92, монитор должен отвечать стандартам низкого излучения (Low Radiation), т. е. иметь низкий уровень электромагнитного поля, обеспечивать автоматическое снижение энергопотребления при долгом неиспользовании, отвечать европейским стандартам пожарной и электрической безопасности. Как видно из таблицы 3, требования TCO "92 являются гораздо более жесткими, чем требования MPR-II.</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В 1995 г. требования ТСО были ужесточены. Заметим, что в Европе уже невозможно продать монитор, не имеющий соответствия ТСО "92, хотя подобное удовольствие обходится покупателям недешево - около 90 долл. дополнительно.</w:t>
      </w:r>
    </w:p>
    <w:p w:rsidR="009A45B6" w:rsidRDefault="009A45B6">
      <w:pPr>
        <w:pStyle w:val="a5"/>
        <w:ind w:right="282" w:firstLine="567"/>
        <w:jc w:val="both"/>
        <w:rPr>
          <w:sz w:val="24"/>
        </w:rPr>
      </w:pPr>
    </w:p>
    <w:p w:rsidR="009A45B6" w:rsidRDefault="009A45B6">
      <w:pPr>
        <w:pStyle w:val="a5"/>
        <w:ind w:firstLine="567"/>
        <w:rPr>
          <w:i/>
          <w:sz w:val="24"/>
        </w:rPr>
      </w:pPr>
    </w:p>
    <w:p w:rsidR="009A45B6" w:rsidRDefault="002F4714">
      <w:pPr>
        <w:pStyle w:val="a5"/>
        <w:ind w:firstLine="567"/>
        <w:rPr>
          <w:i/>
          <w:sz w:val="24"/>
        </w:rPr>
      </w:pPr>
      <w:r>
        <w:rPr>
          <w:i/>
          <w:sz w:val="24"/>
        </w:rPr>
        <w:t>Таблица 3</w:t>
      </w:r>
    </w:p>
    <w:p w:rsidR="009A45B6" w:rsidRDefault="009A45B6">
      <w:pPr>
        <w:pStyle w:val="a5"/>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9"/>
        <w:gridCol w:w="3272"/>
        <w:gridCol w:w="3272"/>
      </w:tblGrid>
      <w:tr w:rsidR="009A45B6">
        <w:trPr>
          <w:trHeight w:val="501"/>
        </w:trPr>
        <w:tc>
          <w:tcPr>
            <w:tcW w:w="3369" w:type="dxa"/>
          </w:tcPr>
          <w:p w:rsidR="009A45B6" w:rsidRDefault="002F4714">
            <w:pPr>
              <w:pStyle w:val="a5"/>
              <w:rPr>
                <w:b/>
                <w:i/>
                <w:sz w:val="24"/>
              </w:rPr>
            </w:pPr>
            <w:r>
              <w:rPr>
                <w:b/>
                <w:i/>
                <w:sz w:val="24"/>
              </w:rPr>
              <w:t>Диапазон частот</w:t>
            </w:r>
          </w:p>
        </w:tc>
        <w:tc>
          <w:tcPr>
            <w:tcW w:w="3272" w:type="dxa"/>
          </w:tcPr>
          <w:p w:rsidR="009A45B6" w:rsidRDefault="002F4714">
            <w:pPr>
              <w:pStyle w:val="a5"/>
              <w:jc w:val="center"/>
              <w:rPr>
                <w:b/>
                <w:i/>
                <w:sz w:val="24"/>
                <w:lang w:val="en-US"/>
              </w:rPr>
            </w:pPr>
            <w:r>
              <w:rPr>
                <w:b/>
                <w:i/>
                <w:sz w:val="24"/>
              </w:rPr>
              <w:t>Требования MPR-II (расстояние 0,5 м)</w:t>
            </w:r>
          </w:p>
        </w:tc>
        <w:tc>
          <w:tcPr>
            <w:tcW w:w="3272" w:type="dxa"/>
          </w:tcPr>
          <w:p w:rsidR="009A45B6" w:rsidRDefault="002F4714">
            <w:pPr>
              <w:pStyle w:val="a5"/>
              <w:jc w:val="center"/>
              <w:rPr>
                <w:b/>
                <w:i/>
                <w:sz w:val="24"/>
                <w:lang w:val="en-US"/>
              </w:rPr>
            </w:pPr>
            <w:r>
              <w:rPr>
                <w:b/>
                <w:i/>
                <w:sz w:val="24"/>
              </w:rPr>
              <w:t>Требования TCO "92 (расстояние 0,5 м)</w:t>
            </w:r>
          </w:p>
        </w:tc>
      </w:tr>
      <w:tr w:rsidR="009A45B6">
        <w:trPr>
          <w:cantSplit/>
          <w:trHeight w:val="411"/>
        </w:trPr>
        <w:tc>
          <w:tcPr>
            <w:tcW w:w="3369" w:type="dxa"/>
            <w:tcBorders>
              <w:bottom w:val="nil"/>
            </w:tcBorders>
          </w:tcPr>
          <w:p w:rsidR="009A45B6" w:rsidRDefault="002F4714">
            <w:pPr>
              <w:pStyle w:val="a5"/>
              <w:rPr>
                <w:i/>
                <w:sz w:val="24"/>
                <w:lang w:val="en-US"/>
              </w:rPr>
            </w:pPr>
            <w:r>
              <w:rPr>
                <w:i/>
                <w:sz w:val="24"/>
              </w:rPr>
              <w:t>Электрическое поле</w:t>
            </w:r>
          </w:p>
          <w:p w:rsidR="009A45B6" w:rsidRDefault="002F4714">
            <w:pPr>
              <w:pStyle w:val="a5"/>
              <w:rPr>
                <w:sz w:val="24"/>
                <w:lang w:val="en-US"/>
              </w:rPr>
            </w:pPr>
            <w:r>
              <w:rPr>
                <w:b/>
                <w:i/>
                <w:sz w:val="24"/>
                <w:lang w:val="en-US"/>
              </w:rPr>
              <w:t xml:space="preserve"> </w:t>
            </w:r>
            <w:r>
              <w:rPr>
                <w:b/>
                <w:i/>
                <w:sz w:val="24"/>
              </w:rPr>
              <w:t xml:space="preserve"> </w:t>
            </w:r>
          </w:p>
          <w:p w:rsidR="009A45B6" w:rsidRDefault="002F4714">
            <w:pPr>
              <w:pStyle w:val="a5"/>
              <w:rPr>
                <w:sz w:val="24"/>
                <w:lang w:val="en-US"/>
              </w:rPr>
            </w:pPr>
            <w:r>
              <w:rPr>
                <w:sz w:val="24"/>
              </w:rPr>
              <w:t>Сверхнизкие (5 Гц - 2 кГц)</w:t>
            </w:r>
          </w:p>
        </w:tc>
        <w:tc>
          <w:tcPr>
            <w:tcW w:w="3272" w:type="dxa"/>
            <w:tcBorders>
              <w:bottom w:val="nil"/>
            </w:tcBorders>
          </w:tcPr>
          <w:p w:rsidR="009A45B6" w:rsidRDefault="009A45B6">
            <w:pPr>
              <w:pStyle w:val="a5"/>
              <w:jc w:val="center"/>
              <w:rPr>
                <w:sz w:val="24"/>
                <w:lang w:val="en-US"/>
              </w:rPr>
            </w:pPr>
          </w:p>
          <w:p w:rsidR="009A45B6" w:rsidRDefault="009A45B6">
            <w:pPr>
              <w:pStyle w:val="a5"/>
              <w:jc w:val="center"/>
              <w:rPr>
                <w:sz w:val="24"/>
                <w:lang w:val="en-US"/>
              </w:rPr>
            </w:pPr>
          </w:p>
          <w:p w:rsidR="009A45B6" w:rsidRDefault="002F4714">
            <w:pPr>
              <w:pStyle w:val="a5"/>
              <w:jc w:val="center"/>
              <w:rPr>
                <w:sz w:val="24"/>
                <w:lang w:val="en-US"/>
              </w:rPr>
            </w:pPr>
            <w:r>
              <w:rPr>
                <w:sz w:val="24"/>
              </w:rPr>
              <w:t>25,5 В/м</w:t>
            </w:r>
          </w:p>
        </w:tc>
        <w:tc>
          <w:tcPr>
            <w:tcW w:w="3272" w:type="dxa"/>
            <w:tcBorders>
              <w:bottom w:val="nil"/>
            </w:tcBorders>
          </w:tcPr>
          <w:p w:rsidR="009A45B6" w:rsidRDefault="009A45B6">
            <w:pPr>
              <w:pStyle w:val="a5"/>
              <w:jc w:val="center"/>
              <w:rPr>
                <w:sz w:val="24"/>
                <w:lang w:val="en-US"/>
              </w:rPr>
            </w:pPr>
          </w:p>
          <w:p w:rsidR="009A45B6" w:rsidRDefault="009A45B6">
            <w:pPr>
              <w:pStyle w:val="a5"/>
              <w:jc w:val="center"/>
              <w:rPr>
                <w:sz w:val="24"/>
                <w:lang w:val="en-US"/>
              </w:rPr>
            </w:pPr>
          </w:p>
          <w:p w:rsidR="009A45B6" w:rsidRDefault="002F4714">
            <w:pPr>
              <w:pStyle w:val="a5"/>
              <w:jc w:val="center"/>
              <w:rPr>
                <w:sz w:val="24"/>
                <w:lang w:val="en-US"/>
              </w:rPr>
            </w:pPr>
            <w:r>
              <w:rPr>
                <w:sz w:val="24"/>
              </w:rPr>
              <w:t>10 В/м</w:t>
            </w:r>
          </w:p>
        </w:tc>
      </w:tr>
      <w:tr w:rsidR="009A45B6">
        <w:trPr>
          <w:cantSplit/>
          <w:trHeight w:val="575"/>
        </w:trPr>
        <w:tc>
          <w:tcPr>
            <w:tcW w:w="3369" w:type="dxa"/>
            <w:tcBorders>
              <w:bottom w:val="single" w:sz="18" w:space="0" w:color="auto"/>
            </w:tcBorders>
          </w:tcPr>
          <w:p w:rsidR="009A45B6" w:rsidRDefault="002F4714">
            <w:pPr>
              <w:pStyle w:val="a5"/>
              <w:rPr>
                <w:sz w:val="24"/>
              </w:rPr>
            </w:pPr>
            <w:r>
              <w:rPr>
                <w:sz w:val="24"/>
              </w:rPr>
              <w:t>Низкие (2 кГц - 400 кГц)</w:t>
            </w:r>
          </w:p>
        </w:tc>
        <w:tc>
          <w:tcPr>
            <w:tcW w:w="3272" w:type="dxa"/>
            <w:tcBorders>
              <w:bottom w:val="single" w:sz="18" w:space="0" w:color="auto"/>
            </w:tcBorders>
          </w:tcPr>
          <w:p w:rsidR="009A45B6" w:rsidRDefault="002F4714">
            <w:pPr>
              <w:pStyle w:val="a5"/>
              <w:jc w:val="center"/>
              <w:rPr>
                <w:sz w:val="24"/>
              </w:rPr>
            </w:pPr>
            <w:r>
              <w:rPr>
                <w:sz w:val="24"/>
              </w:rPr>
              <w:t>2,5 В/м</w:t>
            </w:r>
          </w:p>
        </w:tc>
        <w:tc>
          <w:tcPr>
            <w:tcW w:w="3272" w:type="dxa"/>
            <w:tcBorders>
              <w:bottom w:val="single" w:sz="18" w:space="0" w:color="auto"/>
            </w:tcBorders>
          </w:tcPr>
          <w:p w:rsidR="009A45B6" w:rsidRDefault="002F4714">
            <w:pPr>
              <w:pStyle w:val="a5"/>
              <w:jc w:val="center"/>
              <w:rPr>
                <w:sz w:val="24"/>
                <w:lang w:val="en-US"/>
              </w:rPr>
            </w:pPr>
            <w:r>
              <w:rPr>
                <w:sz w:val="24"/>
              </w:rPr>
              <w:t>1 В/м</w:t>
            </w:r>
          </w:p>
        </w:tc>
      </w:tr>
      <w:tr w:rsidR="009A45B6">
        <w:trPr>
          <w:cantSplit/>
          <w:trHeight w:val="233"/>
        </w:trPr>
        <w:tc>
          <w:tcPr>
            <w:tcW w:w="3369" w:type="dxa"/>
            <w:tcBorders>
              <w:top w:val="nil"/>
              <w:bottom w:val="single" w:sz="4" w:space="0" w:color="auto"/>
            </w:tcBorders>
          </w:tcPr>
          <w:p w:rsidR="009A45B6" w:rsidRDefault="002F4714">
            <w:pPr>
              <w:pStyle w:val="a5"/>
              <w:rPr>
                <w:i/>
                <w:sz w:val="24"/>
                <w:lang w:val="en-US"/>
              </w:rPr>
            </w:pPr>
            <w:r>
              <w:rPr>
                <w:i/>
                <w:sz w:val="24"/>
              </w:rPr>
              <w:t xml:space="preserve">Магнитное поле </w:t>
            </w:r>
          </w:p>
          <w:p w:rsidR="009A45B6" w:rsidRDefault="009A45B6">
            <w:pPr>
              <w:pStyle w:val="a5"/>
              <w:rPr>
                <w:sz w:val="24"/>
                <w:lang w:val="en-US"/>
              </w:rPr>
            </w:pPr>
          </w:p>
          <w:p w:rsidR="009A45B6" w:rsidRDefault="002F4714">
            <w:pPr>
              <w:pStyle w:val="a5"/>
              <w:rPr>
                <w:sz w:val="24"/>
              </w:rPr>
            </w:pPr>
            <w:r>
              <w:rPr>
                <w:sz w:val="24"/>
              </w:rPr>
              <w:t>Сверхнизкие (5 Гц - 2 кГц)</w:t>
            </w:r>
          </w:p>
        </w:tc>
        <w:tc>
          <w:tcPr>
            <w:tcW w:w="3272" w:type="dxa"/>
            <w:tcBorders>
              <w:top w:val="nil"/>
              <w:bottom w:val="single" w:sz="4" w:space="0" w:color="auto"/>
            </w:tcBorders>
          </w:tcPr>
          <w:p w:rsidR="009A45B6" w:rsidRDefault="009A45B6">
            <w:pPr>
              <w:pStyle w:val="a5"/>
              <w:jc w:val="center"/>
              <w:rPr>
                <w:sz w:val="24"/>
                <w:lang w:val="en-US"/>
              </w:rPr>
            </w:pPr>
          </w:p>
          <w:p w:rsidR="009A45B6" w:rsidRDefault="009A45B6">
            <w:pPr>
              <w:pStyle w:val="a5"/>
              <w:jc w:val="center"/>
              <w:rPr>
                <w:sz w:val="24"/>
                <w:lang w:val="en-US"/>
              </w:rPr>
            </w:pPr>
          </w:p>
          <w:p w:rsidR="009A45B6" w:rsidRDefault="002F4714">
            <w:pPr>
              <w:pStyle w:val="a5"/>
              <w:jc w:val="center"/>
              <w:rPr>
                <w:sz w:val="24"/>
              </w:rPr>
            </w:pPr>
            <w:r>
              <w:rPr>
                <w:sz w:val="24"/>
              </w:rPr>
              <w:t>250 нТл</w:t>
            </w:r>
          </w:p>
        </w:tc>
        <w:tc>
          <w:tcPr>
            <w:tcW w:w="3272" w:type="dxa"/>
            <w:tcBorders>
              <w:top w:val="nil"/>
              <w:bottom w:val="single" w:sz="4" w:space="0" w:color="auto"/>
            </w:tcBorders>
          </w:tcPr>
          <w:p w:rsidR="009A45B6" w:rsidRDefault="009A45B6">
            <w:pPr>
              <w:pStyle w:val="a5"/>
              <w:jc w:val="center"/>
              <w:rPr>
                <w:sz w:val="24"/>
                <w:lang w:val="en-US"/>
              </w:rPr>
            </w:pPr>
          </w:p>
          <w:p w:rsidR="009A45B6" w:rsidRDefault="009A45B6">
            <w:pPr>
              <w:pStyle w:val="a5"/>
              <w:jc w:val="center"/>
              <w:rPr>
                <w:sz w:val="24"/>
                <w:lang w:val="en-US"/>
              </w:rPr>
            </w:pPr>
          </w:p>
          <w:p w:rsidR="009A45B6" w:rsidRDefault="002F4714">
            <w:pPr>
              <w:pStyle w:val="a5"/>
              <w:jc w:val="center"/>
              <w:rPr>
                <w:sz w:val="24"/>
              </w:rPr>
            </w:pPr>
            <w:r>
              <w:rPr>
                <w:sz w:val="24"/>
              </w:rPr>
              <w:t>200 нТл</w:t>
            </w:r>
          </w:p>
        </w:tc>
      </w:tr>
      <w:tr w:rsidR="009A45B6">
        <w:trPr>
          <w:trHeight w:val="284"/>
        </w:trPr>
        <w:tc>
          <w:tcPr>
            <w:tcW w:w="3369" w:type="dxa"/>
          </w:tcPr>
          <w:p w:rsidR="009A45B6" w:rsidRDefault="002F4714">
            <w:pPr>
              <w:pStyle w:val="a5"/>
              <w:rPr>
                <w:sz w:val="24"/>
                <w:lang w:val="en-US"/>
              </w:rPr>
            </w:pPr>
            <w:r>
              <w:rPr>
                <w:sz w:val="24"/>
              </w:rPr>
              <w:t>Низкие (2 кГц - 400 кГц)</w:t>
            </w:r>
          </w:p>
        </w:tc>
        <w:tc>
          <w:tcPr>
            <w:tcW w:w="3272" w:type="dxa"/>
          </w:tcPr>
          <w:p w:rsidR="009A45B6" w:rsidRDefault="002F4714">
            <w:pPr>
              <w:pStyle w:val="a5"/>
              <w:jc w:val="center"/>
              <w:rPr>
                <w:sz w:val="24"/>
                <w:lang w:val="en-US"/>
              </w:rPr>
            </w:pPr>
            <w:r>
              <w:rPr>
                <w:sz w:val="24"/>
              </w:rPr>
              <w:t>25 нТл</w:t>
            </w:r>
          </w:p>
        </w:tc>
        <w:tc>
          <w:tcPr>
            <w:tcW w:w="3272" w:type="dxa"/>
          </w:tcPr>
          <w:p w:rsidR="009A45B6" w:rsidRDefault="002F4714">
            <w:pPr>
              <w:pStyle w:val="a5"/>
              <w:jc w:val="center"/>
              <w:rPr>
                <w:sz w:val="24"/>
                <w:lang w:val="en-US"/>
              </w:rPr>
            </w:pPr>
            <w:r>
              <w:rPr>
                <w:sz w:val="24"/>
              </w:rPr>
              <w:t>25 нТл</w:t>
            </w:r>
          </w:p>
        </w:tc>
      </w:tr>
    </w:tbl>
    <w:p w:rsidR="009A45B6" w:rsidRDefault="009A45B6">
      <w:pPr>
        <w:pStyle w:val="a5"/>
        <w:ind w:right="282" w:firstLine="567"/>
        <w:jc w:val="both"/>
        <w:rPr>
          <w:sz w:val="24"/>
        </w:rPr>
      </w:pPr>
    </w:p>
    <w:p w:rsidR="009A45B6" w:rsidRDefault="009A45B6">
      <w:pPr>
        <w:pStyle w:val="a5"/>
        <w:ind w:right="282" w:firstLine="567"/>
        <w:jc w:val="both"/>
        <w:rPr>
          <w:sz w:val="24"/>
        </w:rPr>
      </w:pPr>
    </w:p>
    <w:p w:rsidR="009A45B6" w:rsidRDefault="002F4714">
      <w:pPr>
        <w:pStyle w:val="a5"/>
        <w:ind w:right="282" w:firstLine="567"/>
        <w:jc w:val="both"/>
        <w:rPr>
          <w:sz w:val="24"/>
        </w:rPr>
      </w:pPr>
      <w:r>
        <w:rPr>
          <w:b/>
          <w:i/>
          <w:sz w:val="24"/>
        </w:rPr>
        <w:t>TUV Ergonomie</w:t>
      </w:r>
      <w:r>
        <w:rPr>
          <w:sz w:val="24"/>
        </w:rPr>
        <w:t xml:space="preserve"> - немецкий стандарт эргономики. Мониторы, отвечающие этому стандарту, прошли испытания согласно EN 60950 (электрическая безопасность) и ZH 1/618 (эргономическое обустройство рабочих мест, оснащенных дисплеями), а также отвечают шведскому стандарту MPR-II.</w:t>
      </w:r>
    </w:p>
    <w:p w:rsidR="009A45B6" w:rsidRDefault="009A45B6">
      <w:pPr>
        <w:pStyle w:val="a5"/>
        <w:ind w:right="282" w:firstLine="567"/>
        <w:jc w:val="both"/>
        <w:rPr>
          <w:sz w:val="24"/>
        </w:rPr>
      </w:pPr>
    </w:p>
    <w:p w:rsidR="009A45B6" w:rsidRDefault="002F4714">
      <w:pPr>
        <w:pStyle w:val="a5"/>
        <w:ind w:right="282" w:firstLine="567"/>
        <w:jc w:val="both"/>
        <w:rPr>
          <w:sz w:val="24"/>
        </w:rPr>
      </w:pPr>
      <w:r>
        <w:rPr>
          <w:b/>
          <w:i/>
          <w:sz w:val="24"/>
        </w:rPr>
        <w:t>EPA Energy Star VESA DPMS</w:t>
      </w:r>
      <w:r>
        <w:rPr>
          <w:sz w:val="24"/>
        </w:rPr>
        <w:t>. Согласно этому стандарту монитор должен поддерживать три энергосберегающих режима - ожидание (stand-by), приостановку (suspend) и "сон" (off). В режиме ожидания изображение на экране пропадает, но внутренние компоненты монитора функционируют в нормальном режиме, а энергопотребление снижается до 80% от рабочего состояния. В режиме приостановки, как правило, отключаются высоковольтные узлы, а потребление энергии падает до 30 Вт и менее. И наконец, в режиме так называемого "сна" монитор потребляет не более 8 Вт, а функционирует у него только микропроцессор. При нажатии любой клавиши клавиатуры или движении мыши монитор переходит в нормальный режим работы.</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 xml:space="preserve">Российский стандарт </w:t>
      </w:r>
      <w:r>
        <w:rPr>
          <w:b/>
          <w:i/>
          <w:sz w:val="24"/>
        </w:rPr>
        <w:t>ГОСТ 27954 - 88</w:t>
      </w:r>
      <w:r>
        <w:rPr>
          <w:sz w:val="24"/>
        </w:rPr>
        <w:t xml:space="preserve"> на видеомониторы персональных ЭВМ. Требования этого стандарта обязательны для любого монитора, продаваемого в РФ. Основные требования приведены в таблице 4.</w:t>
      </w:r>
    </w:p>
    <w:p w:rsidR="009A45B6" w:rsidRDefault="002F4714">
      <w:pPr>
        <w:pStyle w:val="a5"/>
        <w:ind w:firstLine="567"/>
        <w:rPr>
          <w:i/>
          <w:sz w:val="24"/>
        </w:rPr>
      </w:pPr>
      <w:r>
        <w:rPr>
          <w:i/>
          <w:sz w:val="24"/>
        </w:rPr>
        <w:t>Таблица 4</w:t>
      </w:r>
    </w:p>
    <w:p w:rsidR="009A45B6" w:rsidRDefault="009A45B6">
      <w:pPr>
        <w:pStyle w:val="a5"/>
        <w:rPr>
          <w:sz w:val="24"/>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11"/>
        <w:gridCol w:w="3969"/>
      </w:tblGrid>
      <w:tr w:rsidR="009A45B6">
        <w:trPr>
          <w:trHeight w:val="267"/>
        </w:trPr>
        <w:tc>
          <w:tcPr>
            <w:tcW w:w="5211" w:type="dxa"/>
          </w:tcPr>
          <w:p w:rsidR="009A45B6" w:rsidRDefault="002F4714">
            <w:pPr>
              <w:pStyle w:val="a5"/>
              <w:rPr>
                <w:b/>
                <w:i/>
                <w:sz w:val="24"/>
                <w:lang w:val="en-US"/>
              </w:rPr>
            </w:pPr>
            <w:r>
              <w:rPr>
                <w:b/>
                <w:i/>
                <w:sz w:val="24"/>
              </w:rPr>
              <w:t xml:space="preserve">Характеристика монитора </w:t>
            </w:r>
          </w:p>
        </w:tc>
        <w:tc>
          <w:tcPr>
            <w:tcW w:w="3969" w:type="dxa"/>
          </w:tcPr>
          <w:p w:rsidR="009A45B6" w:rsidRDefault="002F4714">
            <w:pPr>
              <w:pStyle w:val="a5"/>
              <w:jc w:val="center"/>
              <w:rPr>
                <w:b/>
                <w:i/>
                <w:sz w:val="24"/>
                <w:lang w:val="en-US"/>
              </w:rPr>
            </w:pPr>
            <w:r>
              <w:rPr>
                <w:b/>
                <w:i/>
                <w:sz w:val="24"/>
              </w:rPr>
              <w:t>Требование ГОСТ 27954 - 88</w:t>
            </w:r>
          </w:p>
        </w:tc>
      </w:tr>
      <w:tr w:rsidR="009A45B6">
        <w:tc>
          <w:tcPr>
            <w:tcW w:w="5211" w:type="dxa"/>
          </w:tcPr>
          <w:p w:rsidR="009A45B6" w:rsidRDefault="002F4714">
            <w:pPr>
              <w:pStyle w:val="a5"/>
              <w:rPr>
                <w:sz w:val="24"/>
                <w:lang w:val="en-US"/>
              </w:rPr>
            </w:pPr>
            <w:r>
              <w:rPr>
                <w:sz w:val="24"/>
              </w:rPr>
              <w:t>Частота кадров при работе с позитивным контрастом</w:t>
            </w:r>
          </w:p>
        </w:tc>
        <w:tc>
          <w:tcPr>
            <w:tcW w:w="3969" w:type="dxa"/>
          </w:tcPr>
          <w:p w:rsidR="009A45B6" w:rsidRDefault="002F4714">
            <w:pPr>
              <w:pStyle w:val="a5"/>
              <w:jc w:val="center"/>
              <w:rPr>
                <w:sz w:val="24"/>
                <w:lang w:val="en-US"/>
              </w:rPr>
            </w:pPr>
            <w:r>
              <w:rPr>
                <w:sz w:val="24"/>
              </w:rPr>
              <w:t>Не менее 60 Гц</w:t>
            </w:r>
          </w:p>
        </w:tc>
      </w:tr>
      <w:tr w:rsidR="009A45B6">
        <w:tc>
          <w:tcPr>
            <w:tcW w:w="5211" w:type="dxa"/>
          </w:tcPr>
          <w:p w:rsidR="009A45B6" w:rsidRDefault="002F4714">
            <w:pPr>
              <w:pStyle w:val="a5"/>
              <w:rPr>
                <w:sz w:val="24"/>
                <w:lang w:val="en-US"/>
              </w:rPr>
            </w:pPr>
            <w:r>
              <w:rPr>
                <w:sz w:val="24"/>
              </w:rPr>
              <w:t>Частота кадров в режиме обработки текста</w:t>
            </w:r>
          </w:p>
        </w:tc>
        <w:tc>
          <w:tcPr>
            <w:tcW w:w="3969" w:type="dxa"/>
          </w:tcPr>
          <w:p w:rsidR="009A45B6" w:rsidRDefault="002F4714">
            <w:pPr>
              <w:pStyle w:val="a5"/>
              <w:jc w:val="center"/>
              <w:rPr>
                <w:sz w:val="24"/>
                <w:lang w:val="en-US"/>
              </w:rPr>
            </w:pPr>
            <w:r>
              <w:rPr>
                <w:sz w:val="24"/>
              </w:rPr>
              <w:t>Не менее 72 Гц</w:t>
            </w:r>
          </w:p>
        </w:tc>
      </w:tr>
      <w:tr w:rsidR="009A45B6">
        <w:tc>
          <w:tcPr>
            <w:tcW w:w="5211" w:type="dxa"/>
          </w:tcPr>
          <w:p w:rsidR="009A45B6" w:rsidRDefault="002F4714">
            <w:pPr>
              <w:pStyle w:val="a5"/>
              <w:rPr>
                <w:sz w:val="24"/>
                <w:lang w:val="en-US"/>
              </w:rPr>
            </w:pPr>
            <w:r>
              <w:rPr>
                <w:sz w:val="24"/>
              </w:rPr>
              <w:t xml:space="preserve">Дрожание элементов изображения </w:t>
            </w:r>
          </w:p>
        </w:tc>
        <w:tc>
          <w:tcPr>
            <w:tcW w:w="3969" w:type="dxa"/>
          </w:tcPr>
          <w:p w:rsidR="009A45B6" w:rsidRDefault="002F4714">
            <w:pPr>
              <w:pStyle w:val="a5"/>
              <w:jc w:val="center"/>
              <w:rPr>
                <w:sz w:val="24"/>
                <w:lang w:val="en-US"/>
              </w:rPr>
            </w:pPr>
            <w:r>
              <w:rPr>
                <w:sz w:val="24"/>
              </w:rPr>
              <w:t>Не более 0,1 мм</w:t>
            </w:r>
          </w:p>
        </w:tc>
      </w:tr>
      <w:tr w:rsidR="009A45B6">
        <w:tc>
          <w:tcPr>
            <w:tcW w:w="5211" w:type="dxa"/>
          </w:tcPr>
          <w:p w:rsidR="009A45B6" w:rsidRDefault="002F4714">
            <w:pPr>
              <w:pStyle w:val="a5"/>
              <w:rPr>
                <w:sz w:val="24"/>
                <w:lang w:val="en-US"/>
              </w:rPr>
            </w:pPr>
            <w:r>
              <w:rPr>
                <w:sz w:val="24"/>
              </w:rPr>
              <w:t>Антибликовое покрытие</w:t>
            </w:r>
          </w:p>
        </w:tc>
        <w:tc>
          <w:tcPr>
            <w:tcW w:w="3969" w:type="dxa"/>
          </w:tcPr>
          <w:p w:rsidR="009A45B6" w:rsidRDefault="002F4714">
            <w:pPr>
              <w:pStyle w:val="a5"/>
              <w:jc w:val="center"/>
              <w:rPr>
                <w:sz w:val="24"/>
                <w:lang w:val="en-US"/>
              </w:rPr>
            </w:pPr>
            <w:r>
              <w:rPr>
                <w:sz w:val="24"/>
              </w:rPr>
              <w:t>Обязательно</w:t>
            </w:r>
          </w:p>
        </w:tc>
      </w:tr>
      <w:tr w:rsidR="009A45B6">
        <w:tc>
          <w:tcPr>
            <w:tcW w:w="5211" w:type="dxa"/>
          </w:tcPr>
          <w:p w:rsidR="009A45B6" w:rsidRDefault="002F4714">
            <w:pPr>
              <w:pStyle w:val="a5"/>
              <w:rPr>
                <w:sz w:val="24"/>
                <w:lang w:val="en-US"/>
              </w:rPr>
            </w:pPr>
            <w:r>
              <w:rPr>
                <w:sz w:val="24"/>
              </w:rPr>
              <w:t>Допустимый уровень шума</w:t>
            </w:r>
          </w:p>
        </w:tc>
        <w:tc>
          <w:tcPr>
            <w:tcW w:w="3969" w:type="dxa"/>
          </w:tcPr>
          <w:p w:rsidR="009A45B6" w:rsidRDefault="002F4714">
            <w:pPr>
              <w:pStyle w:val="a5"/>
              <w:jc w:val="center"/>
              <w:rPr>
                <w:sz w:val="24"/>
                <w:lang w:val="en-US"/>
              </w:rPr>
            </w:pPr>
            <w:r>
              <w:rPr>
                <w:sz w:val="24"/>
              </w:rPr>
              <w:t>Не более 50 дБА</w:t>
            </w:r>
          </w:p>
        </w:tc>
      </w:tr>
      <w:tr w:rsidR="009A45B6">
        <w:tc>
          <w:tcPr>
            <w:tcW w:w="5211" w:type="dxa"/>
          </w:tcPr>
          <w:p w:rsidR="009A45B6" w:rsidRDefault="002F4714">
            <w:pPr>
              <w:pStyle w:val="a5"/>
              <w:rPr>
                <w:sz w:val="24"/>
                <w:lang w:val="en-US"/>
              </w:rPr>
            </w:pPr>
            <w:r>
              <w:rPr>
                <w:sz w:val="24"/>
              </w:rPr>
              <w:t>Мощность дозы рентгеновского излучения на расстоянии 5 см от экрана при 41-часовой рабочей неделе</w:t>
            </w:r>
          </w:p>
        </w:tc>
        <w:tc>
          <w:tcPr>
            <w:tcW w:w="3969" w:type="dxa"/>
          </w:tcPr>
          <w:p w:rsidR="009A45B6" w:rsidRDefault="002F4714">
            <w:pPr>
              <w:pStyle w:val="a5"/>
              <w:jc w:val="center"/>
              <w:rPr>
                <w:sz w:val="24"/>
                <w:lang w:val="en-US"/>
              </w:rPr>
            </w:pPr>
            <w:r>
              <w:rPr>
                <w:sz w:val="24"/>
              </w:rPr>
              <w:t>Не более 0,03 мкР/с</w:t>
            </w:r>
          </w:p>
        </w:tc>
      </w:tr>
    </w:tbl>
    <w:p w:rsidR="009A45B6" w:rsidRDefault="009A45B6">
      <w:pPr>
        <w:pStyle w:val="a5"/>
        <w:ind w:right="282" w:firstLine="567"/>
        <w:jc w:val="both"/>
        <w:rPr>
          <w:sz w:val="24"/>
        </w:rPr>
      </w:pP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Кроме того, данным стандартом не допускается применение взрывоопасных ЭЛТ, регламентируется степень детализации технической документации на мониторы, а также устанавливаются требования стандартизации и унификации, технологичности, эргономики и технической эстетики, безопасности, технического ремонта и обслуживания, а также надежности.</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Мониторы персональных компьютеров и рабочих станций при обязательной сертификации подвергаются сертификационным испытаниям по следующим параметрам:</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1. Параметры безопасности - электрическая, механическая, пожарная безопасность (ГОСТ Р 50377 - 92).</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2. Санитарно-гигиенические требования - уровень звуковых шумов (ГОСТ 26329 - 84 или ГОСТ 2718 - 88), ультрафиолетовое, рентгеновское излучения и показатели качества изображения (ГОСТ 27954-88).</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3. Электромагнитная совместимость - излучаемые радиопомехи (ГОСТ 29216 - 91).</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Сертификат выдается только на весь комплекс вышеперечисленных ГОСТов.</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 xml:space="preserve">Согласно СанПиН, "запрещается утверждение нормативной и технической документации на новые видеодисплейные терминалы и персональные вычислительные машины, постановка их на производство, продажа и использование в производственных условиях, учебном процессе и в быту, а также их закупка и ввоз на территорию Российский Федерации без согласования нормативной и технической документации с органами Госсанэпиднадзора России и получения гигиенических сертификатов". </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В настоящий момент государственная организация СЕРТИНФО выдала сертификаты соответствия на мониторы фирм ALR, Funai, HP, IBM, Samsung, Siemens Nixdorf, Sony, ViewSonic. Практически все модели Samsung, Panasonic, Sony и ViewSonic прошли российскую сертификацию.</w:t>
      </w:r>
    </w:p>
    <w:p w:rsidR="009A45B6" w:rsidRDefault="009A45B6">
      <w:pPr>
        <w:pStyle w:val="a5"/>
        <w:ind w:right="282" w:firstLine="567"/>
        <w:jc w:val="both"/>
        <w:rPr>
          <w:sz w:val="24"/>
        </w:rPr>
      </w:pPr>
    </w:p>
    <w:p w:rsidR="009A45B6" w:rsidRDefault="002F4714">
      <w:pPr>
        <w:pStyle w:val="a5"/>
        <w:ind w:right="282" w:firstLine="567"/>
        <w:jc w:val="center"/>
        <w:rPr>
          <w:b/>
          <w:i/>
          <w:caps/>
          <w:sz w:val="28"/>
          <w:u w:val="single"/>
        </w:rPr>
      </w:pPr>
      <w:r>
        <w:rPr>
          <w:b/>
          <w:i/>
          <w:caps/>
          <w:sz w:val="28"/>
          <w:u w:val="single"/>
        </w:rPr>
        <w:t>Воздействие работы с ПК на зрение человека</w:t>
      </w:r>
    </w:p>
    <w:p w:rsidR="009A45B6" w:rsidRDefault="009A45B6">
      <w:pPr>
        <w:pStyle w:val="a5"/>
        <w:ind w:right="282"/>
        <w:rPr>
          <w:b/>
          <w:i/>
          <w:caps/>
          <w:sz w:val="28"/>
          <w:u w:val="single"/>
        </w:rPr>
      </w:pPr>
    </w:p>
    <w:p w:rsidR="009A45B6" w:rsidRDefault="002F4714">
      <w:pPr>
        <w:pStyle w:val="a5"/>
        <w:ind w:right="282" w:firstLine="567"/>
        <w:jc w:val="both"/>
        <w:rPr>
          <w:sz w:val="24"/>
        </w:rPr>
      </w:pPr>
      <w:r>
        <w:rPr>
          <w:sz w:val="24"/>
        </w:rPr>
        <w:t xml:space="preserve"> Условия работы за монитором противоположны тем, которые привычны для наших глаз. В обычной жизни мы воспринимаем в основном отраженный свет (если только не смотрим на солнце, звезды или искусственные источники освещения), а объекты наблюдения непрерывно находятся в поле нашего зрения в течение хотя бы нескольких секунд. А вот при работе за монитором мы имеем дело с самосветящимися объектами и дискретным (мерцающим с большой частотой) изображением, что увеличивает нагрузку на глаза. </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 xml:space="preserve">Таким образом, характерной особенностью труда за компьютером является необходимость выполнения точных зрительных работ на светящемся экране в условиях перепада яркостей в поле зрения, наличии мельканий, неустойчивости и нечеткости изображения. Объекты зрительной работы находятся на разном расстоянии от глаз пользователя (от 30 до 70 см) и приходится часто переводить взгляд в направлениях экран—клавиатура—документация (согласно хронометражным данным от 15 до 50 раз в минуту). Частая переадаптация глаза к различным яркостям и расстояниям является одним из главных негативных факторов при работе с дисплеями. Неблагоприятным фактором световой среды является несоответствие нормативным значениям уровней освещенности рабочих поверхностей стола, экрана, клавиатуры. Нередко на экранах наблюдается зеркальное отражение источников света и окружающих предметов. Все вышеизложенное затрудняет работу и приводит к нарушениям основных функций зрительной системы. Работающие с видеодисплейными терминалами предъявляют жалобы на боль и ощущение «песка» в глазах, покраснение век, трудности перевода взгляда с близких на далекие предметы. Отмечается быстрое утомление и затуманенность зрения, двоение предметов. Комплекс выявляемых нарушений был охарактеризован специалистами как «профессиональная офтальмопатия» или </w:t>
      </w:r>
      <w:r>
        <w:rPr>
          <w:i/>
          <w:sz w:val="24"/>
        </w:rPr>
        <w:t>астенопия</w:t>
      </w:r>
      <w:r>
        <w:rPr>
          <w:sz w:val="24"/>
        </w:rPr>
        <w:t xml:space="preserve"> — субъективные зрительные симптомы дискомфорта или эмоциональный дискомфорт, являющийся результатом зрительной деятельности.</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Частота проявления астенопии зависит от рабочей ситуации, продолжительности работы за экраном и наличия у пользователя нарушений зрения, глазных болезней или наследственной склонности к таковым. В частности, после достижения 40-летнего возраста операторы должны регулярно проходить офтальмологическое обследование ввиду вероятности появления пресбиопии— старческой дальнозоркости, способствующей возникновению или усилению зрительного дискомфорта. Что касается риска появления миопии— близорукости, то при соблюдении режима труда и отдыха она, как правило, может возникнуть или усилиться только у людей, изначально к ней склонных.</w:t>
      </w:r>
    </w:p>
    <w:p w:rsidR="009A45B6" w:rsidRDefault="009A45B6">
      <w:pPr>
        <w:pStyle w:val="a5"/>
        <w:ind w:right="282" w:firstLine="567"/>
        <w:jc w:val="both"/>
        <w:rPr>
          <w:sz w:val="24"/>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2F4714">
      <w:pPr>
        <w:pStyle w:val="a5"/>
        <w:ind w:right="282" w:firstLine="567"/>
        <w:jc w:val="center"/>
        <w:rPr>
          <w:b/>
          <w:i/>
          <w:caps/>
          <w:sz w:val="28"/>
          <w:u w:val="single"/>
        </w:rPr>
      </w:pPr>
      <w:r>
        <w:rPr>
          <w:b/>
          <w:i/>
          <w:caps/>
          <w:sz w:val="28"/>
          <w:u w:val="single"/>
        </w:rPr>
        <w:t>заключение</w:t>
      </w: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Компьютерные технологии, являясь великим достижением человечества, могут иметь отрицательные последствия для здоровья людей. Для снижения ущерба здоровью необходимо соблюдение установленных гигиенических требований к режимам труда и организации рабочих мест. Гигиенистами и физиологами проведено множество экспериментов по изучению работоспособности, выявлению причин утомления и возникновения патологических отклонений у работающих за ПЭВМ. Результаты этих экспериментов используются при разработке оптимальных режимов работы. Выбор режима зависит от таких факторов, как длительность смены, время суток, вид деятельности, тяжесть и напряженность труда, санитарно-гигиенические условия на рабочем месте.</w:t>
      </w:r>
    </w:p>
    <w:p w:rsidR="009A45B6" w:rsidRDefault="009A45B6">
      <w:pPr>
        <w:pStyle w:val="a5"/>
        <w:ind w:right="282" w:firstLine="567"/>
        <w:jc w:val="both"/>
        <w:rPr>
          <w:sz w:val="24"/>
        </w:rPr>
      </w:pPr>
    </w:p>
    <w:p w:rsidR="009A45B6" w:rsidRDefault="009A45B6">
      <w:pPr>
        <w:pStyle w:val="a5"/>
        <w:ind w:right="282" w:firstLine="567"/>
        <w:jc w:val="both"/>
        <w:rPr>
          <w:sz w:val="24"/>
        </w:rPr>
      </w:pPr>
    </w:p>
    <w:p w:rsidR="009A45B6" w:rsidRDefault="002F4714">
      <w:pPr>
        <w:pStyle w:val="a5"/>
        <w:ind w:right="282" w:firstLine="567"/>
        <w:jc w:val="both"/>
        <w:rPr>
          <w:sz w:val="24"/>
        </w:rPr>
      </w:pPr>
      <w:r>
        <w:rPr>
          <w:sz w:val="24"/>
        </w:rPr>
        <w:t>Вообще, современный человек находится в окружении такого количества вредных влияний, пусть даже небольшой интенсивности, что его организм, достаточно устойчивый к влиянию каждого из них в отдельности, может не выдержать их общего натиска. Поэтому медики ужесточают требования к предельно допустимым уровням таких факторов и подчеркивают важность исследования проблемы комплексного воздействия факторов малой интенсивности.</w:t>
      </w:r>
    </w:p>
    <w:p w:rsidR="009A45B6" w:rsidRDefault="009A45B6">
      <w:pPr>
        <w:pStyle w:val="a5"/>
        <w:ind w:right="282"/>
        <w:jc w:val="both"/>
        <w:rPr>
          <w:sz w:val="24"/>
        </w:rPr>
      </w:pPr>
    </w:p>
    <w:p w:rsidR="009A45B6" w:rsidRDefault="002F4714">
      <w:pPr>
        <w:pStyle w:val="a5"/>
        <w:ind w:right="282" w:firstLine="567"/>
        <w:jc w:val="both"/>
        <w:rPr>
          <w:sz w:val="24"/>
        </w:rPr>
      </w:pPr>
      <w:r>
        <w:rPr>
          <w:sz w:val="24"/>
        </w:rPr>
        <w:t xml:space="preserve">Технический уровень современных мониторов не позволяет полностью исключить существование вредных воздействий. Однако это воздействие необходимо минимизировать, регламентировав ряд параметров, для чего в 1996г. были разработаны и выпущены новые санитарные нормы, действующие и поныне. Основная цель их внедрения - облегчить адаптацию к непривычным для организма человека факторам, сохранив тем самым работоспособность и здоровье пользователей ПК. </w:t>
      </w:r>
    </w:p>
    <w:p w:rsidR="009A45B6" w:rsidRDefault="009A45B6">
      <w:pPr>
        <w:pStyle w:val="a5"/>
        <w:ind w:right="282" w:firstLine="567"/>
        <w:jc w:val="both"/>
        <w:rPr>
          <w:sz w:val="24"/>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9A45B6">
      <w:pPr>
        <w:pStyle w:val="a5"/>
        <w:ind w:right="282" w:firstLine="567"/>
        <w:jc w:val="center"/>
        <w:rPr>
          <w:b/>
          <w:i/>
          <w:caps/>
          <w:sz w:val="28"/>
          <w:u w:val="single"/>
        </w:rPr>
      </w:pPr>
    </w:p>
    <w:p w:rsidR="009A45B6" w:rsidRDefault="002F4714">
      <w:pPr>
        <w:pStyle w:val="a5"/>
        <w:ind w:right="282" w:firstLine="567"/>
        <w:jc w:val="center"/>
        <w:rPr>
          <w:b/>
          <w:i/>
          <w:caps/>
          <w:sz w:val="28"/>
          <w:u w:val="single"/>
        </w:rPr>
      </w:pPr>
      <w:r>
        <w:rPr>
          <w:b/>
          <w:i/>
          <w:caps/>
          <w:sz w:val="28"/>
          <w:u w:val="single"/>
        </w:rPr>
        <w:t>список литературы</w:t>
      </w:r>
    </w:p>
    <w:p w:rsidR="009A45B6" w:rsidRDefault="009A45B6">
      <w:pPr>
        <w:pStyle w:val="a5"/>
        <w:rPr>
          <w:sz w:val="24"/>
        </w:rPr>
      </w:pPr>
    </w:p>
    <w:p w:rsidR="009A45B6" w:rsidRDefault="009A45B6">
      <w:pPr>
        <w:pStyle w:val="a5"/>
        <w:rPr>
          <w:sz w:val="24"/>
        </w:rPr>
      </w:pPr>
    </w:p>
    <w:p w:rsidR="009A45B6" w:rsidRDefault="002F4714">
      <w:pPr>
        <w:pStyle w:val="a5"/>
        <w:numPr>
          <w:ilvl w:val="0"/>
          <w:numId w:val="5"/>
        </w:numPr>
        <w:ind w:right="282"/>
        <w:jc w:val="both"/>
        <w:rPr>
          <w:sz w:val="24"/>
        </w:rPr>
      </w:pPr>
      <w:r>
        <w:rPr>
          <w:sz w:val="24"/>
        </w:rPr>
        <w:t>Видеодисплейные терминалы и здоровье пользователей.-М., Медицина,1989г.</w:t>
      </w:r>
    </w:p>
    <w:p w:rsidR="009A45B6" w:rsidRDefault="002F4714">
      <w:pPr>
        <w:pStyle w:val="a5"/>
        <w:numPr>
          <w:ilvl w:val="0"/>
          <w:numId w:val="5"/>
        </w:numPr>
        <w:ind w:right="282"/>
        <w:jc w:val="both"/>
        <w:rPr>
          <w:sz w:val="24"/>
        </w:rPr>
      </w:pPr>
      <w:r>
        <w:rPr>
          <w:sz w:val="24"/>
        </w:rPr>
        <w:t>Демирчоглян Г.Г. Компьютер и здоровье. - М., Советский спорт, 1995г.</w:t>
      </w:r>
    </w:p>
    <w:p w:rsidR="009A45B6" w:rsidRDefault="002F4714">
      <w:pPr>
        <w:pStyle w:val="a5"/>
        <w:numPr>
          <w:ilvl w:val="0"/>
          <w:numId w:val="5"/>
        </w:numPr>
        <w:ind w:right="282"/>
        <w:jc w:val="both"/>
        <w:rPr>
          <w:sz w:val="24"/>
          <w:lang w:val="en-US"/>
        </w:rPr>
      </w:pPr>
      <w:r>
        <w:rPr>
          <w:sz w:val="24"/>
        </w:rPr>
        <w:t xml:space="preserve">Добрынин А. Офисные мониторы </w:t>
      </w:r>
      <w:r>
        <w:rPr>
          <w:sz w:val="24"/>
          <w:lang w:val="en-US"/>
        </w:rPr>
        <w:t>//</w:t>
      </w:r>
      <w:r>
        <w:rPr>
          <w:sz w:val="24"/>
        </w:rPr>
        <w:t xml:space="preserve"> Мир ПК ,№ 10/96</w:t>
      </w:r>
    </w:p>
    <w:p w:rsidR="009A45B6" w:rsidRDefault="002F4714">
      <w:pPr>
        <w:pStyle w:val="a5"/>
        <w:numPr>
          <w:ilvl w:val="0"/>
          <w:numId w:val="5"/>
        </w:numPr>
        <w:ind w:right="282"/>
        <w:jc w:val="both"/>
        <w:rPr>
          <w:sz w:val="24"/>
        </w:rPr>
      </w:pPr>
      <w:r>
        <w:rPr>
          <w:sz w:val="24"/>
        </w:rPr>
        <w:t>Кучма В.Р., Бобрищева-Пушкина Н.Д. Если хочешь быть здоров</w:t>
      </w:r>
      <w:r>
        <w:rPr>
          <w:sz w:val="24"/>
          <w:lang w:val="en-US"/>
        </w:rPr>
        <w:t>//</w:t>
      </w:r>
      <w:r>
        <w:rPr>
          <w:sz w:val="24"/>
        </w:rPr>
        <w:t xml:space="preserve"> Мир ПК №</w:t>
      </w:r>
      <w:r>
        <w:rPr>
          <w:sz w:val="24"/>
          <w:lang w:val="en-US"/>
        </w:rPr>
        <w:t>4</w:t>
      </w:r>
      <w:r>
        <w:rPr>
          <w:sz w:val="24"/>
        </w:rPr>
        <w:t>/96</w:t>
      </w:r>
    </w:p>
    <w:p w:rsidR="009A45B6" w:rsidRDefault="002F4714">
      <w:pPr>
        <w:pStyle w:val="a5"/>
        <w:numPr>
          <w:ilvl w:val="0"/>
          <w:numId w:val="5"/>
        </w:numPr>
        <w:ind w:right="282"/>
        <w:jc w:val="both"/>
        <w:rPr>
          <w:sz w:val="24"/>
        </w:rPr>
      </w:pPr>
      <w:r>
        <w:rPr>
          <w:sz w:val="24"/>
        </w:rPr>
        <w:t>Кучма В.Р., Бобрищева-Пушкина Н.Д. Эти глаза напротив... монитора</w:t>
      </w:r>
      <w:r>
        <w:rPr>
          <w:sz w:val="24"/>
          <w:lang w:val="en-US"/>
        </w:rPr>
        <w:t xml:space="preserve"> //</w:t>
      </w:r>
      <w:r>
        <w:rPr>
          <w:sz w:val="24"/>
        </w:rPr>
        <w:t xml:space="preserve"> Мир ПК ,№ </w:t>
      </w:r>
      <w:r>
        <w:rPr>
          <w:sz w:val="24"/>
          <w:lang w:val="en-US"/>
        </w:rPr>
        <w:t>3</w:t>
      </w:r>
      <w:r>
        <w:rPr>
          <w:sz w:val="24"/>
        </w:rPr>
        <w:t>/96</w:t>
      </w:r>
    </w:p>
    <w:p w:rsidR="009A45B6" w:rsidRDefault="002F4714">
      <w:pPr>
        <w:pStyle w:val="a5"/>
        <w:numPr>
          <w:ilvl w:val="0"/>
          <w:numId w:val="5"/>
        </w:numPr>
        <w:ind w:right="282"/>
        <w:jc w:val="both"/>
        <w:rPr>
          <w:sz w:val="24"/>
        </w:rPr>
      </w:pPr>
      <w:r>
        <w:rPr>
          <w:sz w:val="24"/>
        </w:rPr>
        <w:t xml:space="preserve">Никитина В.Н. Гигиенические аспекты безопасности труда пользователей персональных ЭВМ </w:t>
      </w:r>
      <w:r>
        <w:rPr>
          <w:sz w:val="24"/>
          <w:lang w:val="en-US"/>
        </w:rPr>
        <w:t>//</w:t>
      </w:r>
      <w:r>
        <w:rPr>
          <w:sz w:val="24"/>
        </w:rPr>
        <w:t xml:space="preserve"> КомпьюЛог,№2</w:t>
      </w:r>
      <w:r>
        <w:rPr>
          <w:sz w:val="24"/>
          <w:lang w:val="en-US"/>
        </w:rPr>
        <w:t>/</w:t>
      </w:r>
      <w:r>
        <w:rPr>
          <w:sz w:val="24"/>
        </w:rPr>
        <w:t>98</w:t>
      </w:r>
    </w:p>
    <w:p w:rsidR="009A45B6" w:rsidRDefault="002F4714">
      <w:pPr>
        <w:pStyle w:val="a5"/>
        <w:numPr>
          <w:ilvl w:val="0"/>
          <w:numId w:val="5"/>
        </w:numPr>
        <w:ind w:right="282"/>
        <w:jc w:val="both"/>
        <w:rPr>
          <w:sz w:val="24"/>
        </w:rPr>
      </w:pPr>
      <w:r>
        <w:rPr>
          <w:sz w:val="24"/>
        </w:rPr>
        <w:t>Нихосон М. Большие экраны в небольших корпусах</w:t>
      </w:r>
      <w:r>
        <w:rPr>
          <w:sz w:val="24"/>
          <w:lang w:val="en-US"/>
        </w:rPr>
        <w:t>//</w:t>
      </w:r>
      <w:r>
        <w:rPr>
          <w:sz w:val="24"/>
        </w:rPr>
        <w:t xml:space="preserve"> Мир ПК № </w:t>
      </w:r>
      <w:r>
        <w:rPr>
          <w:sz w:val="24"/>
          <w:lang w:val="en-US"/>
        </w:rPr>
        <w:t>5</w:t>
      </w:r>
      <w:r>
        <w:rPr>
          <w:sz w:val="24"/>
        </w:rPr>
        <w:t>/98</w:t>
      </w:r>
    </w:p>
    <w:p w:rsidR="009A45B6" w:rsidRDefault="002F4714">
      <w:pPr>
        <w:pStyle w:val="a5"/>
        <w:numPr>
          <w:ilvl w:val="0"/>
          <w:numId w:val="5"/>
        </w:numPr>
        <w:ind w:right="282"/>
        <w:jc w:val="both"/>
        <w:rPr>
          <w:sz w:val="24"/>
        </w:rPr>
      </w:pPr>
      <w:r>
        <w:rPr>
          <w:sz w:val="24"/>
        </w:rPr>
        <w:t xml:space="preserve">СанПиН 2.2.2.542-96 </w:t>
      </w:r>
      <w:r>
        <w:rPr>
          <w:sz w:val="24"/>
          <w:lang w:val="en-US"/>
        </w:rPr>
        <w:t>//</w:t>
      </w:r>
      <w:r>
        <w:rPr>
          <w:sz w:val="24"/>
        </w:rPr>
        <w:t xml:space="preserve"> Госкомсанэпиднадзор России, М.,1996г.</w:t>
      </w:r>
    </w:p>
    <w:p w:rsidR="009A45B6" w:rsidRDefault="009A45B6">
      <w:pPr>
        <w:pStyle w:val="a5"/>
        <w:ind w:left="567" w:right="282"/>
        <w:jc w:val="both"/>
      </w:pPr>
    </w:p>
    <w:p w:rsidR="009A45B6" w:rsidRDefault="009A45B6">
      <w:pPr>
        <w:pStyle w:val="a5"/>
        <w:ind w:left="567" w:right="282"/>
        <w:jc w:val="both"/>
        <w:rPr>
          <w:sz w:val="24"/>
        </w:rPr>
      </w:pPr>
    </w:p>
    <w:p w:rsidR="009A45B6" w:rsidRDefault="009A45B6">
      <w:pPr>
        <w:pStyle w:val="a5"/>
        <w:ind w:right="282" w:firstLine="567"/>
        <w:jc w:val="both"/>
        <w:rPr>
          <w:sz w:val="24"/>
        </w:rPr>
      </w:pPr>
    </w:p>
    <w:p w:rsidR="009A45B6" w:rsidRDefault="009A45B6">
      <w:pPr>
        <w:pStyle w:val="a5"/>
        <w:ind w:right="282" w:firstLine="567"/>
        <w:jc w:val="both"/>
        <w:rPr>
          <w:sz w:val="24"/>
        </w:rPr>
      </w:pPr>
    </w:p>
    <w:p w:rsidR="009A45B6" w:rsidRDefault="009A45B6">
      <w:pPr>
        <w:pStyle w:val="a5"/>
        <w:ind w:right="282" w:firstLine="567"/>
        <w:jc w:val="both"/>
        <w:rPr>
          <w:sz w:val="24"/>
        </w:rPr>
      </w:pPr>
      <w:bookmarkStart w:id="0" w:name="_GoBack"/>
      <w:bookmarkEnd w:id="0"/>
    </w:p>
    <w:sectPr w:rsidR="009A45B6">
      <w:pgSz w:w="11906" w:h="16838" w:code="9"/>
      <w:pgMar w:top="851" w:right="851" w:bottom="851" w:left="1418"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Kudriashov">
    <w:altName w:val="Times New Roman"/>
    <w:charset w:val="00"/>
    <w:family w:val="auto"/>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282970E6"/>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2">
    <w:nsid w:val="331D0F9C"/>
    <w:multiLevelType w:val="singleLevel"/>
    <w:tmpl w:val="E87A1794"/>
    <w:lvl w:ilvl="0">
      <w:start w:val="1"/>
      <w:numFmt w:val="decimal"/>
      <w:lvlText w:val="%1."/>
      <w:lvlJc w:val="left"/>
      <w:pPr>
        <w:tabs>
          <w:tab w:val="num" w:pos="1227"/>
        </w:tabs>
        <w:ind w:left="1227" w:hanging="660"/>
      </w:pPr>
      <w:rPr>
        <w:rFonts w:hint="default"/>
      </w:rPr>
    </w:lvl>
  </w:abstractNum>
  <w:abstractNum w:abstractNumId="3">
    <w:nsid w:val="423D5DD8"/>
    <w:multiLevelType w:val="singleLevel"/>
    <w:tmpl w:val="08CE1AD4"/>
    <w:lvl w:ilvl="0">
      <w:start w:val="1"/>
      <w:numFmt w:val="decimal"/>
      <w:lvlText w:val="%1."/>
      <w:lvlJc w:val="left"/>
      <w:pPr>
        <w:tabs>
          <w:tab w:val="num" w:pos="1002"/>
        </w:tabs>
        <w:ind w:left="1002" w:hanging="435"/>
      </w:pPr>
      <w:rPr>
        <w:rFonts w:hint="default"/>
      </w:rPr>
    </w:lvl>
  </w:abstractNum>
  <w:abstractNum w:abstractNumId="4">
    <w:nsid w:val="66796E12"/>
    <w:multiLevelType w:val="singleLevel"/>
    <w:tmpl w:val="0419000D"/>
    <w:lvl w:ilvl="0">
      <w:start w:val="1"/>
      <w:numFmt w:val="bullet"/>
      <w:lvlText w:val=""/>
      <w:lvlJc w:val="left"/>
      <w:pPr>
        <w:tabs>
          <w:tab w:val="num" w:pos="360"/>
        </w:tabs>
        <w:ind w:left="360" w:hanging="360"/>
      </w:pPr>
      <w:rPr>
        <w:rFonts w:ascii="Wingdings" w:hAnsi="Wingdings" w:hint="default"/>
      </w:rPr>
    </w:lvl>
  </w:abstractNum>
  <w:num w:numId="1">
    <w:abstractNumId w:val="3"/>
  </w:num>
  <w:num w:numId="2">
    <w:abstractNumId w:val="0"/>
    <w:lvlOverride w:ilvl="0">
      <w:lvl w:ilvl="0">
        <w:start w:val="1"/>
        <w:numFmt w:val="bullet"/>
        <w:lvlText w:val=""/>
        <w:legacy w:legacy="1" w:legacySpace="0" w:legacyIndent="283"/>
        <w:lvlJc w:val="left"/>
        <w:pPr>
          <w:ind w:left="175" w:hanging="283"/>
        </w:pPr>
        <w:rPr>
          <w:rFonts w:ascii="Wingdings" w:hAnsi="Wingdings" w:hint="default"/>
          <w:b w:val="0"/>
          <w:i w:val="0"/>
          <w:sz w:val="22"/>
        </w:rPr>
      </w:lvl>
    </w:lvlOverride>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4714"/>
    <w:rsid w:val="002F4714"/>
    <w:rsid w:val="009A45B6"/>
    <w:rsid w:val="00C93A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15:chartTrackingRefBased/>
  <w15:docId w15:val="{503325B5-3BE4-4F3F-9122-239998BD62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ind w:right="282" w:firstLine="567"/>
      <w:outlineLvl w:val="0"/>
    </w:pPr>
    <w:rPr>
      <w:sz w:val="24"/>
    </w:rPr>
  </w:style>
  <w:style w:type="paragraph" w:styleId="2">
    <w:name w:val="heading 2"/>
    <w:basedOn w:val="a"/>
    <w:next w:val="a"/>
    <w:qFormat/>
    <w:pPr>
      <w:keepNext/>
      <w:jc w:val="center"/>
      <w:outlineLvl w:val="1"/>
    </w:pPr>
    <w:rPr>
      <w:i/>
      <w:sz w:val="32"/>
    </w:rPr>
  </w:style>
  <w:style w:type="paragraph" w:styleId="3">
    <w:name w:val="heading 3"/>
    <w:basedOn w:val="a"/>
    <w:next w:val="a"/>
    <w:qFormat/>
    <w:pPr>
      <w:keepNext/>
      <w:jc w:val="right"/>
      <w:outlineLvl w:val="2"/>
    </w:pPr>
    <w:rPr>
      <w:i/>
      <w:sz w:val="24"/>
    </w:rPr>
  </w:style>
  <w:style w:type="paragraph" w:styleId="4">
    <w:name w:val="heading 4"/>
    <w:basedOn w:val="a"/>
    <w:next w:val="a"/>
    <w:qFormat/>
    <w:pPr>
      <w:keepNext/>
      <w:jc w:val="center"/>
      <w:outlineLvl w:val="3"/>
    </w:pPr>
    <w:rPr>
      <w:b/>
      <w:i/>
      <w:sz w:val="36"/>
    </w:rPr>
  </w:style>
  <w:style w:type="paragraph" w:styleId="5">
    <w:name w:val="heading 5"/>
    <w:basedOn w:val="a"/>
    <w:next w:val="a"/>
    <w:qFormat/>
    <w:pPr>
      <w:keepNext/>
      <w:jc w:val="center"/>
      <w:outlineLvl w:val="4"/>
    </w:pPr>
    <w:rPr>
      <w:b/>
      <w:i/>
      <w:caps/>
      <w:sz w:val="44"/>
      <w:u w:val="wav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Английский"/>
    <w:basedOn w:val="a"/>
    <w:rPr>
      <w:lang w:val="en-US"/>
    </w:rPr>
  </w:style>
  <w:style w:type="paragraph" w:styleId="a4">
    <w:name w:val="Title"/>
    <w:basedOn w:val="a"/>
    <w:qFormat/>
    <w:pPr>
      <w:ind w:right="282" w:firstLine="567"/>
      <w:jc w:val="center"/>
    </w:pPr>
    <w:rPr>
      <w:b/>
      <w:i/>
      <w:caps/>
      <w:sz w:val="28"/>
      <w:u w:val="single"/>
    </w:rPr>
  </w:style>
  <w:style w:type="paragraph" w:styleId="a5">
    <w:name w:val="Plain Text"/>
    <w:basedOn w:val="a"/>
    <w:semiHidden/>
    <w:rPr>
      <w:rFonts w:ascii="Courier New" w:hAnsi="Courier New"/>
    </w:rPr>
  </w:style>
  <w:style w:type="paragraph" w:styleId="a6">
    <w:name w:val="Body Text"/>
    <w:basedOn w:val="a"/>
    <w:semiHidden/>
    <w:pPr>
      <w:jc w:val="both"/>
    </w:pPr>
    <w:rPr>
      <w:rFonts w:ascii="Courier New" w:hAnsi="Courier New"/>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3698</Words>
  <Characters>21081</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ВВЕДЕНИЕ</vt:lpstr>
    </vt:vector>
  </TitlesOfParts>
  <Manager>мкр</Manager>
  <Company>http://www.referat.ru</Company>
  <LinksUpToDate>false</LinksUpToDate>
  <CharactersWithSpaces>24730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Маргарита</dc:creator>
  <cp:keywords/>
  <cp:lastModifiedBy>Irina</cp:lastModifiedBy>
  <cp:revision>2</cp:revision>
  <cp:lastPrinted>1999-01-10T10:17:00Z</cp:lastPrinted>
  <dcterms:created xsi:type="dcterms:W3CDTF">2014-08-06T15:33:00Z</dcterms:created>
  <dcterms:modified xsi:type="dcterms:W3CDTF">2014-08-06T15:33:00Z</dcterms:modified>
</cp:coreProperties>
</file>