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6AA7" w:rsidRPr="00CF2218" w:rsidRDefault="00BC6AA7" w:rsidP="00BC6AA7">
      <w:pPr>
        <w:tabs>
          <w:tab w:val="left" w:pos="10452"/>
        </w:tabs>
        <w:spacing w:before="120"/>
        <w:ind w:right="104"/>
        <w:jc w:val="center"/>
        <w:rPr>
          <w:b/>
          <w:bCs/>
          <w:sz w:val="32"/>
          <w:szCs w:val="32"/>
        </w:rPr>
      </w:pPr>
      <w:r w:rsidRPr="00CF2218">
        <w:rPr>
          <w:b/>
          <w:bCs/>
          <w:sz w:val="32"/>
          <w:szCs w:val="32"/>
        </w:rPr>
        <w:t>Тютчев и античность</w:t>
      </w:r>
    </w:p>
    <w:p w:rsidR="00BC6AA7" w:rsidRPr="00CF2218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8"/>
          <w:szCs w:val="28"/>
        </w:rPr>
      </w:pPr>
      <w:r w:rsidRPr="00CF2218">
        <w:rPr>
          <w:sz w:val="28"/>
          <w:szCs w:val="28"/>
        </w:rPr>
        <w:t xml:space="preserve">Фрейберг Л.А.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Тема об отражении мира художественных образов античности в русской поэзии к настоящему времени представлена довольно большим числом исследований [</w:t>
      </w:r>
      <w:r w:rsidRPr="004150FA">
        <w:rPr>
          <w:sz w:val="24"/>
          <w:szCs w:val="24"/>
        </w:rPr>
        <w:t>1</w:t>
      </w:r>
      <w:r w:rsidRPr="004E2A9A">
        <w:rPr>
          <w:sz w:val="24"/>
          <w:szCs w:val="24"/>
        </w:rPr>
        <w:t>], но исчерпанной она считаться не может: и отдельные авторы, и целые эпохи остаются пока неизученными. Нет подобного исследования и о Тютчеве, хотя этот план его творчества, безусловно, заслуживает рассмотрения. Обращение Тютчева к античности – даже если в ряде случаев оно было опосредствовано западноевропейской культурой – почти всегда связано с мировосприятием и с глубочайшими переживаниями поэта; поэтому общему анализу его творчества нередко сопутствует также частичный анализ античной струи в его поэзии [</w:t>
      </w:r>
      <w:r w:rsidRPr="004150FA">
        <w:rPr>
          <w:sz w:val="24"/>
          <w:szCs w:val="24"/>
        </w:rPr>
        <w:t>2</w:t>
      </w:r>
      <w:r w:rsidRPr="004E2A9A">
        <w:rPr>
          <w:sz w:val="24"/>
          <w:szCs w:val="24"/>
        </w:rPr>
        <w:t xml:space="preserve">].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По количеству античных мотивов Тютчев далеко уступает своим старшим и младшим современникам: ему одинаково чужды и мир условной античности Батюшкова, и насыщенность античными реминисценциями, свойственная некоторым стихотворениям Пушкина, и обилие антологических мотивов, характерное для Майкова и Щербины. Творческий путь Тютчева отмечен также отходом от норм поэтического языка эпохи классицизма: образы античной мифологии в их абстрактном применении, для обозначения общих понятий, встречаются лишь в ранних его стихотворениях. Начав однако с неизбежной реакции на классицизм, Тютчев приходит к философскому осмыслению античных образов. В небольшом поэтическом наследии Тютчева можно насчитать немногим более сорока стихотворений, содержащих отклики на античность. Но в разные периоды его жизни эти отклики и по содержанию, и по своим эстетическим функциям неодинаковы.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Знакомиться с древней литературой и с латинским языком Тютчев начал с десятилетнего возраста, в 1813 г., под руководством поэта и переводчика С. Е. Раича («...человек ученый и вместо вполне литературный, отличный знаток классической древности», – писал о нем И. С. Аксаков [</w:t>
      </w:r>
      <w:r w:rsidRPr="004150FA">
        <w:rPr>
          <w:sz w:val="24"/>
          <w:szCs w:val="24"/>
        </w:rPr>
        <w:t>3</w:t>
      </w:r>
      <w:r w:rsidRPr="004E2A9A">
        <w:rPr>
          <w:sz w:val="24"/>
          <w:szCs w:val="24"/>
        </w:rPr>
        <w:t>]). Сам же Раич с восторгом вспоминает о своем ученике, «который по тринадцатому году переводил уже оды Горация с замечательным успехом» [</w:t>
      </w:r>
      <w:r w:rsidRPr="004150FA">
        <w:rPr>
          <w:sz w:val="24"/>
          <w:szCs w:val="24"/>
        </w:rPr>
        <w:t>4</w:t>
      </w:r>
      <w:r w:rsidRPr="004E2A9A">
        <w:rPr>
          <w:sz w:val="24"/>
          <w:szCs w:val="24"/>
        </w:rPr>
        <w:t>]. Особенно плодотворны и значительны для Тютчева были занятия в предуниверситетские годы, о которых Раич говорит: «Я успел приготовить ученика своего к университету, посещая с ним частные лекции А. Ф. Мерзлякова и слушая профессоров словесного факультета. Это время было одной из лучших эпох моей жизни. С каким удовольствием вспоминаю я о тех сладостных часах, когда, бывало, весною и летом, живя в подмосковной, мы с Ф. И. выходили из дому, запасались Горацием, Вергилием или кем-нибудь из отечественных писателей, и, усевшись в роще, на холмике, углублялись в чтение и утопали в чистых наслаждениях красотами гениальных произведений поэзии» [</w:t>
      </w:r>
      <w:r w:rsidRPr="004150FA">
        <w:rPr>
          <w:sz w:val="24"/>
          <w:szCs w:val="24"/>
        </w:rPr>
        <w:t>5</w:t>
      </w:r>
      <w:r w:rsidRPr="004E2A9A">
        <w:rPr>
          <w:sz w:val="24"/>
          <w:szCs w:val="24"/>
        </w:rPr>
        <w:t xml:space="preserve">].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Раич был поклонником Державина и Дмитриева, что не могло не оказать известного влияния и на Тютчева. Преемственность в этом плане постоянно ощущается в тютчевских стихотворениях, при выборе, в частности, некоторых образов из античной истории и мифологии. Почувствовав себя глубоко задетым оттого, что обучавший Тютчева француз Динокур восхищался французским переводом «Георгик» Вергилия, Раич решил «заступиться за честь родины и ее слова» [</w:t>
      </w:r>
      <w:r w:rsidRPr="004150FA">
        <w:rPr>
          <w:sz w:val="24"/>
          <w:szCs w:val="24"/>
        </w:rPr>
        <w:t>6</w:t>
      </w:r>
      <w:r w:rsidRPr="004E2A9A">
        <w:rPr>
          <w:sz w:val="24"/>
          <w:szCs w:val="24"/>
        </w:rPr>
        <w:t xml:space="preserve">] и начал переводить «Георгики» александрийским стихом, сделав одного только своего воспитанника ценителем своих первых опытов.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Знания латинского языка, полученные от Раича, были прочными. «Под его руководством Тютчев превосходно овладел классиками, – пишет И. С. Аксаков, – и сохранил это знание на всю жизнь: даже и предсмертной болезни, разбитому параличом, ему случалось приводить на намять целые строки из римских историков» [</w:t>
      </w:r>
      <w:r w:rsidRPr="004150FA">
        <w:rPr>
          <w:sz w:val="24"/>
          <w:szCs w:val="24"/>
        </w:rPr>
        <w:t>7</w:t>
      </w:r>
      <w:r w:rsidRPr="004E2A9A">
        <w:rPr>
          <w:sz w:val="24"/>
          <w:szCs w:val="24"/>
        </w:rPr>
        <w:t xml:space="preserve">].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Однако в сохранившихся письмах Тютчева латинские цитаты чрезвычайно редки. Зато в одном из ранних писем студенческих лет содержится интересное свидетельство об уровне тогдашних знаний латыни – описание диалога с И. И. Давыдовым, у которого Тютчев слушал курс латинской словесности: «Давыдов vindicta capite imposit a сказал мне и Бычкову: «Vos non amplius morale» [</w:t>
      </w:r>
      <w:r w:rsidRPr="004150FA">
        <w:rPr>
          <w:sz w:val="24"/>
          <w:szCs w:val="24"/>
        </w:rPr>
        <w:t>8</w:t>
      </w:r>
      <w:r w:rsidRPr="004E2A9A">
        <w:rPr>
          <w:sz w:val="24"/>
          <w:szCs w:val="24"/>
        </w:rPr>
        <w:t xml:space="preserve">].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Знал ли Тютчев хоть в какой-нибудь степени греческий язык, неизвестно. В университете он, видимо, не испытывал особого стремления и склонности к профессиональному изучению классической древности. Прослушанные им курсы (кроме упомянутого курса у Давыдова – археологии и искусствознания у М. Т. Каченовского) были для него не более, чем обязательными предметами, как и для всякого образованного человека его времени. На Каченовского, имя которого было синонимом сухости и литературной косности [</w:t>
      </w:r>
      <w:r w:rsidRPr="004150FA">
        <w:rPr>
          <w:sz w:val="24"/>
          <w:szCs w:val="24"/>
        </w:rPr>
        <w:t>9</w:t>
      </w:r>
      <w:r w:rsidRPr="004E2A9A">
        <w:rPr>
          <w:sz w:val="24"/>
          <w:szCs w:val="24"/>
        </w:rPr>
        <w:t xml:space="preserve">], Тютчев написал эпиграмму «Харон и Каченовский», которая свидетельствует о довольно прочных традициях лукиановского жанра «разговоров в царстве мертвых», хорошо знакомого литературе XVIII в. И в дальнейшем античность сыграла заметную роль в прославленном тютчевском юморе и остроумии. Так, например, Австрию Тютчев называет «Ахилл, у которого пятка повсюду», князя А. М. Горчакова – «Нарцисс собственной чернильницы»; сюда же можно отнести и малоизвестную эпиграмму: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За нашим веком мы идем,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Как шла Креуза на Энеем: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Пройдем немного – ослабеем,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Убавим шагу – отстаем [</w:t>
      </w:r>
      <w:r w:rsidRPr="004150FA">
        <w:rPr>
          <w:sz w:val="24"/>
          <w:szCs w:val="24"/>
        </w:rPr>
        <w:t>10</w:t>
      </w:r>
      <w:r w:rsidRPr="004E2A9A">
        <w:rPr>
          <w:sz w:val="24"/>
          <w:szCs w:val="24"/>
        </w:rPr>
        <w:t xml:space="preserve">].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(1830)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Чувство стиля древней поэзии, присущее Тютчеву, проявилось в латинских названиях и эпиграфах некоторых его стихотворений. Так, например, заглавие знаменитого «Silentium!» (1830) очень подходит к афористическому характеру этого стихотворения, выдержанного в стиле, напоминающем древнегреческие стихотворные назидательные изречения – гномы. Гексаметр из Авсония – </w:t>
      </w:r>
      <w:r>
        <w:rPr>
          <w:sz w:val="24"/>
          <w:szCs w:val="24"/>
        </w:rPr>
        <w:t xml:space="preserve"> </w:t>
      </w:r>
      <w:r w:rsidRPr="004E2A9A">
        <w:rPr>
          <w:sz w:val="24"/>
          <w:szCs w:val="24"/>
        </w:rPr>
        <w:t xml:space="preserve"> «Est in arundineis inodulatio imisica ripis», – поставленный эпиграфом к стихотворению «Певучесть есть в морских волнах» (1855) [</w:t>
      </w:r>
      <w:r w:rsidRPr="004150FA">
        <w:rPr>
          <w:sz w:val="24"/>
          <w:szCs w:val="24"/>
        </w:rPr>
        <w:t>11</w:t>
      </w:r>
      <w:r w:rsidRPr="004E2A9A">
        <w:rPr>
          <w:sz w:val="24"/>
          <w:szCs w:val="24"/>
        </w:rPr>
        <w:t xml:space="preserve">], своей плавностью дополняет систему основных понятии стихотворного текста: «певучесть», «гармония», «стройный», «мусикийский». И наконец, начальные слова одной из латинских стилизаций Томаса Грэя, написанной в виде одиночной сапфической строфы, поставлены эпиграфом к стихотворению «Слезы» (конец 20-х годов). Предваряющее весь текст «О lacrimanim fons!» готовит читателя к восприятию основной части стихотворения – торжественной оды, которая сменяет собой спокойную идиллическую картину окружающего мира.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Об объеме знаний Тютчева в области античной истории судить трудно. Два шутливых сравнения в его письмах, относящиеся к министру иностранных дел А. М. Горчакову, не выходят за рамки общеизвестных фактов: эпизоды из жизни Александра Македонского и смерти Эпаминонда [</w:t>
      </w:r>
      <w:r w:rsidRPr="004150FA">
        <w:rPr>
          <w:sz w:val="24"/>
          <w:szCs w:val="24"/>
        </w:rPr>
        <w:t>12</w:t>
      </w:r>
      <w:r w:rsidRPr="004E2A9A">
        <w:rPr>
          <w:sz w:val="24"/>
          <w:szCs w:val="24"/>
        </w:rPr>
        <w:t>]. Даже начало одного из писем ко второй жене Эрнестине Федоровне, где Тютчев обращается к эпизоду из «Ифигении в Авлиде» («Вот я, подобно Агамемнону, встал до зари, чтобы писать вам» – и далее) [</w:t>
      </w:r>
      <w:r w:rsidRPr="004150FA">
        <w:rPr>
          <w:sz w:val="24"/>
          <w:szCs w:val="24"/>
        </w:rPr>
        <w:t>13</w:t>
      </w:r>
      <w:r w:rsidRPr="004E2A9A">
        <w:rPr>
          <w:sz w:val="24"/>
          <w:szCs w:val="24"/>
        </w:rPr>
        <w:t>] могло быть навеяно чтением Расина, но вовсе не трагедией Еврипида. Более необычна для времени Тютчева оценка Аристофана, остроумие которого составляет для поэта контраст с остроумием грубым, «площадным» [</w:t>
      </w:r>
      <w:r w:rsidRPr="004150FA">
        <w:rPr>
          <w:sz w:val="24"/>
          <w:szCs w:val="24"/>
        </w:rPr>
        <w:t>14</w:t>
      </w:r>
      <w:r w:rsidRPr="004E2A9A">
        <w:rPr>
          <w:sz w:val="24"/>
          <w:szCs w:val="24"/>
        </w:rPr>
        <w:t xml:space="preserve">].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Античные сюжеты по раз встречаются в переводах Тютчева, выполненных в разное время: «Прощание Гектора» и «Торжество победителей» Шиллера (у Тютчева «Гектор и Андромаха», 1822 и «Поминки», 1855), в конце 20-х годов монолог Терамена из «Федры» Расина; в 1866 г. – басня неизвестного французского автора, озаглавленная Тютчевым «В Риме». Наиболее интересны в этой связи горацианские мотивы, которые характерны для раннего Тютчева. Ряд прямых заимствований из римского поэта в стихотворениии «На Новый 1816 год» отменен в упомянутом исследовании В. Буша. Тютчев перенял у римского поэта его афоризмы о неумолимом времени и неминуемой смерти [</w:t>
      </w:r>
      <w:r w:rsidRPr="004150FA">
        <w:rPr>
          <w:sz w:val="24"/>
          <w:szCs w:val="24"/>
        </w:rPr>
        <w:t>15</w:t>
      </w:r>
      <w:r w:rsidRPr="004E2A9A">
        <w:rPr>
          <w:sz w:val="24"/>
          <w:szCs w:val="24"/>
        </w:rPr>
        <w:t xml:space="preserve">].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«Горацианство» первой половины XIX в. сменило «анакреонтику» XVIII в.: «Гораций воспринимается прежде всего как певец личной свободы, благоразумной умеренности, скромных житейских благ, любви и дружбы, обретаемых вдали от дел государственных, в «хижине убогой», «под кровом сельского пената» [</w:t>
      </w:r>
      <w:r w:rsidRPr="004150FA">
        <w:rPr>
          <w:sz w:val="24"/>
          <w:szCs w:val="24"/>
        </w:rPr>
        <w:t>16</w:t>
      </w:r>
      <w:r w:rsidRPr="004E2A9A">
        <w:rPr>
          <w:sz w:val="24"/>
          <w:szCs w:val="24"/>
        </w:rPr>
        <w:t xml:space="preserve">]. Более ощутимую дань «горацианству» Тютчев отдал в своем переложении одной из од Горация (Carmina, III, 29), получившей заглавие: «Послание Горация к Меценату, в котором приглашает его к сельскому обеду» (1819). С удивительной точностью, сохраняя пропорции между отдельными частями, Тютчев воспроизвел композицию латинского стихотворения.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В этом, как и в упомянутом ранее стихотворении, а также в стихотворениях последующих лет («К оде Пушкина на Вольность», 1820, «Весна», 1821, «Послание А. В. Шереметеву», 1823) Тютчев часто прибегает к античным образам, установленным класси-цистскими традициями, – «гнев Крона злого» (время), «Коцита грозный брег» (смерть), «дух Алцея» (свобода), «Гармонии сыны» (поэты) и др.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Написанная для выпускного акта и прочитанная в Московском университете 6 июля 1820 г. «Урания» в некоторых отношениях отступает от этого трафарета. Кроме традиционных образов (Мнемозина, хариты, Аквилон, врата Януса), «Урания» содержит еще и философски-поэтическую оценку античного мира, противопоставленного поэтом Востоку – древним Месопотамии и Египту («Вавилону и Фивам, собой являющим «бренного величия мрачный вид»). Эллада и Рим, в их преемственном культурном развитии и непреходящей ценности, представляются поэту миром спета, где все тянется к солнцу: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... Эгея на брегах приветственной главой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К нему склонился лавр; и на холмах Эллады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Его алтарь обвил зеленый мирт Паллады;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Его во гимнах звал к себе певец слепой,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Кони и всадники, вожди и колесницы,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Оставивших Олимп собрание богов...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И в той и в другой культуре поэзия сопутствует войнам: строки о Греции –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Удары гибельной Ареевой десницы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И сладки песни пастухов –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находят для себя соответствие в следующей строке, где говорится о Риме: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... Марсов гром и песни сладкогласны.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Описание античного периода истории завершается «световым» образом Вергилия: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И лебедь Мантуи, взрыв Трои пепл злосчастный,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Вознесся и разлил свет вечный на морях! . 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Упомянутые далее «хаос и мрак» знаменуют, в представлении поэта, начало эпохи средневековья.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К 20-м годам относятся два стихотворения, посвященные Раичу. Мы находим в них «арионовский» мотив поэта в челне («Неверные преодолев пучины», 1820), и одновременно близких и античной и классицистской поэзии Музу, резвящегося Амура, супругу Орфея («На камень жизни роковой», 1820). Эти казалось бы очень обычные для направления классицизма образы у Тютчева выходят за рамки традиционной условности: ведь ими охарактеризован «человек в высшей степени оригинальный, бескорыстный, чистый, вечно пребывающий в мире идиллических мечтаний, сам олицетворенная буколика» [</w:t>
      </w:r>
      <w:r w:rsidRPr="004150FA">
        <w:rPr>
          <w:sz w:val="24"/>
          <w:szCs w:val="24"/>
        </w:rPr>
        <w:t>17</w:t>
      </w:r>
      <w:r w:rsidRPr="004E2A9A">
        <w:rPr>
          <w:sz w:val="24"/>
          <w:szCs w:val="24"/>
        </w:rPr>
        <w:t xml:space="preserve">].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Именно к этому времени у Тютчева сложилось определенное отношение к древности, которое он высказал в стихотворении, обращенном к А. Н. Муравьеву – своему соученику у Раича: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Где вы, о древние народы!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Ваш мир был храмом всех богов,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Вы книгу Матери-природы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Читали ясно без очков! . 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(1821)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Древность для Тютчева – мир, наполненный «златокрылыми мечтами», «чертог волшебный добрых фей», в противоположность «убогой хижине» рационализма, принесенного веком Просвещения [</w:t>
      </w:r>
      <w:r w:rsidRPr="004150FA">
        <w:rPr>
          <w:sz w:val="24"/>
          <w:szCs w:val="24"/>
        </w:rPr>
        <w:t>18</w:t>
      </w:r>
      <w:r w:rsidRPr="004E2A9A">
        <w:rPr>
          <w:sz w:val="24"/>
          <w:szCs w:val="24"/>
        </w:rPr>
        <w:t xml:space="preserve">]. И в дальнейшем своем творчестве сокровища этого чертога Тютчева используют для того, чтобы выразить свою жизненную философию. Опоэтизированные образы античности содержатся главным образом в стихотворениях конца 20-х и начала 30-х годов, и более редко появляются в стихах последнего периода.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В 1822 г. начинается так называемый «мюнхенский» период в жизни поэта, отмеченный живым общением с немецкой интеллигенцией. Тютчев был лично знаком с Гейне и с Шеллингом и с филологом-эллинистом, тогдашним ректором Мюнхенского университета Фридрихом Тиршем. Горячий сторонник самостоятельности Греции, большой знаток и прошлого ее и настоящего, Тирш стал в 1831 г. участником ближневосточной экспедиции Остермана – Толстого; в 1833 г. в столице греческого регентства, Навплии, с дипломатической миссией побывал и Тютчев, – видимо, этот общий круг интересов и общая сфера деятельности сблизили их.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В целом же немецкая литература, с которой соприкоснулся Тютчев, стала для него, после занятий у Раича, весьма значительным этапом восприятия античного наследия. Для тех немецких авторов, творчество которых, по мнению современных исследователей, было знакомо Тютчеву и в какой-то степени оказывало влияние на него, античность была непреходящим, вечно живым источником и для познания, и для художественного воспроизведения мира. Канон немецких поэтов, установленный в зарубежных монографиях, кроме переводившихся Тютчевым Гёте, Шиллера, Гердера, Ленау, Цедлица, Уланда и Гейне, включает также и Эйхендорфа Брентано, Гельдерлина, Новалиса [</w:t>
      </w:r>
      <w:r w:rsidRPr="004150FA">
        <w:rPr>
          <w:sz w:val="24"/>
          <w:szCs w:val="24"/>
        </w:rPr>
        <w:t>19</w:t>
      </w:r>
      <w:r w:rsidRPr="004E2A9A">
        <w:rPr>
          <w:sz w:val="24"/>
          <w:szCs w:val="24"/>
        </w:rPr>
        <w:t xml:space="preserve">]. Поэтому весьма вероятно, что знаменитые образы античной мифологии в стихотворениях Тютчева вызваны к жизни не только русской антологией XVIII в., но также пантеизмом Гёте и натурфилософией немецких романтиков. Однако у Тютчева эти образы подвергаются собственному поэтическому осмыслению, которое приводит к некоторым нарушениям мифологических традиций. Целиком вымышлен Тютчевым эпизод с богиней юности, вызывающей грозу: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Ты скажешь: ветреная Геба,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Кормя Зевесова орла,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Громокипящий кубок с неба,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Смеясь, на землю пролила.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(«Весенняя гроза», 1830)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По сохранившимся же версиям мифов, молнии на землю мог посылать только сам Зевс или его орел [</w:t>
      </w:r>
      <w:r w:rsidRPr="004150FA">
        <w:rPr>
          <w:sz w:val="24"/>
          <w:szCs w:val="24"/>
        </w:rPr>
        <w:t>20</w:t>
      </w:r>
      <w:r w:rsidRPr="004E2A9A">
        <w:rPr>
          <w:sz w:val="24"/>
          <w:szCs w:val="24"/>
        </w:rPr>
        <w:t xml:space="preserve">].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Дважды, но по-разному обращается Тютчев к образу Атланта. В первом случае мы находим привычную трактовку мифа о великане, поддерживающем небо: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Уж звезды светлые взошли,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И, тяготеющий над нами,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Небесный свод приподняли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Своими влажными главами.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(«Летний вечер», 1829)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Функции Атланта здесь переданы небесным светилам [</w:t>
      </w:r>
      <w:r w:rsidRPr="004150FA">
        <w:rPr>
          <w:sz w:val="24"/>
          <w:szCs w:val="24"/>
        </w:rPr>
        <w:t>21</w:t>
      </w:r>
      <w:r w:rsidRPr="004E2A9A">
        <w:rPr>
          <w:sz w:val="24"/>
          <w:szCs w:val="24"/>
        </w:rPr>
        <w:t xml:space="preserve">], и таким образом его сила как бы расширяет для человеческих глаз пространство Вселенной, а это дает поэту возможность с необыкновенной точностью описать в заключительных строфах ощущение вечерней легкости и прохлады, наступившей после знойного дня.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Иной Атлант (в тексте «Атлас») присутствует в «Видении», состоящем всего из двух строф, и тем не менее насыщенном ассоциациями с античностью: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Есть некий час в ночи всемирного молчанья,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И в оный час явлений и чудес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Живая колесница мирозданья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Открыто катится в святилище небес.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Тогда густеет ночь, как хаос на водах;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Беспамятство, как Атлас, давит сушу;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Лишь Музы девственную душу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В пророческих тревожат боги снах! [</w:t>
      </w:r>
      <w:r w:rsidRPr="004150FA">
        <w:rPr>
          <w:sz w:val="24"/>
          <w:szCs w:val="24"/>
        </w:rPr>
        <w:t>22</w:t>
      </w:r>
      <w:r w:rsidRPr="004E2A9A">
        <w:rPr>
          <w:sz w:val="24"/>
          <w:szCs w:val="24"/>
        </w:rPr>
        <w:t xml:space="preserve">]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(1829)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Шестая строка стихотворения как бы заключает собой ряд понятий, постепенно нагнетающих напряжение; этот ряд открывает «колесница» и «святилище» в торжественной и спокойной первой строфе, напоминающие об античных религиозных обрядах и празднествах. Затем среди понятий, обозначающих аморфное начало мира – «ночь», «хаос», «воды», – сила Атланта становится почти физически ощутимой: но она не поддерживает, как в мифе, а давит. И давит настолько, что заключительные строки, обращающие читателя к античной концепции пророческой одаренности поэта, звучат подобно музыкальному разрешению.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Следует отметить еще ту роль эстетических обобщений, которую Тютчев в некоторых случаях предназначает античным мифологическим образам. Словно изваяния, стоящие в конце коридора или аллеи, завершают ход стихотворений Геба [</w:t>
      </w:r>
      <w:r w:rsidRPr="004150FA">
        <w:rPr>
          <w:sz w:val="24"/>
          <w:szCs w:val="24"/>
        </w:rPr>
        <w:t>23</w:t>
      </w:r>
      <w:r w:rsidRPr="004E2A9A">
        <w:rPr>
          <w:sz w:val="24"/>
          <w:szCs w:val="24"/>
        </w:rPr>
        <w:t>], Атлас и, наконец, дремлющий Пан, вписанный в пейзаж жаркого летнего дня, – пейзаж, как и весенняя гроза, сам по себе ничем об античности не напоминающий («Полдень», 1827–1828) [</w:t>
      </w:r>
      <w:r w:rsidRPr="004150FA">
        <w:rPr>
          <w:sz w:val="24"/>
          <w:szCs w:val="24"/>
        </w:rPr>
        <w:t>24</w:t>
      </w:r>
      <w:r w:rsidRPr="004E2A9A">
        <w:rPr>
          <w:sz w:val="24"/>
          <w:szCs w:val="24"/>
        </w:rPr>
        <w:t xml:space="preserve">].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30-е годы открывают в поэзии Тютчева ряд более глубоких и значительных трактовок античных образов. И первым в этом ряду стоит «Цицерон» (1830), написанный, видимо, под впечатлением известий об Июльской революции во Франции [</w:t>
      </w:r>
      <w:bookmarkStart w:id="0" w:name="025"/>
      <w:bookmarkEnd w:id="0"/>
      <w:r w:rsidRPr="004150FA">
        <w:rPr>
          <w:sz w:val="24"/>
          <w:szCs w:val="24"/>
        </w:rPr>
        <w:t>25</w:t>
      </w:r>
      <w:r w:rsidRPr="004E2A9A">
        <w:rPr>
          <w:sz w:val="24"/>
          <w:szCs w:val="24"/>
        </w:rPr>
        <w:t xml:space="preserve">]. В библиотеке Тютчева находился немецкий перевод писем Цицерона и, возможно, это обстоятельство способствовало тому, чтобы поэт заинтересовался Цицероном не как государственным деятелем и оратором, а как человеком и философом.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Может быть, именно поэтому композиция стихотворения напоминает античный философский диалог. В нем можно различить исходную тему – лаконичное переложение автобиографического пассажа из «Брута»: </w:t>
      </w:r>
    </w:p>
    <w:tbl>
      <w:tblPr>
        <w:tblW w:w="5000" w:type="pct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36"/>
        <w:gridCol w:w="5435"/>
      </w:tblGrid>
      <w:tr w:rsidR="00BC6AA7" w:rsidRPr="004E2A9A" w:rsidTr="00C66AB8">
        <w:trPr>
          <w:tblCellSpacing w:w="0" w:type="dxa"/>
          <w:jc w:val="center"/>
        </w:trPr>
        <w:tc>
          <w:tcPr>
            <w:tcW w:w="219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BC6AA7" w:rsidRDefault="00BC6AA7" w:rsidP="00BC6AA7">
            <w:pPr>
              <w:widowControl/>
              <w:tabs>
                <w:tab w:val="left" w:pos="10452"/>
              </w:tabs>
              <w:ind w:right="104"/>
              <w:jc w:val="both"/>
              <w:rPr>
                <w:sz w:val="24"/>
                <w:szCs w:val="24"/>
              </w:rPr>
            </w:pPr>
            <w:r w:rsidRPr="004E2A9A">
              <w:rPr>
                <w:sz w:val="24"/>
                <w:szCs w:val="24"/>
              </w:rPr>
              <w:t xml:space="preserve">Оратор римский говорил </w:t>
            </w:r>
          </w:p>
          <w:p w:rsidR="00BC6AA7" w:rsidRDefault="00BC6AA7" w:rsidP="00BC6AA7">
            <w:pPr>
              <w:widowControl/>
              <w:tabs>
                <w:tab w:val="left" w:pos="10452"/>
              </w:tabs>
              <w:ind w:right="104"/>
              <w:jc w:val="both"/>
              <w:rPr>
                <w:sz w:val="24"/>
                <w:szCs w:val="24"/>
              </w:rPr>
            </w:pPr>
            <w:r w:rsidRPr="004E2A9A">
              <w:rPr>
                <w:sz w:val="24"/>
                <w:szCs w:val="24"/>
              </w:rPr>
              <w:t xml:space="preserve">Средь бурь гражданских и тревоги: </w:t>
            </w:r>
          </w:p>
          <w:p w:rsidR="00BC6AA7" w:rsidRDefault="00BC6AA7" w:rsidP="00BC6AA7">
            <w:pPr>
              <w:widowControl/>
              <w:tabs>
                <w:tab w:val="left" w:pos="10452"/>
              </w:tabs>
              <w:ind w:right="104"/>
              <w:jc w:val="both"/>
              <w:rPr>
                <w:sz w:val="24"/>
                <w:szCs w:val="24"/>
              </w:rPr>
            </w:pPr>
            <w:r w:rsidRPr="004E2A9A">
              <w:rPr>
                <w:sz w:val="24"/>
                <w:szCs w:val="24"/>
              </w:rPr>
              <w:t xml:space="preserve">«Я поздно встал – и на дороге </w:t>
            </w:r>
          </w:p>
          <w:p w:rsidR="00BC6AA7" w:rsidRPr="004E2A9A" w:rsidRDefault="00BC6AA7" w:rsidP="00BC6AA7">
            <w:pPr>
              <w:widowControl/>
              <w:tabs>
                <w:tab w:val="left" w:pos="10452"/>
              </w:tabs>
              <w:ind w:right="104"/>
              <w:jc w:val="both"/>
              <w:rPr>
                <w:sz w:val="24"/>
                <w:szCs w:val="24"/>
              </w:rPr>
            </w:pPr>
            <w:r w:rsidRPr="004E2A9A">
              <w:rPr>
                <w:sz w:val="24"/>
                <w:szCs w:val="24"/>
              </w:rPr>
              <w:t>Застигнут ночью Рима был!»</w:t>
            </w:r>
          </w:p>
        </w:tc>
        <w:tc>
          <w:tcPr>
            <w:tcW w:w="28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tcMar>
              <w:top w:w="0" w:type="dxa"/>
              <w:left w:w="180" w:type="dxa"/>
              <w:bottom w:w="0" w:type="dxa"/>
              <w:right w:w="0" w:type="dxa"/>
            </w:tcMar>
            <w:vAlign w:val="center"/>
          </w:tcPr>
          <w:p w:rsidR="00BC6AA7" w:rsidRDefault="00BC6AA7" w:rsidP="00BC6AA7">
            <w:pPr>
              <w:widowControl/>
              <w:tabs>
                <w:tab w:val="left" w:pos="10452"/>
              </w:tabs>
              <w:ind w:right="104"/>
              <w:jc w:val="both"/>
              <w:rPr>
                <w:sz w:val="24"/>
                <w:szCs w:val="24"/>
              </w:rPr>
            </w:pPr>
            <w:r w:rsidRPr="004E2A9A">
              <w:rPr>
                <w:sz w:val="24"/>
                <w:szCs w:val="24"/>
              </w:rPr>
              <w:t xml:space="preserve">«Скорблю, что, вступив на жизненную дорогу </w:t>
            </w:r>
          </w:p>
          <w:p w:rsidR="00BC6AA7" w:rsidRDefault="00BC6AA7" w:rsidP="00BC6AA7">
            <w:pPr>
              <w:widowControl/>
              <w:tabs>
                <w:tab w:val="left" w:pos="10452"/>
              </w:tabs>
              <w:ind w:right="104"/>
              <w:jc w:val="both"/>
              <w:rPr>
                <w:sz w:val="24"/>
                <w:szCs w:val="24"/>
              </w:rPr>
            </w:pPr>
            <w:r w:rsidRPr="004E2A9A">
              <w:rPr>
                <w:sz w:val="24"/>
                <w:szCs w:val="24"/>
              </w:rPr>
              <w:t xml:space="preserve">с некоторым опозданием, я, прежде чем был </w:t>
            </w:r>
          </w:p>
          <w:p w:rsidR="00BC6AA7" w:rsidRDefault="00BC6AA7" w:rsidP="00BC6AA7">
            <w:pPr>
              <w:widowControl/>
              <w:tabs>
                <w:tab w:val="left" w:pos="10452"/>
              </w:tabs>
              <w:ind w:right="104"/>
              <w:jc w:val="both"/>
              <w:rPr>
                <w:sz w:val="24"/>
                <w:szCs w:val="24"/>
              </w:rPr>
            </w:pPr>
            <w:r w:rsidRPr="004E2A9A">
              <w:rPr>
                <w:sz w:val="24"/>
                <w:szCs w:val="24"/>
              </w:rPr>
              <w:t xml:space="preserve">окончен путь, погрузился в эту ночь республики». </w:t>
            </w:r>
          </w:p>
          <w:p w:rsidR="00BC6AA7" w:rsidRPr="004E2A9A" w:rsidRDefault="00BC6AA7" w:rsidP="00BC6AA7">
            <w:pPr>
              <w:widowControl/>
              <w:tabs>
                <w:tab w:val="left" w:pos="10452"/>
              </w:tabs>
              <w:ind w:right="104"/>
              <w:jc w:val="both"/>
              <w:rPr>
                <w:sz w:val="24"/>
                <w:szCs w:val="24"/>
              </w:rPr>
            </w:pPr>
            <w:r w:rsidRPr="004E2A9A">
              <w:rPr>
                <w:sz w:val="24"/>
                <w:szCs w:val="24"/>
              </w:rPr>
              <w:t>(гл. 96)</w:t>
            </w:r>
          </w:p>
        </w:tc>
      </w:tr>
    </w:tbl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Далее, авторский ответ Цицерону содержит поэтическую и наглядную характеристику того периода римской истории, которому в научных трудах посвящены десятки и сотни страниц: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Так! Но прощаясь с римской славой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С Капитолийской высоты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Во всем величьи видел ты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Закат звезды его кровавой!..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И наконец, вся вторая половина стихотворения, трактующая тему отношения человеческой личности к ходу исторического процесса [</w:t>
      </w:r>
      <w:bookmarkStart w:id="1" w:name="026"/>
      <w:bookmarkEnd w:id="1"/>
      <w:r w:rsidRPr="004150FA">
        <w:rPr>
          <w:sz w:val="24"/>
          <w:szCs w:val="24"/>
        </w:rPr>
        <w:t>26</w:t>
      </w:r>
      <w:r w:rsidRPr="004E2A9A">
        <w:rPr>
          <w:sz w:val="24"/>
          <w:szCs w:val="24"/>
        </w:rPr>
        <w:t xml:space="preserve">] и погружающая читателя, как и «Silentium!», в сферу афористического стиля, напоминает назидательные заключения древних философских диалогов.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Для стихотворений второй половины 30-х и 50-х годов [</w:t>
      </w:r>
      <w:bookmarkStart w:id="2" w:name="027"/>
      <w:bookmarkEnd w:id="2"/>
      <w:r w:rsidRPr="004150FA">
        <w:rPr>
          <w:sz w:val="24"/>
          <w:szCs w:val="24"/>
        </w:rPr>
        <w:t>27</w:t>
      </w:r>
      <w:r w:rsidRPr="004E2A9A">
        <w:rPr>
          <w:sz w:val="24"/>
          <w:szCs w:val="24"/>
        </w:rPr>
        <w:t xml:space="preserve">] характерны три философских образа, которые восходят к античным философским системам. Это вечный, недосягаемый мир богов: затем – противоположность этого мира – хаос или бездна как воплощение темного начала; и божество, находящееся в непосредственной близости к миру людей, – рок, судьба.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Поэтические разработки этих образов составляют ту неповторимую сторону философской лирики Тютчева, которая всегда давала основание сближать поэта с античным миром по общему настроению, по духу [</w:t>
      </w:r>
      <w:bookmarkStart w:id="3" w:name="028"/>
      <w:bookmarkEnd w:id="3"/>
      <w:r w:rsidRPr="004150FA">
        <w:rPr>
          <w:sz w:val="24"/>
          <w:szCs w:val="24"/>
        </w:rPr>
        <w:t>28</w:t>
      </w:r>
      <w:r w:rsidRPr="004E2A9A">
        <w:rPr>
          <w:sz w:val="24"/>
          <w:szCs w:val="24"/>
        </w:rPr>
        <w:t xml:space="preserve">].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В античной литературе художественный образ хаоса отсутствует, и поэтому хаос в стихах Тютчева – опять своеобразное </w:t>
      </w:r>
      <w:r>
        <w:rPr>
          <w:sz w:val="24"/>
          <w:szCs w:val="24"/>
        </w:rPr>
        <w:t xml:space="preserve"> </w:t>
      </w:r>
      <w:r w:rsidRPr="004E2A9A">
        <w:rPr>
          <w:sz w:val="24"/>
          <w:szCs w:val="24"/>
        </w:rPr>
        <w:t xml:space="preserve">мифотворчество, только уже с философским оттенком. Стихия, окружающая земную жизнь, «неизмеримость темных волн» («Как океан объемлет шар земной», 1830) находит свое дальнейшее развитие в образах первоначала – «древнего родимого хаоса» и близкого ему мира «ночной души» («О чем ты воешь, ветр ночной?», 1836), а затем – «ночного хаоса» – вместилища «смертных дум, освобожденных сном» («Как сладко дремлет сад темнозеленый», 1836).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В дальнейшем синонимами хаоса служат «бездна», «безымянная бездна», «темная пропасть»; светлое же начало, день – всего лишь «покров, накинутый над бездной» («Святая ночь на небосклон взошла», 1850). Этот мотив в подобной трактовке встречается и раньше!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На мир таинственный духов,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Над этой бездной безымянной,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Покров наброшен златотканый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Высокой волею богов.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День – сей блистательный покров...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(«День и ночь», 1839)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Эпитет «высокий» в данном случае чрезвычайно точен и выразителен для тютчевского образа богов. Мир богов всегда вознесен над миром людей. Это подтверждается следующими сравнениями: «Горе, как божества родные» («Снежные горы», 1830), «светозарный бог» (известный эпитет Аполлона – «Ты зрел его в кругу большого света», 1830), «... как божества горят светлей в эфире чистом и незримом» («Душа хотела б быть звездой», 1836), Обычные эпитеты богов – «благие» («Странник», 1830), «всеблагие» («Цицерон»), «блаженно-равнодушные» («Весна», 1838).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В нескольких стихотворениях разного времени поэт обращается к теме взаимоотношения олимпийцев с земными поколениями. Сначала это гостеприимство небожителей: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Угоден Зевсу бедный странник [</w:t>
      </w:r>
      <w:bookmarkStart w:id="4" w:name="029"/>
      <w:bookmarkEnd w:id="4"/>
      <w:r w:rsidRPr="004150FA">
        <w:rPr>
          <w:sz w:val="24"/>
          <w:szCs w:val="24"/>
        </w:rPr>
        <w:t>29</w:t>
      </w:r>
      <w:r w:rsidRPr="004E2A9A">
        <w:rPr>
          <w:sz w:val="24"/>
          <w:szCs w:val="24"/>
        </w:rPr>
        <w:t xml:space="preserve">],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Над ним святой его покров! . .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Домашних очагов изгнанник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Он гостем стал благих богов! . 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(«Странник», 1830)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Или: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... его призвали всеблагие,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Как собеседника на пир.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(«Цицерон», 1830)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На смену этой эпической простоте и возвышенности, напоминающим гомеровские эпизоды общения богов с людьми, приходит трагизм более поздних стихотворений – «Кончен пир» и </w:t>
      </w:r>
      <w:r>
        <w:rPr>
          <w:sz w:val="24"/>
          <w:szCs w:val="24"/>
        </w:rPr>
        <w:t xml:space="preserve"> </w:t>
      </w:r>
      <w:r w:rsidRPr="004E2A9A">
        <w:rPr>
          <w:sz w:val="24"/>
          <w:szCs w:val="24"/>
        </w:rPr>
        <w:t xml:space="preserve"> «Два голоса» (оба в 1850 г.) В первом из них после удивительного по своей «античной» конкретности описания пира и следующего затем «вневременного» описания ночного шумного города заключительные строки утверждают еще возможность какого-то приобщения небожителей к земному миру: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Звезды чистые горели,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Отвечая смертным взглядам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Непорочными лучами.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В «Двух голосах» боги полностью отделены от человеческого мира тревог и борьбы: в первой половине стихотворения они безмятежны и равнодушны, а во второй – завистливы. Это стихотворение, относимое частью исследователей к «загадочным», содержит текстуальное совпадение с масонским гимном Гёте «Symbolum» [</w:t>
      </w:r>
      <w:bookmarkStart w:id="5" w:name="030"/>
      <w:bookmarkEnd w:id="5"/>
      <w:r w:rsidRPr="004150FA">
        <w:rPr>
          <w:sz w:val="24"/>
          <w:szCs w:val="24"/>
        </w:rPr>
        <w:t>30</w:t>
      </w:r>
      <w:r w:rsidRPr="004E2A9A">
        <w:rPr>
          <w:sz w:val="24"/>
          <w:szCs w:val="24"/>
        </w:rPr>
        <w:t>], a описание блаженных богов напоминает отдельные строки «Песни судьбы» из романа,- Гельдерлига «Гиперион» [</w:t>
      </w:r>
      <w:bookmarkStart w:id="6" w:name="031"/>
      <w:bookmarkEnd w:id="6"/>
      <w:r w:rsidRPr="004150FA">
        <w:rPr>
          <w:sz w:val="24"/>
          <w:szCs w:val="24"/>
        </w:rPr>
        <w:t>31</w:t>
      </w:r>
      <w:r w:rsidRPr="004E2A9A">
        <w:rPr>
          <w:sz w:val="24"/>
          <w:szCs w:val="24"/>
        </w:rPr>
        <w:t>]. Последняя строка стихотворения дешифруется как тема титанов, борющихся с Зевсом: [</w:t>
      </w:r>
      <w:bookmarkStart w:id="7" w:name="032"/>
      <w:bookmarkEnd w:id="7"/>
      <w:r w:rsidRPr="004150FA">
        <w:rPr>
          <w:sz w:val="24"/>
          <w:szCs w:val="24"/>
        </w:rPr>
        <w:t>32</w:t>
      </w:r>
      <w:r w:rsidRPr="004E2A9A">
        <w:rPr>
          <w:sz w:val="24"/>
          <w:szCs w:val="24"/>
        </w:rPr>
        <w:t xml:space="preserve">]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Пускай олимпийцы завистливым оком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Глядят на борьбу непреклонных сердец,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Кто, ратуя, пал, побежденный лишь Роком,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Тот вырвал из рук их победный венец.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Разная трактовка темы сказалась и в метрическом оформлении этих стихотворений. В отличие от примененных поэтом в описании пира четырехстопных трохеев, – размера, характерного для древних «анакреонтик», амфибрахии «Двух голосов» напоминают нам тяжелую поступь заключительных хоров в античных трагедиях.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Тема рока трактуется Тютчевым неоднократно, и здесь поэт близок к античному пониманию фатума (мойры). Это – нечто, управляющее человеческой жизнью, «что не подлежит исследованию, не имеет никакого имени и превышает человеческие потребности и человеческие способности» [</w:t>
      </w:r>
      <w:bookmarkStart w:id="8" w:name="033"/>
      <w:bookmarkEnd w:id="8"/>
      <w:r w:rsidRPr="004150FA">
        <w:rPr>
          <w:sz w:val="24"/>
          <w:szCs w:val="24"/>
        </w:rPr>
        <w:t>33</w:t>
      </w:r>
      <w:r w:rsidRPr="004E2A9A">
        <w:rPr>
          <w:sz w:val="24"/>
          <w:szCs w:val="24"/>
        </w:rPr>
        <w:t>]. В таком виде эта тема возникает даже в тех стихах, которые лишены видимых античных образов: «Предопределение», 1851–1852; «Близнецы», 1852; «Две силы есть», 1869. «Два голоса» можно рассматривать как логическое завершение этой темы: именно в этих стихах Блоком было отмечено «эллинское, дохристово чувство рока, трагическое» [</w:t>
      </w:r>
      <w:bookmarkStart w:id="9" w:name="034"/>
      <w:bookmarkEnd w:id="9"/>
      <w:r w:rsidRPr="004150FA">
        <w:rPr>
          <w:sz w:val="24"/>
          <w:szCs w:val="24"/>
        </w:rPr>
        <w:t>34</w:t>
      </w:r>
      <w:r w:rsidRPr="004E2A9A">
        <w:rPr>
          <w:sz w:val="24"/>
          <w:szCs w:val="24"/>
        </w:rPr>
        <w:t xml:space="preserve">].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Так, начав в юности с классицистских штампов, Тютчев приходит к подлинно философскому осмыслению античности.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К началу 50-х годов относится и поэтическая оценка Тютчевым Гомера. В стихотворении «Памяти В. А. Жуковского» (1852) Тютчев вспоминает о чтении перевода «Одиссеи»: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Он были мне Омировы читал...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Цветущие и радужные были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Младенческих первоначальных лет [</w:t>
      </w:r>
      <w:bookmarkStart w:id="10" w:name="035"/>
      <w:bookmarkEnd w:id="10"/>
      <w:r w:rsidRPr="004150FA">
        <w:rPr>
          <w:sz w:val="24"/>
          <w:szCs w:val="24"/>
        </w:rPr>
        <w:t>35</w:t>
      </w:r>
      <w:r w:rsidRPr="004E2A9A">
        <w:rPr>
          <w:sz w:val="24"/>
          <w:szCs w:val="24"/>
        </w:rPr>
        <w:t xml:space="preserve">].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Необходимо еще отметить ряд оригинальных, собственно-тютчевских сравнений и метафор на античной основе. Так, например, строками: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Как дочь родную на закланье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Агамемнон богам принес...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– начинается стихотворение, написанное по поводу взятия русскими Варшавы в 1831 г. Несколько позже лирика Тютчева обретает одну из самых выразительных античных метафор: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Душа моя – Элизиум теней,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Теней безмолвных, светлых и прекрасных... [</w:t>
      </w:r>
      <w:bookmarkStart w:id="11" w:name="036"/>
      <w:bookmarkEnd w:id="11"/>
      <w:r w:rsidRPr="004150FA">
        <w:rPr>
          <w:sz w:val="24"/>
          <w:szCs w:val="24"/>
        </w:rPr>
        <w:t>36</w:t>
      </w:r>
      <w:r w:rsidRPr="004E2A9A">
        <w:rPr>
          <w:sz w:val="24"/>
          <w:szCs w:val="24"/>
        </w:rPr>
        <w:t xml:space="preserve">]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(Не позднее 1836)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Древним божеством метафорически уподобляется и поэзия: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Она с небес слетает к нам –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Небесная к земным сынам,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С лазурной ясностью во взоре –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И на бунтующее море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Льет примирительный елей.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(«Поэзия», 1850)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Также «античная» метафора присутствует и в стихотворении «денисьевского цикла»: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Толпа вошла, толпа вломилась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В святилище души твоей,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И ты невольно устыдилась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И тайн, и жертв, доступных ей.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(«Чему молилась ты с любовью», 1851–1852)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Восхищаясь дипломатической деятельностью А. М. Горчакова, Тютчев прибегает к наиболее выразительному и понятному образу античного рационализма: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Счастлив, кто точку Архимеда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Сумел сыскать в самом себе.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(«Да, вы сдержали ваше слово», 1870)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Однако сам Тютчев подобной внутренней опоры был лишен. Его биография и многие стихотворения говорят о его глубоко двойственной, мятущейся натуре. Это сказалась и в некоторых трактовках античных мотивов, которые иногда разрешаются намеками на культуру христианскую. Подлинно языческие (частью приведенные выше) строфы «Странника» (1830) заключает явная тенденция к монотеизму: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Ему отверста вся земля,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Он видит все и славит бога! . 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Более показательно в этом смысле стихотворение «Певучесть есть в морских волнах» (1865), в котором античное восприятие гармонии Вселенной («стройный мусикийский шорох», «невозмутимый строй во всем») сменяется ощущением разлада с природой, сознанием индивидуализма, специфичного для христианского мировоззрения; отсюда парафраза евангельской цитаты в конце: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Глас вопиющего в пустыне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Души отчаянной протест?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Обладая живым чувством античности – пусть иногда за счет фактических знаний, – Тютчев не мог примириться с иным ее восприятием у некоторых своих современников. В 1857 г. была написана в этом плане поэтическая отповедь Н. Ф. Щербине, чья слащавая античность в представлении Тютчева была лишь «болезненной мечтой», понятной только в отторгнутом от свободы и родины человеке. «Эллинский узник» во второй строфе, в сочетании со «скифской вьюгой снеговою», вызывает невольные ассоциации с образами в стихотворении Пушкина «К Овидию» («пустыня мрачная, поэта заточенье» и «хладной Скифии свирепые сыны»).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Тютчевская античность в целом, видимо, была оценена уже современниками поэта. Обращаясь к памяти Тютчева, А. Н. Майков писал: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Народы, племена, их гений, их судьбы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Стоят перед тобой, своей идеи полны,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Как вдруг застывшие в разбеге бурном волны,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Как в самый жаркий миг отчаянной борьбы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Окаменевшие атлеты. </w:t>
      </w:r>
    </w:p>
    <w:p w:rsidR="00BC6AA7" w:rsidRPr="00CF2218" w:rsidRDefault="00BC6AA7" w:rsidP="00BC6AA7">
      <w:pPr>
        <w:tabs>
          <w:tab w:val="left" w:pos="10452"/>
        </w:tabs>
        <w:spacing w:before="120"/>
        <w:ind w:right="104"/>
        <w:jc w:val="center"/>
        <w:rPr>
          <w:b/>
          <w:bCs/>
          <w:sz w:val="28"/>
          <w:szCs w:val="28"/>
        </w:rPr>
      </w:pPr>
      <w:r w:rsidRPr="00CF2218">
        <w:rPr>
          <w:b/>
          <w:bCs/>
          <w:sz w:val="28"/>
          <w:szCs w:val="28"/>
        </w:rPr>
        <w:t>Список литературы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 [</w:t>
      </w:r>
      <w:r w:rsidRPr="004150FA">
        <w:rPr>
          <w:sz w:val="24"/>
          <w:szCs w:val="24"/>
        </w:rPr>
        <w:t>1</w:t>
      </w:r>
      <w:r w:rsidRPr="004E2A9A">
        <w:rPr>
          <w:sz w:val="24"/>
          <w:szCs w:val="24"/>
        </w:rPr>
        <w:t xml:space="preserve">] См. : «Древняя Греция и древний Рим». Библиографич. указатель изданий, вышедших в СССР (1895–1959). Сост. А. И. Воронков. М., 1961.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2</w:t>
      </w:r>
      <w:r w:rsidRPr="004E2A9A">
        <w:rPr>
          <w:sz w:val="24"/>
          <w:szCs w:val="24"/>
        </w:rPr>
        <w:t xml:space="preserve">] Можно указать, например, исследования советского периода: Л. В. Пумпянский. Поэзия Ф. И. Тютчева. – В кн.: «Урания. Тютчевский альманах, 1803–1928». Л., 1928; Д. Д. Благой. Гениальный русский лирик (Ф. И. Тютчев). – В кн.: «Литература и действительность. Вопросы теории и истории литературы». М., 1959; К. В. Пигарев. Жизнь и творчество Тютчева. М., 1962 и др. Также зарубежные исследования: D. Stremooukhoff. La poésie et l'idéologie de Tioutchev. </w:t>
      </w:r>
      <w:r w:rsidRPr="0040541A">
        <w:rPr>
          <w:sz w:val="24"/>
          <w:szCs w:val="24"/>
          <w:lang w:val="en-US"/>
        </w:rPr>
        <w:t xml:space="preserve">Paris, 1937; D. Čyzevskyj. Tioutcev und die deutsche Romantik. – «Zeitschr. f. slav. Philologie», Bd. IV, Dopp. – Hft. 3–4. Leipzig, 1927; A. Gregg. Fedor Tiutcshev. </w:t>
      </w:r>
      <w:r w:rsidRPr="004E2A9A">
        <w:rPr>
          <w:sz w:val="24"/>
          <w:szCs w:val="24"/>
        </w:rPr>
        <w:t xml:space="preserve">The evolution of the poet. N. Y., 1965. Кроме того, некоторые работы об античных авторах (а иногда и работы о русской поэзии) содержат ассоциации с античностью у Тютчева. Андрей Белый, говоря о русской поэзии XIX в. в целом («Апокалипсис русской поэзии». – Сб. «Весы», 1905), отмечает непроизвольные совпадения лирики Тютчева с образами греческой антологии. С. М. Соловьев, объясняя творчество Эсхила, сближает греческого трагика с «ночными мотивами» в тютчевских стихотворениях (Эсхил. Прометей прикованный. Иоровод с греческого С. М. Соловьева и В. Нилендера. Вступ. Статьи A. В. Луначарского и С. М. Соловьева. М.–Л., 1927); немецкий ученый B. Буш считает переведенную Тютчевым оду Горация значительным этапом в освоении римского лирика русской переводческой практикой (W, Busch. Horaz im Rusland. München, 1964).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3</w:t>
      </w:r>
      <w:r w:rsidRPr="004E2A9A">
        <w:rPr>
          <w:sz w:val="24"/>
          <w:szCs w:val="24"/>
        </w:rPr>
        <w:t xml:space="preserve">] И. С. Аксаков. Биография Федора Иваонвича Тютчева. М., 1886,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 xml:space="preserve">стр. 12–13.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4</w:t>
      </w:r>
      <w:r w:rsidRPr="004E2A9A">
        <w:rPr>
          <w:sz w:val="24"/>
          <w:szCs w:val="24"/>
        </w:rPr>
        <w:t xml:space="preserve">] Автобиография С. Е. Раича. – «Русский библиофил», 1913, № 8, стр. 24.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5</w:t>
      </w:r>
      <w:r w:rsidRPr="004E2A9A">
        <w:rPr>
          <w:sz w:val="24"/>
          <w:szCs w:val="24"/>
        </w:rPr>
        <w:t xml:space="preserve">] И. С. Аксаков. Указ. соч.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6</w:t>
      </w:r>
      <w:r w:rsidRPr="004E2A9A">
        <w:rPr>
          <w:sz w:val="24"/>
          <w:szCs w:val="24"/>
        </w:rPr>
        <w:t xml:space="preserve">] Там же.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7</w:t>
      </w:r>
      <w:r w:rsidRPr="004E2A9A">
        <w:rPr>
          <w:sz w:val="24"/>
          <w:szCs w:val="24"/>
        </w:rPr>
        <w:t xml:space="preserve">] Там же.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8</w:t>
      </w:r>
      <w:r w:rsidRPr="004E2A9A">
        <w:rPr>
          <w:sz w:val="24"/>
          <w:szCs w:val="24"/>
        </w:rPr>
        <w:t xml:space="preserve">] Речь шла о предстоящем латинском экзамене (письмо к М. П. Погодину, № 10. – «Красный архив», т. 4. М., 1923).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9</w:t>
      </w:r>
      <w:r w:rsidRPr="004E2A9A">
        <w:rPr>
          <w:sz w:val="24"/>
          <w:szCs w:val="24"/>
        </w:rPr>
        <w:t xml:space="preserve">] Ср. эпиграммы Пушкина «Клеветник без дарованья» и «Как! жив еще Курилка журналист?»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10</w:t>
      </w:r>
      <w:r w:rsidRPr="004E2A9A">
        <w:rPr>
          <w:sz w:val="24"/>
          <w:szCs w:val="24"/>
        </w:rPr>
        <w:t xml:space="preserve">] Стихи Тютчева цитируются по изд.: Ф. И. Тютчев. Лирика, т. I–II. М., 1966).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11</w:t>
      </w:r>
      <w:r w:rsidRPr="004E2A9A">
        <w:rPr>
          <w:sz w:val="24"/>
          <w:szCs w:val="24"/>
        </w:rPr>
        <w:t xml:space="preserve">] В первоначальном варианте – заглавие.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12</w:t>
      </w:r>
      <w:r w:rsidRPr="004E2A9A">
        <w:rPr>
          <w:sz w:val="24"/>
          <w:szCs w:val="24"/>
        </w:rPr>
        <w:t xml:space="preserve">] Письмо Э. Ф. Тютчевой от 27 июля 1854 г. (Ф. И. Тютчев. Стихотворения. Письма. М., 1957); письмо А. М. Горчакову от 10 января 1867 г. («Лит. наследство», тт. 19–21, 1935).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13</w:t>
      </w:r>
      <w:r w:rsidRPr="004E2A9A">
        <w:rPr>
          <w:sz w:val="24"/>
          <w:szCs w:val="24"/>
        </w:rPr>
        <w:t xml:space="preserve">] Письмо Э. Ф. Тютчевой от 29 мая 1858 г. («Письма Тютчева к его второй жене». СПб., 1914).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14</w:t>
      </w:r>
      <w:r w:rsidRPr="004E2A9A">
        <w:rPr>
          <w:sz w:val="24"/>
          <w:szCs w:val="24"/>
        </w:rPr>
        <w:t xml:space="preserve">] Письмо к П. А. Вяземскому (Ф. И. Тютчев. Стихотворения. Письма).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15</w:t>
      </w:r>
      <w:r w:rsidRPr="004E2A9A">
        <w:rPr>
          <w:sz w:val="24"/>
          <w:szCs w:val="24"/>
        </w:rPr>
        <w:t xml:space="preserve">] W. Busch. Указ. соч., стр. 23. Предположите:!ыюо первоначальное заглавие этого стихотворения – «Вельможа. Подражание Горацию». Оно было прочитано Мерзляковым в Общество любителей Российской словесности (1818) и 13-летний Тютчев после итого был принят и общество.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16</w:t>
      </w:r>
      <w:r w:rsidRPr="004E2A9A">
        <w:rPr>
          <w:sz w:val="24"/>
          <w:szCs w:val="24"/>
        </w:rPr>
        <w:t xml:space="preserve">] К. Пигарев. Указ. соч., стр. 14 и далее о переработке Тютчевым оды Горация применительно к русской природе и русской действительности (стр. 14–16), и о возможных русских источниках и поэтических параллелях стихотворения Тютчева (стр. 32–33).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17</w:t>
      </w:r>
      <w:r w:rsidRPr="004E2A9A">
        <w:rPr>
          <w:sz w:val="24"/>
          <w:szCs w:val="24"/>
        </w:rPr>
        <w:t xml:space="preserve">] И. С. Аксаков. Указ. соч., стр. 13.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18</w:t>
      </w:r>
      <w:r w:rsidRPr="004E2A9A">
        <w:rPr>
          <w:sz w:val="24"/>
          <w:szCs w:val="24"/>
        </w:rPr>
        <w:t xml:space="preserve">] Здесь очевидно созвучие настроений с Баратынским – «Исчезнули при свете Просвещенья поэзии ребяческие сны» («Последний поэт», 1833–1834).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0541A">
        <w:rPr>
          <w:sz w:val="24"/>
          <w:szCs w:val="24"/>
          <w:lang w:val="en-US"/>
        </w:rPr>
        <w:t xml:space="preserve">[19] </w:t>
      </w:r>
      <w:r w:rsidRPr="004E2A9A">
        <w:rPr>
          <w:sz w:val="24"/>
          <w:szCs w:val="24"/>
        </w:rPr>
        <w:t>А</w:t>
      </w:r>
      <w:r w:rsidRPr="0040541A">
        <w:rPr>
          <w:sz w:val="24"/>
          <w:szCs w:val="24"/>
          <w:lang w:val="en-US"/>
        </w:rPr>
        <w:t xml:space="preserve">. Bet. Tioutchev und die deutsche Literatur. – «Germanoslavika», Jahr. </w:t>
      </w:r>
      <w:r w:rsidRPr="004E2A9A">
        <w:rPr>
          <w:sz w:val="24"/>
          <w:szCs w:val="24"/>
        </w:rPr>
        <w:t xml:space="preserve">III, 1935, № 3-4, S. 383; A. Gregg. Указ. соч., стр. 7.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20</w:t>
      </w:r>
      <w:r w:rsidRPr="004E2A9A">
        <w:rPr>
          <w:sz w:val="24"/>
          <w:szCs w:val="24"/>
        </w:rPr>
        <w:t xml:space="preserve">] Этот образ жизнерадостной юной Гебы находится в несомненной связи со стихотиорением Г. Р. Державина «Геба. На бракосочетание великой княгини Екатерины Павловны с принцем Георгием Ольденбургским» («Стихотворения». М., 1958, стр. 273).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21</w:t>
      </w:r>
      <w:r w:rsidRPr="004E2A9A">
        <w:rPr>
          <w:sz w:val="24"/>
          <w:szCs w:val="24"/>
        </w:rPr>
        <w:t xml:space="preserve">] Ю. Тынянов полагает, что «главы звезд» в этой строфе восходят к «челам звезд» и поззии XVIII в. («Вопрос о Тютчеве». – В кн. «Архаисты и новаторы». Л., 1929).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22</w:t>
      </w:r>
      <w:r w:rsidRPr="004E2A9A">
        <w:rPr>
          <w:sz w:val="24"/>
          <w:szCs w:val="24"/>
        </w:rPr>
        <w:t xml:space="preserve">] Факт, что мы имеем здесь дело с поэтическим воплощением впечатлений от реальной действительности, находит подтверждение в мемуарах К. С. Пет-рова-Водкиаа («Хлыновск». Л., 1930, стр. 209): «Есть глухой ночной момент, когда звуки стихают все. Это перелом ночи. И в этой торжественной, напряженной тишине и видимые в прорез навеса звезды, и сама земля кажутся грезящими подобно животным».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23</w:t>
      </w:r>
      <w:r w:rsidRPr="004E2A9A">
        <w:rPr>
          <w:sz w:val="24"/>
          <w:szCs w:val="24"/>
        </w:rPr>
        <w:t xml:space="preserve">] Очень вероятно, что Тютчеву была известна скульптура Кановы–Геба, кормящая орла.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r w:rsidRPr="004150FA">
        <w:rPr>
          <w:sz w:val="24"/>
          <w:szCs w:val="24"/>
        </w:rPr>
        <w:t>24</w:t>
      </w:r>
      <w:r w:rsidRPr="004E2A9A">
        <w:rPr>
          <w:sz w:val="24"/>
          <w:szCs w:val="24"/>
        </w:rPr>
        <w:t xml:space="preserve">] Генезис образа Пана также, возможно, связан с немецкой философией: Л. В. Пумпянский (указ. соч.) отмечает, что «Пан был любимым божеством Кройцера и Шеллинга».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bookmarkStart w:id="12" w:name="25"/>
      <w:bookmarkEnd w:id="12"/>
      <w:r w:rsidRPr="004150FA">
        <w:rPr>
          <w:sz w:val="24"/>
          <w:szCs w:val="24"/>
        </w:rPr>
        <w:t>25</w:t>
      </w:r>
      <w:r w:rsidRPr="004E2A9A">
        <w:rPr>
          <w:sz w:val="24"/>
          <w:szCs w:val="24"/>
        </w:rPr>
        <w:t xml:space="preserve">] К. Пигарев. Указ. соч., стр. 191–192.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bookmarkStart w:id="13" w:name="26"/>
      <w:bookmarkEnd w:id="13"/>
      <w:r w:rsidRPr="004150FA">
        <w:rPr>
          <w:sz w:val="24"/>
          <w:szCs w:val="24"/>
        </w:rPr>
        <w:t>26</w:t>
      </w:r>
      <w:r w:rsidRPr="004E2A9A">
        <w:rPr>
          <w:sz w:val="24"/>
          <w:szCs w:val="24"/>
        </w:rPr>
        <w:t xml:space="preserve">] Л. В. Пумпянский (указ. соч.) остроумно толкует вторую половину Цицерона применительно к «Феноменологии духа» Гегеля; но прямые доказательства непосредственной преемственности отсутствуют.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bookmarkStart w:id="14" w:name="27"/>
      <w:bookmarkEnd w:id="14"/>
      <w:r w:rsidRPr="004150FA">
        <w:rPr>
          <w:sz w:val="24"/>
          <w:szCs w:val="24"/>
        </w:rPr>
        <w:t>27</w:t>
      </w:r>
      <w:r w:rsidRPr="004E2A9A">
        <w:rPr>
          <w:sz w:val="24"/>
          <w:szCs w:val="24"/>
        </w:rPr>
        <w:t xml:space="preserve">] В период 1840–1850 гг. не было написано ни одного стихотворения.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bookmarkStart w:id="15" w:name="28"/>
      <w:bookmarkEnd w:id="15"/>
      <w:r w:rsidRPr="004150FA">
        <w:rPr>
          <w:sz w:val="24"/>
          <w:szCs w:val="24"/>
        </w:rPr>
        <w:t>28</w:t>
      </w:r>
      <w:r w:rsidRPr="004E2A9A">
        <w:rPr>
          <w:sz w:val="24"/>
          <w:szCs w:val="24"/>
        </w:rPr>
        <w:t xml:space="preserve">] Например: «В русской поэзии один поэт был проникнут духом Эсхила» (С. М. Соловьев. Указ. соч., стр. 45); «...античный дуалистический пантеизм приходит на ум, когда вдумываешься в мироощущение Тютчева» (С. Франк. Космическое чувство в поэзии Тютчева. – Русская мысль, 1913, № 11, стр. 17); «в творчестве Тютчева можно различить две струи: одну – аполлоновскую, светлую, жизнерадостную... другую – диони-сийскую, бьющую темной и кипучей струей» (В. Ф. Саводник. Чувство природы в поэзии Пушкина, Лермонтова, Тютчева. М., 1911, стр. 165).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bookmarkStart w:id="16" w:name="29"/>
      <w:bookmarkEnd w:id="16"/>
      <w:r w:rsidRPr="004150FA">
        <w:rPr>
          <w:sz w:val="24"/>
          <w:szCs w:val="24"/>
        </w:rPr>
        <w:t>29</w:t>
      </w:r>
      <w:r w:rsidRPr="004E2A9A">
        <w:rPr>
          <w:sz w:val="24"/>
          <w:szCs w:val="24"/>
        </w:rPr>
        <w:t xml:space="preserve">] Возможно, намек на культ Зевса Гостеприимного.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0541A">
        <w:rPr>
          <w:sz w:val="24"/>
          <w:szCs w:val="24"/>
          <w:lang w:val="en-US"/>
        </w:rPr>
        <w:t>[</w:t>
      </w:r>
      <w:bookmarkStart w:id="17" w:name="30"/>
      <w:bookmarkEnd w:id="17"/>
      <w:r w:rsidRPr="0040541A">
        <w:rPr>
          <w:sz w:val="24"/>
          <w:szCs w:val="24"/>
          <w:lang w:val="en-US"/>
        </w:rPr>
        <w:t xml:space="preserve">30] </w:t>
      </w:r>
      <w:r w:rsidRPr="004E2A9A">
        <w:rPr>
          <w:sz w:val="24"/>
          <w:szCs w:val="24"/>
        </w:rPr>
        <w:t>М</w:t>
      </w:r>
      <w:r w:rsidRPr="0040541A">
        <w:rPr>
          <w:sz w:val="24"/>
          <w:szCs w:val="24"/>
          <w:lang w:val="en-US"/>
        </w:rPr>
        <w:t xml:space="preserve">. </w:t>
      </w:r>
      <w:r w:rsidRPr="004E2A9A">
        <w:rPr>
          <w:sz w:val="24"/>
          <w:szCs w:val="24"/>
        </w:rPr>
        <w:t>Р</w:t>
      </w:r>
      <w:r w:rsidRPr="0040541A">
        <w:rPr>
          <w:sz w:val="24"/>
          <w:szCs w:val="24"/>
          <w:lang w:val="en-US"/>
        </w:rPr>
        <w:t xml:space="preserve">. Alexeev. Nochmals uber Tutchev und Goethe. – «Germanoslavika», 1932–1933, Hft. </w:t>
      </w:r>
      <w:r w:rsidRPr="004E2A9A">
        <w:rPr>
          <w:sz w:val="24"/>
          <w:szCs w:val="24"/>
        </w:rPr>
        <w:t xml:space="preserve">I, p. 67.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bookmarkStart w:id="18" w:name="31"/>
      <w:bookmarkEnd w:id="18"/>
      <w:r w:rsidRPr="004150FA">
        <w:rPr>
          <w:sz w:val="24"/>
          <w:szCs w:val="24"/>
        </w:rPr>
        <w:t>31</w:t>
      </w:r>
      <w:r w:rsidRPr="004E2A9A">
        <w:rPr>
          <w:sz w:val="24"/>
          <w:szCs w:val="24"/>
        </w:rPr>
        <w:t xml:space="preserve">] Впервые отмечено профессором-медиевистом А. И. Неусыхиным в неопубликованном докладе, прочитанном в 1943 г. в Томском гос. университете.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bookmarkStart w:id="19" w:name="32"/>
      <w:bookmarkEnd w:id="19"/>
      <w:r w:rsidRPr="004150FA">
        <w:rPr>
          <w:sz w:val="24"/>
          <w:szCs w:val="24"/>
        </w:rPr>
        <w:t>32</w:t>
      </w:r>
      <w:r w:rsidRPr="004E2A9A">
        <w:rPr>
          <w:sz w:val="24"/>
          <w:szCs w:val="24"/>
        </w:rPr>
        <w:t xml:space="preserve">] С. М. Соловьев прямо говорит о «прометеевском духе», присущем этому стихотворению (указ. соч.). (Ср. M. P. Alexeev. Указ. соч.)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bookmarkStart w:id="20" w:name="33"/>
      <w:bookmarkEnd w:id="20"/>
      <w:r w:rsidRPr="004150FA">
        <w:rPr>
          <w:sz w:val="24"/>
          <w:szCs w:val="24"/>
        </w:rPr>
        <w:t>33</w:t>
      </w:r>
      <w:r w:rsidRPr="004E2A9A">
        <w:rPr>
          <w:sz w:val="24"/>
          <w:szCs w:val="24"/>
        </w:rPr>
        <w:t xml:space="preserve">] А. Ф. Лосев. История античной эстетики (ранняя классика). М., 1963, стр. 536.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bookmarkStart w:id="21" w:name="34"/>
      <w:bookmarkEnd w:id="21"/>
      <w:r w:rsidRPr="004150FA">
        <w:rPr>
          <w:sz w:val="24"/>
          <w:szCs w:val="24"/>
        </w:rPr>
        <w:t>34</w:t>
      </w:r>
      <w:r w:rsidRPr="004E2A9A">
        <w:rPr>
          <w:sz w:val="24"/>
          <w:szCs w:val="24"/>
        </w:rPr>
        <w:t xml:space="preserve">] «Дневник Блока». Л., 1928, стр. 49 (дневник от 3 декабря 1911 г.). </w:t>
      </w:r>
    </w:p>
    <w:p w:rsidR="00BC6AA7" w:rsidRPr="004E2A9A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bookmarkStart w:id="22" w:name="35"/>
      <w:bookmarkEnd w:id="22"/>
      <w:r w:rsidRPr="004150FA">
        <w:rPr>
          <w:sz w:val="24"/>
          <w:szCs w:val="24"/>
        </w:rPr>
        <w:t>35</w:t>
      </w:r>
      <w:r w:rsidRPr="004E2A9A">
        <w:rPr>
          <w:sz w:val="24"/>
          <w:szCs w:val="24"/>
        </w:rPr>
        <w:t xml:space="preserve">] Жуковский, со своей стороны, вспоминал об этих чтениях (в 1847 г. в немецком городе Эмсе) как о «лакомстве за трапезою Гомера» (письмо Плетневу, 1850 – В. Жуковский. Сочинения, т. VI. Изд. 7. СПб., 1878, стр. 596–597). </w:t>
      </w:r>
    </w:p>
    <w:p w:rsidR="00BC6AA7" w:rsidRDefault="00BC6AA7" w:rsidP="00BC6AA7">
      <w:pPr>
        <w:tabs>
          <w:tab w:val="left" w:pos="10452"/>
        </w:tabs>
        <w:spacing w:before="120"/>
        <w:ind w:right="104" w:firstLine="567"/>
        <w:jc w:val="both"/>
        <w:rPr>
          <w:sz w:val="24"/>
          <w:szCs w:val="24"/>
        </w:rPr>
      </w:pPr>
      <w:r w:rsidRPr="004E2A9A">
        <w:rPr>
          <w:sz w:val="24"/>
          <w:szCs w:val="24"/>
        </w:rPr>
        <w:t>[</w:t>
      </w:r>
      <w:bookmarkStart w:id="23" w:name="36"/>
      <w:bookmarkEnd w:id="23"/>
      <w:r w:rsidRPr="004150FA">
        <w:rPr>
          <w:sz w:val="24"/>
          <w:szCs w:val="24"/>
        </w:rPr>
        <w:t>36</w:t>
      </w:r>
      <w:r w:rsidRPr="004E2A9A">
        <w:rPr>
          <w:sz w:val="24"/>
          <w:szCs w:val="24"/>
        </w:rPr>
        <w:t xml:space="preserve">] Прецедентом для этого стихотворения мог послужить «Мой Элизий» Баратынского (1831). </w:t>
      </w:r>
    </w:p>
    <w:p w:rsidR="00B42C45" w:rsidRDefault="00B42C45" w:rsidP="00BC6AA7">
      <w:pPr>
        <w:ind w:right="104"/>
      </w:pPr>
      <w:bookmarkStart w:id="24" w:name="_GoBack"/>
      <w:bookmarkEnd w:id="24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C6AA7"/>
    <w:rsid w:val="00002B5A"/>
    <w:rsid w:val="0010437E"/>
    <w:rsid w:val="002F4CAE"/>
    <w:rsid w:val="00316F32"/>
    <w:rsid w:val="003C20F4"/>
    <w:rsid w:val="0040541A"/>
    <w:rsid w:val="004150FA"/>
    <w:rsid w:val="004E2A9A"/>
    <w:rsid w:val="00616072"/>
    <w:rsid w:val="006A5004"/>
    <w:rsid w:val="00710178"/>
    <w:rsid w:val="0081563E"/>
    <w:rsid w:val="008B35EE"/>
    <w:rsid w:val="00905CC1"/>
    <w:rsid w:val="00B42C45"/>
    <w:rsid w:val="00B47B6A"/>
    <w:rsid w:val="00BC6AA7"/>
    <w:rsid w:val="00C66AB8"/>
    <w:rsid w:val="00C91A48"/>
    <w:rsid w:val="00CF2218"/>
    <w:rsid w:val="00E03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6980BCF1-6BCA-4F42-B5B6-A98759318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6AA7"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widowControl/>
      <w:autoSpaceDE/>
      <w:autoSpaceDN/>
      <w:adjustRightInd/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BC6AA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4514</Words>
  <Characters>25732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Тютчев и античность</vt:lpstr>
    </vt:vector>
  </TitlesOfParts>
  <Company>Home</Company>
  <LinksUpToDate>false</LinksUpToDate>
  <CharactersWithSpaces>30186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Тютчев и античность</dc:title>
  <dc:subject/>
  <dc:creator>User</dc:creator>
  <cp:keywords/>
  <dc:description/>
  <cp:lastModifiedBy>admin</cp:lastModifiedBy>
  <cp:revision>2</cp:revision>
  <dcterms:created xsi:type="dcterms:W3CDTF">2014-02-14T20:37:00Z</dcterms:created>
  <dcterms:modified xsi:type="dcterms:W3CDTF">2014-02-14T20:37:00Z</dcterms:modified>
</cp:coreProperties>
</file>