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15" w:rsidRPr="00856715" w:rsidRDefault="001B6D43" w:rsidP="00856715">
      <w:pPr>
        <w:pStyle w:val="aff1"/>
      </w:pPr>
      <w:r w:rsidRPr="00856715">
        <w:t>ФЕДЕРАЛЬНОЕ АГЕНТСТВО ПО ОБРАЗОВАНИЮ</w:t>
      </w:r>
    </w:p>
    <w:p w:rsidR="00856715" w:rsidRPr="00856715" w:rsidRDefault="001B6D43" w:rsidP="00856715">
      <w:pPr>
        <w:pStyle w:val="aff1"/>
      </w:pPr>
      <w:r w:rsidRPr="00856715">
        <w:t>ГОСУДАРСТВЕННОЕ ОБРАЗОВАТЕЛЬНОЕ УЧРЕЖДЕНИЕ ВЫСШЕГО ПРОФЕССИОНАЛЬНОГО ОБРАЗОВАНИЯ</w:t>
      </w:r>
    </w:p>
    <w:p w:rsidR="00856715" w:rsidRPr="00856715" w:rsidRDefault="001B6D43" w:rsidP="00856715">
      <w:pPr>
        <w:pStyle w:val="aff1"/>
      </w:pPr>
      <w:r w:rsidRPr="00856715">
        <w:t>КАМСКАЯ ГОСУДАРСТВЕННАЯ ИНЖЕНЕРНО-ЭКОНОМИЧЕСКАЯ АКАДЕМИЯ</w:t>
      </w:r>
    </w:p>
    <w:p w:rsidR="00856715" w:rsidRDefault="001B6D43" w:rsidP="00856715">
      <w:pPr>
        <w:pStyle w:val="aff1"/>
      </w:pPr>
      <w:r w:rsidRPr="00856715">
        <w:t>К</w:t>
      </w:r>
      <w:r w:rsidR="00915C1D" w:rsidRPr="00856715">
        <w:t>афедра</w:t>
      </w:r>
      <w:r w:rsidR="00856715">
        <w:t xml:space="preserve"> "</w:t>
      </w:r>
      <w:r w:rsidR="000C4C0B" w:rsidRPr="00856715">
        <w:t>Финансы и бухгалтерский учёт</w:t>
      </w:r>
      <w:r w:rsidR="00856715">
        <w:t>"</w:t>
      </w: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Pr="00856715" w:rsidRDefault="00915C1D" w:rsidP="00856715">
      <w:pPr>
        <w:pStyle w:val="aff1"/>
      </w:pPr>
      <w:r w:rsidRPr="00856715">
        <w:t>Реферат</w:t>
      </w:r>
    </w:p>
    <w:p w:rsidR="00856715" w:rsidRDefault="00915C1D" w:rsidP="00856715">
      <w:pPr>
        <w:pStyle w:val="aff1"/>
      </w:pPr>
      <w:r w:rsidRPr="00856715">
        <w:t>По дисциплине</w:t>
      </w:r>
      <w:r w:rsidR="00856715" w:rsidRPr="00856715">
        <w:t>:</w:t>
      </w:r>
      <w:r w:rsidR="00856715">
        <w:t xml:space="preserve"> "</w:t>
      </w:r>
      <w:r w:rsidRPr="00856715">
        <w:t>Бухгалтерский финансовый учёт</w:t>
      </w:r>
      <w:r w:rsidR="00856715">
        <w:t>"</w:t>
      </w:r>
    </w:p>
    <w:p w:rsidR="00856715" w:rsidRDefault="001B6D43" w:rsidP="00856715">
      <w:pPr>
        <w:pStyle w:val="aff1"/>
        <w:rPr>
          <w:b/>
          <w:bCs/>
        </w:rPr>
      </w:pPr>
      <w:r w:rsidRPr="00856715">
        <w:rPr>
          <w:b/>
          <w:bCs/>
        </w:rPr>
        <w:t>На тему</w:t>
      </w:r>
      <w:r w:rsidR="00856715" w:rsidRPr="00856715">
        <w:rPr>
          <w:b/>
          <w:bCs/>
        </w:rPr>
        <w:t>:</w:t>
      </w:r>
      <w:r w:rsidR="00856715">
        <w:rPr>
          <w:b/>
          <w:bCs/>
        </w:rPr>
        <w:t xml:space="preserve"> "</w:t>
      </w:r>
      <w:r w:rsidR="00915C1D" w:rsidRPr="00856715">
        <w:rPr>
          <w:b/>
          <w:bCs/>
        </w:rPr>
        <w:t>Учёт единого социального налога и страховых взносов с учётом изменений в 2009 году</w:t>
      </w:r>
      <w:r w:rsidR="00856715">
        <w:rPr>
          <w:b/>
          <w:bCs/>
        </w:rPr>
        <w:t>".</w:t>
      </w:r>
    </w:p>
    <w:p w:rsidR="00856715" w:rsidRDefault="00856715" w:rsidP="00856715">
      <w:pPr>
        <w:pStyle w:val="aff1"/>
        <w:rPr>
          <w:b/>
          <w:bCs/>
        </w:rPr>
      </w:pPr>
    </w:p>
    <w:p w:rsidR="00856715" w:rsidRDefault="00856715" w:rsidP="00856715">
      <w:pPr>
        <w:pStyle w:val="aff1"/>
        <w:rPr>
          <w:b/>
          <w:bCs/>
        </w:rPr>
      </w:pPr>
    </w:p>
    <w:p w:rsidR="00856715" w:rsidRDefault="00856715" w:rsidP="00856715">
      <w:pPr>
        <w:pStyle w:val="aff1"/>
        <w:rPr>
          <w:b/>
          <w:bCs/>
        </w:rPr>
      </w:pPr>
    </w:p>
    <w:p w:rsidR="00856715" w:rsidRDefault="000C4C0B" w:rsidP="00856715">
      <w:pPr>
        <w:pStyle w:val="aff1"/>
        <w:jc w:val="left"/>
      </w:pPr>
      <w:r w:rsidRPr="00856715">
        <w:t>Выполнила</w:t>
      </w:r>
      <w:r w:rsidR="00856715" w:rsidRPr="00856715">
        <w:t>:</w:t>
      </w:r>
    </w:p>
    <w:p w:rsidR="001B6D43" w:rsidRPr="00856715" w:rsidRDefault="000C4C0B" w:rsidP="00856715">
      <w:pPr>
        <w:pStyle w:val="aff1"/>
        <w:jc w:val="left"/>
      </w:pPr>
      <w:r w:rsidRPr="00856715">
        <w:t>студентка</w:t>
      </w:r>
      <w:r w:rsidR="001B6D43" w:rsidRPr="00856715">
        <w:t xml:space="preserve"> ЭФ, 2 курса</w:t>
      </w:r>
    </w:p>
    <w:p w:rsidR="001B6D43" w:rsidRPr="00856715" w:rsidRDefault="001B6D43" w:rsidP="00856715">
      <w:pPr>
        <w:pStyle w:val="aff1"/>
        <w:jc w:val="left"/>
      </w:pPr>
      <w:r w:rsidRPr="00856715">
        <w:t>Группы</w:t>
      </w:r>
      <w:r w:rsidR="00856715" w:rsidRPr="00856715">
        <w:t xml:space="preserve"> </w:t>
      </w:r>
      <w:r w:rsidRPr="00856715">
        <w:t>5208</w:t>
      </w:r>
    </w:p>
    <w:p w:rsidR="001B6D43" w:rsidRPr="00856715" w:rsidRDefault="001B6D43" w:rsidP="00856715">
      <w:pPr>
        <w:pStyle w:val="aff1"/>
        <w:jc w:val="left"/>
      </w:pPr>
      <w:r w:rsidRPr="00856715">
        <w:t>№ зач</w:t>
      </w:r>
      <w:r w:rsidR="00856715" w:rsidRPr="00856715">
        <w:t xml:space="preserve">. </w:t>
      </w:r>
      <w:r w:rsidRPr="00856715">
        <w:t>книжки</w:t>
      </w:r>
      <w:r w:rsidR="00856715" w:rsidRPr="00856715">
        <w:t xml:space="preserve"> </w:t>
      </w:r>
      <w:r w:rsidRPr="00856715">
        <w:t>5070314</w:t>
      </w:r>
    </w:p>
    <w:p w:rsidR="00856715" w:rsidRDefault="001B6D43" w:rsidP="00856715">
      <w:pPr>
        <w:pStyle w:val="aff1"/>
        <w:jc w:val="left"/>
      </w:pPr>
      <w:r w:rsidRPr="00856715">
        <w:t>Азовцева Н</w:t>
      </w:r>
      <w:r w:rsidR="00856715">
        <w:t>.Е.</w:t>
      </w:r>
    </w:p>
    <w:p w:rsidR="00856715" w:rsidRDefault="000C4C0B" w:rsidP="00856715">
      <w:pPr>
        <w:pStyle w:val="aff1"/>
        <w:jc w:val="left"/>
      </w:pPr>
      <w:r w:rsidRPr="00856715">
        <w:t>Проверила</w:t>
      </w:r>
      <w:r w:rsidR="00856715" w:rsidRPr="00856715">
        <w:t>:</w:t>
      </w:r>
      <w:r w:rsidR="00856715">
        <w:t xml:space="preserve"> </w:t>
      </w:r>
      <w:r w:rsidR="00915C1D" w:rsidRPr="00856715">
        <w:t>Ермакова Н</w:t>
      </w:r>
      <w:r w:rsidR="00856715">
        <w:t>.А.</w:t>
      </w: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Default="00856715" w:rsidP="00856715">
      <w:pPr>
        <w:pStyle w:val="aff1"/>
      </w:pPr>
    </w:p>
    <w:p w:rsidR="00856715" w:rsidRDefault="001B6D43" w:rsidP="00856715">
      <w:pPr>
        <w:pStyle w:val="aff1"/>
      </w:pPr>
      <w:r w:rsidRPr="00856715">
        <w:t>Набережные Челны</w:t>
      </w:r>
      <w:r w:rsidR="00856715">
        <w:t xml:space="preserve"> </w:t>
      </w:r>
      <w:r w:rsidR="00915C1D" w:rsidRPr="00856715">
        <w:t>2009</w:t>
      </w:r>
      <w:r w:rsidRPr="00856715">
        <w:t xml:space="preserve"> г</w:t>
      </w:r>
      <w:r w:rsidR="00856715" w:rsidRPr="00856715">
        <w:t>.</w:t>
      </w:r>
    </w:p>
    <w:p w:rsidR="00856715" w:rsidRDefault="001B6D43" w:rsidP="00856715">
      <w:pPr>
        <w:pStyle w:val="af8"/>
      </w:pPr>
      <w:r w:rsidRPr="00856715">
        <w:br w:type="page"/>
      </w:r>
      <w:r w:rsidR="00AA0C41" w:rsidRPr="00856715">
        <w:lastRenderedPageBreak/>
        <w:t>Содержание</w:t>
      </w:r>
    </w:p>
    <w:p w:rsidR="00856715" w:rsidRDefault="00856715" w:rsidP="00856715">
      <w:pPr>
        <w:pStyle w:val="af8"/>
      </w:pP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1. Понятие единого социального налога и страховых взносов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2. Налогоплательщики ЕСН, объекты налогообложения и налоговая база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3. Суммы, не подлежащие налогообложению, и налоговые льготы по ЕСН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4. Ставки налога и порядок применения регрессивной шкалы ставок ЕСН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5. Порядок исчисления и уплаты ЕСН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6. Особенности учёта ЕСН в бухгалтерском учёте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7. Изменения в законодательстве, связанные с ЕСН в 2009 году</w:t>
      </w:r>
    </w:p>
    <w:p w:rsidR="008A4DA1" w:rsidRDefault="008A4DA1">
      <w:pPr>
        <w:pStyle w:val="22"/>
        <w:rPr>
          <w:smallCaps w:val="0"/>
          <w:noProof/>
          <w:sz w:val="24"/>
          <w:szCs w:val="24"/>
        </w:rPr>
      </w:pPr>
      <w:r w:rsidRPr="0079557B">
        <w:rPr>
          <w:rStyle w:val="af0"/>
          <w:noProof/>
        </w:rPr>
        <w:t>Список использованных источников и литературы</w:t>
      </w:r>
    </w:p>
    <w:p w:rsidR="00856715" w:rsidRDefault="00856715" w:rsidP="00856715"/>
    <w:p w:rsidR="00856715" w:rsidRDefault="00856715" w:rsidP="00856715">
      <w:pPr>
        <w:pStyle w:val="2"/>
      </w:pPr>
      <w:r>
        <w:br w:type="page"/>
      </w:r>
      <w:bookmarkStart w:id="0" w:name="_Toc250713036"/>
      <w:r w:rsidR="00640DBB" w:rsidRPr="00856715">
        <w:lastRenderedPageBreak/>
        <w:t>1</w:t>
      </w:r>
      <w:r w:rsidRPr="00856715">
        <w:t xml:space="preserve">. </w:t>
      </w:r>
      <w:r w:rsidR="00640DBB" w:rsidRPr="00856715">
        <w:t>Понятие единого социального налога</w:t>
      </w:r>
      <w:r>
        <w:t xml:space="preserve"> </w:t>
      </w:r>
      <w:r w:rsidR="00640DBB" w:rsidRPr="00856715">
        <w:t>и страховых взносов</w:t>
      </w:r>
      <w:bookmarkEnd w:id="0"/>
    </w:p>
    <w:p w:rsidR="00856715" w:rsidRDefault="00856715" w:rsidP="00856715"/>
    <w:p w:rsidR="00856715" w:rsidRDefault="00FC39A1" w:rsidP="00856715">
      <w:r w:rsidRPr="00856715">
        <w:t>Работники организаций подлежат обязательному социальному страхованию</w:t>
      </w:r>
      <w:r w:rsidR="00856715" w:rsidRPr="00856715">
        <w:t xml:space="preserve">. </w:t>
      </w:r>
      <w:r w:rsidRPr="00856715">
        <w:t>Начисления органами социального страхования и обеспечения производятся в форме единого социального налога</w:t>
      </w:r>
      <w:r w:rsidR="00856715" w:rsidRPr="00856715">
        <w:t xml:space="preserve">. </w:t>
      </w:r>
      <w:r w:rsidRPr="00856715">
        <w:t>В соответствии с главой 24 НК РФ единый социальный налог зачисляется в государ</w:t>
      </w:r>
      <w:r w:rsidR="001F4D21" w:rsidRPr="00856715">
        <w:t>ственные внебюджетные фонды</w:t>
      </w:r>
      <w:r w:rsidR="00856715" w:rsidRPr="00856715">
        <w:t xml:space="preserve">: </w:t>
      </w:r>
      <w:r w:rsidRPr="00856715">
        <w:t>Пенсионный фонд РФ, Фонд социального страхования РФ и фонд обязательного медицинского страхования</w:t>
      </w:r>
      <w:r w:rsidR="00856715" w:rsidRPr="00856715">
        <w:t>.</w:t>
      </w:r>
    </w:p>
    <w:p w:rsidR="00856715" w:rsidRDefault="00CC06E5" w:rsidP="00856715">
      <w:r w:rsidRPr="00856715">
        <w:t>Единый социальный налог</w:t>
      </w:r>
      <w:r w:rsidR="00856715">
        <w:t xml:space="preserve"> (</w:t>
      </w:r>
      <w:r w:rsidRPr="00856715">
        <w:t>ЕСН</w:t>
      </w:r>
      <w:r w:rsidR="00856715" w:rsidRPr="00856715">
        <w:t xml:space="preserve">) </w:t>
      </w:r>
      <w:r w:rsidRPr="00856715">
        <w:t>предназначен для мобилизации средств, необходимых для реализации права граждан на государственное пенсионное и соци</w:t>
      </w:r>
      <w:r w:rsidR="001F4D21" w:rsidRPr="00856715">
        <w:t>альное обеспечение</w:t>
      </w:r>
      <w:r w:rsidRPr="00856715">
        <w:t xml:space="preserve"> и медицинскую помощь</w:t>
      </w:r>
      <w:r w:rsidR="00856715" w:rsidRPr="00856715">
        <w:t>.</w:t>
      </w:r>
    </w:p>
    <w:p w:rsidR="00856715" w:rsidRDefault="00640DBB" w:rsidP="00856715">
      <w:r w:rsidRPr="00856715">
        <w:t xml:space="preserve">Обязательное пенсионное страхование </w:t>
      </w:r>
      <w:r w:rsidR="00856715">
        <w:t>-</w:t>
      </w:r>
      <w:r w:rsidRPr="00856715">
        <w:t xml:space="preserve"> система создаваемых государством правовых, экономических и организационных мер, направленных на компенсацию гражданам заработка, получаемого им при наступлении страхового случая, посредством выплаты трудовой пенсии, социального пособия на погребение умерших пенсионеров, не работавших на день смерти</w:t>
      </w:r>
      <w:r w:rsidR="00856715" w:rsidRPr="00856715">
        <w:t>.</w:t>
      </w:r>
    </w:p>
    <w:p w:rsidR="00856715" w:rsidRDefault="00640DBB" w:rsidP="00856715">
      <w:r w:rsidRPr="00856715">
        <w:t xml:space="preserve">Страховые взносы на обязательное пенсионное страхование </w:t>
      </w:r>
      <w:r w:rsidR="00856715">
        <w:t>-</w:t>
      </w:r>
      <w:r w:rsidRPr="00856715">
        <w:t xml:space="preserve"> индивидуально возмездные обязательные платежи, которые уплачиваются в бюджет Пенсионного фонда Российской Федерации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размере, эквивалентном сумме страховых взносов, учтенной на его индивидуальном лицевом счете</w:t>
      </w:r>
      <w:r w:rsidR="00856715" w:rsidRPr="00856715">
        <w:t>.</w:t>
      </w:r>
    </w:p>
    <w:p w:rsidR="00856715" w:rsidRDefault="00CC06E5" w:rsidP="00856715">
      <w:r w:rsidRPr="00856715">
        <w:t>Порядок исчисления и уплаты ЕСН установлен главой 24</w:t>
      </w:r>
      <w:r w:rsidR="00856715">
        <w:t xml:space="preserve"> "</w:t>
      </w:r>
      <w:r w:rsidR="00355429" w:rsidRPr="00856715">
        <w:t>Единый социальный налог</w:t>
      </w:r>
      <w:r w:rsidR="00856715">
        <w:t xml:space="preserve">" </w:t>
      </w:r>
      <w:r w:rsidR="00355429" w:rsidRPr="00856715">
        <w:t>Налогового кодекса Российской Федерации</w:t>
      </w:r>
      <w:r w:rsidR="00856715" w:rsidRPr="00856715">
        <w:t>.</w:t>
      </w:r>
    </w:p>
    <w:p w:rsidR="00856715" w:rsidRDefault="00856715" w:rsidP="00856715">
      <w:pPr>
        <w:pStyle w:val="2"/>
      </w:pPr>
      <w:r>
        <w:br w:type="page"/>
      </w:r>
      <w:bookmarkStart w:id="1" w:name="_Toc250713037"/>
      <w:r w:rsidR="00580328" w:rsidRPr="00856715">
        <w:lastRenderedPageBreak/>
        <w:t>2</w:t>
      </w:r>
      <w:r w:rsidRPr="00856715">
        <w:t xml:space="preserve">. </w:t>
      </w:r>
      <w:r w:rsidR="00580328" w:rsidRPr="00856715">
        <w:t>Налогоплательщики ЕСН, объект</w:t>
      </w:r>
      <w:r w:rsidR="004C507E" w:rsidRPr="00856715">
        <w:t>ы</w:t>
      </w:r>
      <w:r w:rsidR="00580328" w:rsidRPr="00856715">
        <w:t xml:space="preserve"> налогообложения</w:t>
      </w:r>
      <w:r>
        <w:t xml:space="preserve"> </w:t>
      </w:r>
      <w:r w:rsidR="00580328" w:rsidRPr="00856715">
        <w:t>и налоговая база</w:t>
      </w:r>
      <w:bookmarkEnd w:id="1"/>
    </w:p>
    <w:p w:rsidR="00856715" w:rsidRPr="00856715" w:rsidRDefault="00856715" w:rsidP="00856715"/>
    <w:p w:rsidR="00856715" w:rsidRDefault="00020D14" w:rsidP="00856715">
      <w:r w:rsidRPr="00856715">
        <w:rPr>
          <w:i/>
          <w:iCs/>
        </w:rPr>
        <w:t>Налогоплательщиками ЕСН</w:t>
      </w:r>
      <w:r w:rsidR="00EA5282" w:rsidRPr="00856715">
        <w:t xml:space="preserve"> признаются</w:t>
      </w:r>
      <w:r w:rsidR="00856715" w:rsidRPr="00856715">
        <w:t>:</w:t>
      </w:r>
    </w:p>
    <w:p w:rsidR="00856715" w:rsidRDefault="00EA5282" w:rsidP="00856715">
      <w:r w:rsidRPr="00856715">
        <w:t>лица, производящие выплаты физическим лицам</w:t>
      </w:r>
      <w:r w:rsidR="00856715" w:rsidRPr="00856715">
        <w:t>;</w:t>
      </w:r>
    </w:p>
    <w:p w:rsidR="00856715" w:rsidRDefault="00EA5282" w:rsidP="00856715">
      <w:r w:rsidRPr="00856715">
        <w:t>организации</w:t>
      </w:r>
      <w:r w:rsidR="00856715" w:rsidRPr="00856715">
        <w:t>;</w:t>
      </w:r>
    </w:p>
    <w:p w:rsidR="00856715" w:rsidRDefault="00EA5282" w:rsidP="00856715">
      <w:r w:rsidRPr="00856715">
        <w:t>индивидуальные предприниматели</w:t>
      </w:r>
      <w:r w:rsidR="00856715" w:rsidRPr="00856715">
        <w:t>;</w:t>
      </w:r>
    </w:p>
    <w:p w:rsidR="00856715" w:rsidRDefault="000D3B50" w:rsidP="00856715">
      <w:r w:rsidRPr="00856715">
        <w:t>физические, лица не признаваемые индивидуальными предпринимателями</w:t>
      </w:r>
      <w:r w:rsidR="00856715" w:rsidRPr="00856715">
        <w:t>;</w:t>
      </w:r>
    </w:p>
    <w:p w:rsidR="00856715" w:rsidRDefault="00EA5282" w:rsidP="00856715">
      <w:r w:rsidRPr="00856715">
        <w:t>адвокаты, нотариусы, занимающиеся частной практикой</w:t>
      </w:r>
      <w:r w:rsidR="00856715" w:rsidRPr="00856715">
        <w:t>.</w:t>
      </w:r>
    </w:p>
    <w:p w:rsidR="00856715" w:rsidRDefault="00EA5282" w:rsidP="00856715">
      <w:r w:rsidRPr="00856715">
        <w:t>Категории налогоплательщиков различаются основанием, по которому исчисляют и уплачивают налог</w:t>
      </w:r>
      <w:r w:rsidR="00856715" w:rsidRPr="00856715">
        <w:t xml:space="preserve">. </w:t>
      </w:r>
      <w:r w:rsidRPr="00856715">
        <w:t>Для первой категории налогоплательщиков таким основанием являются выплаты, производимые ими физическим лицам</w:t>
      </w:r>
      <w:r w:rsidR="00856715" w:rsidRPr="00856715">
        <w:t xml:space="preserve">. </w:t>
      </w:r>
      <w:r w:rsidRPr="00856715">
        <w:t xml:space="preserve">Для второй </w:t>
      </w:r>
      <w:r w:rsidR="00856715">
        <w:t>-</w:t>
      </w:r>
      <w:r w:rsidRPr="00856715">
        <w:t xml:space="preserve"> получаемые самим налогоплательщиками доходы</w:t>
      </w:r>
      <w:r w:rsidR="00856715" w:rsidRPr="00856715">
        <w:t xml:space="preserve">. </w:t>
      </w:r>
      <w:r w:rsidRPr="00856715">
        <w:t>Если налогоплательщик одновременно относится к нескольким категориям налогоплательщиков, указанным в законе, он исчисляет и уплачивает налог по каждому основанию</w:t>
      </w:r>
      <w:r w:rsidR="00856715" w:rsidRPr="00856715">
        <w:t>.</w:t>
      </w:r>
    </w:p>
    <w:p w:rsidR="00856715" w:rsidRDefault="000D3B50" w:rsidP="00856715">
      <w:pPr>
        <w:rPr>
          <w:i/>
          <w:iCs/>
        </w:rPr>
      </w:pPr>
      <w:r w:rsidRPr="00856715">
        <w:rPr>
          <w:i/>
          <w:iCs/>
        </w:rPr>
        <w:t>Объектами налогообложения</w:t>
      </w:r>
      <w:r w:rsidR="0023046F" w:rsidRPr="00856715">
        <w:rPr>
          <w:i/>
          <w:iCs/>
        </w:rPr>
        <w:t xml:space="preserve"> ЕСН</w:t>
      </w:r>
      <w:r w:rsidRPr="00856715">
        <w:rPr>
          <w:i/>
          <w:iCs/>
        </w:rPr>
        <w:t xml:space="preserve"> являются</w:t>
      </w:r>
      <w:r w:rsidR="00856715" w:rsidRPr="00856715">
        <w:rPr>
          <w:i/>
          <w:iCs/>
        </w:rPr>
        <w:t>:</w:t>
      </w:r>
    </w:p>
    <w:p w:rsidR="00856715" w:rsidRDefault="0023046F" w:rsidP="00856715">
      <w:r w:rsidRPr="00856715">
        <w:t xml:space="preserve">во-первых, для организаций и индивидуальных предпринимателей </w:t>
      </w:r>
      <w:r w:rsidR="00856715">
        <w:t>-</w:t>
      </w:r>
      <w:r w:rsidRPr="00856715">
        <w:t xml:space="preserve">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услуг, а также по авторским договорам</w:t>
      </w:r>
      <w:r w:rsidR="00856715" w:rsidRPr="00856715">
        <w:t>;</w:t>
      </w:r>
    </w:p>
    <w:p w:rsidR="00856715" w:rsidRDefault="0023046F" w:rsidP="00856715">
      <w:r w:rsidRPr="00856715">
        <w:t>во-вторых, для физических лиц, не признаваемых инди</w:t>
      </w:r>
      <w:r w:rsidR="00580328" w:rsidRPr="00856715">
        <w:t>видуальными предпринимателями,</w:t>
      </w:r>
      <w:r w:rsidRPr="00856715">
        <w:t xml:space="preserve"> выплаты и иные вознаграждения по трудовым и гражданско-правовым договорам, предметом которых является выполнение работ, оказание услуг, выплачиваемые налогоплательщиками в пользу физических лиц</w:t>
      </w:r>
      <w:r w:rsidR="00856715" w:rsidRPr="00856715">
        <w:t>;</w:t>
      </w:r>
    </w:p>
    <w:p w:rsidR="00856715" w:rsidRDefault="0023046F" w:rsidP="00856715">
      <w:r w:rsidRPr="00856715">
        <w:t>в-третьих, для индивидуальных предпринимателей, адвокатов и нотариусов, занимающихся частной практикой,</w:t>
      </w:r>
      <w:r w:rsidR="00856715" w:rsidRPr="00856715">
        <w:t xml:space="preserve"> - </w:t>
      </w:r>
      <w:r w:rsidRPr="00856715">
        <w:t xml:space="preserve">доходы от </w:t>
      </w:r>
      <w:r w:rsidRPr="00856715">
        <w:lastRenderedPageBreak/>
        <w:t>предпринимательской либо иной профессиональной деятельности за вычетом расходов, связанных с их извлечением</w:t>
      </w:r>
      <w:r w:rsidR="00856715" w:rsidRPr="00856715">
        <w:t>.</w:t>
      </w:r>
    </w:p>
    <w:p w:rsidR="00856715" w:rsidRDefault="005C058C" w:rsidP="00856715">
      <w:r w:rsidRPr="00856715">
        <w:t>Для индивидуальных предпринимателей, применяющих упрощенную систему налогообложения, объектом налогообложения является валовая выручка</w:t>
      </w:r>
      <w:r w:rsidR="00856715" w:rsidRPr="00856715">
        <w:t>.</w:t>
      </w:r>
    </w:p>
    <w:p w:rsidR="00856715" w:rsidRDefault="001A0D8D" w:rsidP="00856715">
      <w:r w:rsidRPr="00856715">
        <w:rPr>
          <w:i/>
          <w:iCs/>
        </w:rPr>
        <w:t xml:space="preserve">Налоговая база </w:t>
      </w:r>
      <w:r w:rsidRPr="00856715">
        <w:t>налогоплательщиков-организаций и индивидуальных предпринимателей, производящих выплаты физическим лицам, определяется как сумма выплат и вознаграждений, начисленных налогоплательщиком за налоговый период в пользу физических лиц</w:t>
      </w:r>
      <w:r w:rsidR="00856715" w:rsidRPr="00856715">
        <w:t xml:space="preserve">. </w:t>
      </w:r>
      <w:r w:rsidRPr="00856715">
        <w:t>Налоговая база определяется отдельно по каждому физическому лицу с начала налогового периода по истечении каждого месяца нарастающим итогом</w:t>
      </w:r>
      <w:r w:rsidR="00856715" w:rsidRPr="00856715">
        <w:t>.</w:t>
      </w:r>
    </w:p>
    <w:p w:rsidR="00856715" w:rsidRDefault="001A0D8D" w:rsidP="00856715">
      <w:r w:rsidRPr="00856715">
        <w:t>При определении налоговой базы учитываются любые выплаты и вознаграждения</w:t>
      </w:r>
      <w:r w:rsidR="00E75097" w:rsidRPr="00856715">
        <w:t>, вне зависимости от формы, в которой осуществляются данные выплаты, в частности полная или частичная оплата товаров, предназначенных для физического лица</w:t>
      </w:r>
      <w:r w:rsidR="00856715" w:rsidRPr="00856715">
        <w:t>.</w:t>
      </w:r>
    </w:p>
    <w:p w:rsidR="00856715" w:rsidRDefault="00E75097" w:rsidP="00856715">
      <w:r w:rsidRPr="00856715">
        <w:t>При расчёте налоговой базы выплаты и иные вознаграждения в натуральной форме в виде товаров учитываются как стоимость этих товаров на день их выплаты</w:t>
      </w:r>
      <w:r w:rsidR="00856715" w:rsidRPr="00856715">
        <w:t xml:space="preserve">. </w:t>
      </w:r>
      <w:r w:rsidRPr="00856715">
        <w:t xml:space="preserve">При этом стоимость товаров определяется исходя из рыночных цен, а при государственном регулировании цен на эти товары </w:t>
      </w:r>
      <w:r w:rsidR="00856715">
        <w:t>-</w:t>
      </w:r>
      <w:r w:rsidRPr="00856715">
        <w:t xml:space="preserve"> исходя из государственных регулируемых розничных цен</w:t>
      </w:r>
      <w:r w:rsidR="00856715" w:rsidRPr="00856715">
        <w:t xml:space="preserve">. </w:t>
      </w:r>
      <w:r w:rsidRPr="00856715">
        <w:t xml:space="preserve">В стоимость товаров включается соответствующая сумма налога на добавленную стоимость, а для подакцизных товаров </w:t>
      </w:r>
      <w:r w:rsidR="00856715">
        <w:t>-</w:t>
      </w:r>
      <w:r w:rsidRPr="00856715">
        <w:t xml:space="preserve"> и соответствующая сумма акцизов</w:t>
      </w:r>
      <w:r w:rsidR="00856715" w:rsidRPr="00856715">
        <w:t>.</w:t>
      </w:r>
    </w:p>
    <w:p w:rsidR="00856715" w:rsidRDefault="00E75097" w:rsidP="00856715">
      <w:r w:rsidRPr="00856715">
        <w:t>В общем случае порядок определения налоговой базы можно представить в виде схемы</w:t>
      </w:r>
      <w:r w:rsidR="00856715" w:rsidRPr="00856715">
        <w:t>:</w:t>
      </w:r>
    </w:p>
    <w:p w:rsidR="004E06CC" w:rsidRDefault="004E06CC" w:rsidP="00856715">
      <w:pPr>
        <w:rPr>
          <w:b/>
          <w:bCs/>
          <w:i/>
          <w:iCs/>
        </w:rPr>
      </w:pPr>
    </w:p>
    <w:p w:rsidR="00E75097" w:rsidRPr="00856715" w:rsidRDefault="00E75097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 xml:space="preserve">Схема </w:t>
      </w:r>
      <w:r w:rsidR="00856715">
        <w:rPr>
          <w:b/>
          <w:bCs/>
          <w:i/>
          <w:iCs/>
        </w:rPr>
        <w:t>2.1</w:t>
      </w:r>
    </w:p>
    <w:p w:rsidR="00856715" w:rsidRPr="00856715" w:rsidRDefault="008713B4" w:rsidP="00856715">
      <w:pPr>
        <w:rPr>
          <w:b/>
          <w:bCs/>
          <w:i/>
          <w:iCs/>
        </w:rPr>
      </w:pPr>
      <w:r>
        <w:rPr>
          <w:noProof/>
        </w:rPr>
        <w:pict>
          <v:group id="_x0000_s1026" style="position:absolute;left:0;text-align:left;margin-left:0;margin-top:8.3pt;width:462pt;height:41.25pt;z-index:251657728" coordorigin="1341,13629" coordsize="9810,1260">
            <v:rect id="_x0000_s1027" style="position:absolute;left:1341;top:13629;width:1800;height:1260">
              <v:textbox>
                <w:txbxContent>
                  <w:p w:rsidR="00856715" w:rsidRDefault="00856715" w:rsidP="00856715">
                    <w:pPr>
                      <w:pStyle w:val="afb"/>
                    </w:pPr>
                    <w:r>
                      <w:t>Налоговая</w:t>
                    </w:r>
                  </w:p>
                  <w:p w:rsidR="00856715" w:rsidRDefault="00856715" w:rsidP="00856715">
                    <w:pPr>
                      <w:pStyle w:val="afb"/>
                    </w:pPr>
                    <w:r>
                      <w:t>база</w:t>
                    </w:r>
                  </w:p>
                </w:txbxContent>
              </v:textbox>
            </v:rect>
            <v:rect id="_x0000_s1028" style="position:absolute;left:3681;top:13629;width:2160;height:1260">
              <v:textbox>
                <w:txbxContent>
                  <w:p w:rsidR="00856715" w:rsidRDefault="00856715" w:rsidP="00856715">
                    <w:pPr>
                      <w:pStyle w:val="afb"/>
                    </w:pPr>
                    <w:r>
                      <w:t>Об</w:t>
                    </w:r>
                    <w:r w:rsidRPr="00856715">
                      <w:rPr>
                        <w:rStyle w:val="afc"/>
                      </w:rPr>
                      <w:t>ъ</w:t>
                    </w:r>
                    <w:r>
                      <w:t>ект</w:t>
                    </w:r>
                  </w:p>
                  <w:p w:rsidR="00856715" w:rsidRDefault="00856715" w:rsidP="00856715">
                    <w:pPr>
                      <w:pStyle w:val="afb"/>
                    </w:pPr>
                    <w:r>
                      <w:t>налогообложения</w:t>
                    </w:r>
                  </w:p>
                </w:txbxContent>
              </v:textbox>
            </v:rect>
            <v:rect id="_x0000_s1029" style="position:absolute;left:6201;top:13629;width:2250;height:1260">
              <v:textbox>
                <w:txbxContent>
                  <w:p w:rsidR="00856715" w:rsidRDefault="00856715" w:rsidP="00856715">
                    <w:pPr>
                      <w:pStyle w:val="afb"/>
                    </w:pPr>
                    <w:r>
                      <w:t xml:space="preserve">Выплаты, не подлежащие налогообложению </w:t>
                    </w:r>
                  </w:p>
                </w:txbxContent>
              </v:textbox>
            </v:rect>
            <v:rect id="_x0000_s1030" style="position:absolute;left:8901;top:13629;width:2250;height:1260">
              <v:textbox>
                <w:txbxContent>
                  <w:p w:rsidR="00856715" w:rsidRDefault="00856715" w:rsidP="00856715">
                    <w:pPr>
                      <w:pStyle w:val="afb"/>
                    </w:pPr>
                  </w:p>
                  <w:p w:rsidR="00856715" w:rsidRDefault="00856715" w:rsidP="00856715">
                    <w:pPr>
                      <w:pStyle w:val="afb"/>
                    </w:pPr>
                    <w:r>
                      <w:t>Льготы по ЕСН</w:t>
                    </w:r>
                  </w:p>
                </w:txbxContent>
              </v:textbox>
            </v:rect>
          </v:group>
        </w:pict>
      </w:r>
    </w:p>
    <w:p w:rsidR="00856715" w:rsidRPr="00856715" w:rsidRDefault="00856715" w:rsidP="00856715">
      <w:pPr>
        <w:ind w:left="1404" w:firstLine="12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2E5E10" w:rsidRPr="00856715">
        <w:rPr>
          <w:b/>
          <w:bCs/>
          <w:i/>
          <w:iCs/>
        </w:rPr>
        <w:t>=</w:t>
      </w:r>
      <w:r>
        <w:rPr>
          <w:b/>
          <w:bCs/>
          <w:i/>
          <w:iCs/>
        </w:rPr>
        <w:t xml:space="preserve">                                    </w:t>
      </w:r>
      <w:r w:rsidR="002E5E10" w:rsidRPr="00856715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                                     </w:t>
      </w:r>
      <w:r w:rsidR="002E5E10" w:rsidRPr="00856715">
        <w:rPr>
          <w:b/>
          <w:bCs/>
          <w:i/>
          <w:iCs/>
        </w:rPr>
        <w:t>-</w:t>
      </w:r>
    </w:p>
    <w:p w:rsidR="00856715" w:rsidRDefault="00D10F5F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>Расчёт налоговой базы по ЕСН</w:t>
      </w:r>
      <w:r w:rsidR="00856715" w:rsidRPr="00856715">
        <w:rPr>
          <w:b/>
          <w:bCs/>
          <w:i/>
          <w:iCs/>
        </w:rPr>
        <w:t>.</w:t>
      </w:r>
    </w:p>
    <w:p w:rsidR="00856715" w:rsidRDefault="004E06CC" w:rsidP="004E06CC">
      <w:pPr>
        <w:pStyle w:val="2"/>
      </w:pPr>
      <w:r>
        <w:br w:type="page"/>
      </w:r>
      <w:bookmarkStart w:id="2" w:name="_Toc250713038"/>
      <w:r w:rsidR="002E5E10" w:rsidRPr="00856715">
        <w:lastRenderedPageBreak/>
        <w:t>3</w:t>
      </w:r>
      <w:r w:rsidR="00856715" w:rsidRPr="00856715">
        <w:t xml:space="preserve">. </w:t>
      </w:r>
      <w:r w:rsidR="002E5E10" w:rsidRPr="00856715">
        <w:t>Суммы, не подлежащие налогообложению,</w:t>
      </w:r>
      <w:r>
        <w:t xml:space="preserve"> </w:t>
      </w:r>
      <w:r w:rsidR="002E5E10" w:rsidRPr="00856715">
        <w:t>и налоговые льготы по ЕСН</w:t>
      </w:r>
      <w:bookmarkEnd w:id="2"/>
    </w:p>
    <w:p w:rsidR="004E06CC" w:rsidRPr="004E06CC" w:rsidRDefault="004E06CC" w:rsidP="004E06CC"/>
    <w:p w:rsidR="00856715" w:rsidRDefault="008D041D" w:rsidP="00856715">
      <w:r w:rsidRPr="00856715">
        <w:t>Не относятся к объекту налогообложения выплаты, производимые в рамках гражданско-правовых договоров, предметом которых является переход права собственности или иных вещных прав на имущество, а также договоров, связанных с передачей в пользование имущества</w:t>
      </w:r>
      <w:r w:rsidR="00856715" w:rsidRPr="00856715">
        <w:t xml:space="preserve">. </w:t>
      </w:r>
      <w:r w:rsidRPr="00856715">
        <w:t>Выведены из под налогообложения также суммы единовременной материальной помощи, оказываемой налогоплательщиком физическим лицам</w:t>
      </w:r>
      <w:r w:rsidR="00856715" w:rsidRPr="00856715">
        <w:t xml:space="preserve">: </w:t>
      </w:r>
      <w:r w:rsidRPr="00856715">
        <w:t>в связи со стихийным бедствием или другим чрезвычайным обстоятельством в целях возмещения ущерба</w:t>
      </w:r>
      <w:r w:rsidR="00697E7E" w:rsidRPr="00856715">
        <w:t xml:space="preserve"> или вреда их здоровью, а также пострадавшим от террористических актов на территории РФ</w:t>
      </w:r>
      <w:r w:rsidR="00856715" w:rsidRPr="00856715">
        <w:t xml:space="preserve">; </w:t>
      </w:r>
      <w:r w:rsidR="00697E7E" w:rsidRPr="00856715">
        <w:t>членам семьи умершего работника или работнику в связи со смертью члена</w:t>
      </w:r>
      <w:r w:rsidR="00856715">
        <w:t xml:space="preserve"> (</w:t>
      </w:r>
      <w:r w:rsidR="00697E7E" w:rsidRPr="00856715">
        <w:t>членов</w:t>
      </w:r>
      <w:r w:rsidR="00856715" w:rsidRPr="00856715">
        <w:t xml:space="preserve">) </w:t>
      </w:r>
      <w:r w:rsidR="00697E7E" w:rsidRPr="00856715">
        <w:t>его семьи</w:t>
      </w:r>
      <w:r w:rsidR="00856715" w:rsidRPr="00856715">
        <w:t>.</w:t>
      </w:r>
    </w:p>
    <w:p w:rsidR="00856715" w:rsidRDefault="00697E7E" w:rsidP="00856715">
      <w:r w:rsidRPr="00856715">
        <w:t>От налогообложения освобождены суммы материальной помощи, выплачиваемые физическим лицам за счёт бюджетных источников организациями, финансируемыми за счёт средств бюджетов, не превышающие 3 тыс</w:t>
      </w:r>
      <w:r w:rsidR="00856715" w:rsidRPr="00856715">
        <w:t xml:space="preserve">. </w:t>
      </w:r>
      <w:r w:rsidRPr="00856715">
        <w:t>руб</w:t>
      </w:r>
      <w:r w:rsidR="00856715" w:rsidRPr="00856715">
        <w:t xml:space="preserve">. </w:t>
      </w:r>
      <w:r w:rsidRPr="00856715">
        <w:t>на одно физическое лицо за налоговый период</w:t>
      </w:r>
      <w:r w:rsidR="00856715" w:rsidRPr="00856715">
        <w:t xml:space="preserve">. </w:t>
      </w:r>
      <w:r w:rsidRPr="00856715">
        <w:t>Не подлежат налогообложению</w:t>
      </w:r>
      <w:r w:rsidR="00856715" w:rsidRPr="00856715">
        <w:t xml:space="preserve">: </w:t>
      </w:r>
      <w:r w:rsidRPr="00856715">
        <w:t>суммы страховых платежей по обязательному страхованию работников, осуществляемому налогоплательщиком в порядке, установленном законодательством РФ</w:t>
      </w:r>
      <w:r w:rsidR="00856715" w:rsidRPr="00856715">
        <w:t xml:space="preserve">; </w:t>
      </w:r>
      <w:r w:rsidRPr="00856715">
        <w:t>суммы платежей налогоплательщика по договорам добровольного личного страхования работников, заключаемым на срок не менее одного года, предусматривающим</w:t>
      </w:r>
      <w:r w:rsidR="009C40F1" w:rsidRPr="00856715">
        <w:t xml:space="preserve"> </w:t>
      </w:r>
      <w:r w:rsidRPr="00856715">
        <w:t>оплату страховщиками</w:t>
      </w:r>
      <w:r w:rsidR="009C40F1" w:rsidRPr="00856715">
        <w:t xml:space="preserve"> медицинских расходов этих застрахованных лиц</w:t>
      </w:r>
      <w:r w:rsidR="00856715" w:rsidRPr="00856715">
        <w:t xml:space="preserve">; </w:t>
      </w:r>
      <w:r w:rsidR="009C40F1" w:rsidRPr="00856715">
        <w:t>суммы платежей налогоплательщика по договорам добровольного личного страхования работников,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</w:t>
      </w:r>
      <w:r w:rsidR="00856715" w:rsidRPr="00856715">
        <w:t>.</w:t>
      </w:r>
    </w:p>
    <w:p w:rsidR="00856715" w:rsidRDefault="009C40F1" w:rsidP="00856715">
      <w:r w:rsidRPr="00856715">
        <w:rPr>
          <w:i/>
          <w:iCs/>
        </w:rPr>
        <w:t>Налоговые льготы</w:t>
      </w:r>
      <w:r w:rsidRPr="00856715">
        <w:t>, предоставляемые по уплате ЕСН, имеют ярко выраженный социальный характер</w:t>
      </w:r>
      <w:r w:rsidR="00856715" w:rsidRPr="00856715">
        <w:t xml:space="preserve">. </w:t>
      </w:r>
      <w:r w:rsidR="00F3735D" w:rsidRPr="00856715">
        <w:t xml:space="preserve">От уплаты налога освобождаются организации любых организационно-правовых форм </w:t>
      </w:r>
      <w:r w:rsidR="00856715">
        <w:t>-</w:t>
      </w:r>
      <w:r w:rsidR="00F3735D" w:rsidRPr="00856715">
        <w:t xml:space="preserve"> с сумм выплат и иных </w:t>
      </w:r>
      <w:r w:rsidR="00F3735D" w:rsidRPr="00856715">
        <w:lastRenderedPageBreak/>
        <w:t>вознаграждений, не превышающих в течение налогового периода 100000 руб</w:t>
      </w:r>
      <w:r w:rsidR="00856715" w:rsidRPr="00856715">
        <w:t xml:space="preserve">. </w:t>
      </w:r>
      <w:r w:rsidR="00F3735D" w:rsidRPr="00856715">
        <w:t xml:space="preserve">на каждое физическое лицо, являющееся инвалидом </w:t>
      </w:r>
      <w:r w:rsidR="00F3735D" w:rsidRPr="00856715">
        <w:rPr>
          <w:lang w:val="en-US"/>
        </w:rPr>
        <w:t>I</w:t>
      </w:r>
      <w:r w:rsidR="00856715" w:rsidRPr="00856715">
        <w:t xml:space="preserve">, </w:t>
      </w:r>
      <w:r w:rsidR="00F3735D" w:rsidRPr="00856715">
        <w:rPr>
          <w:lang w:val="en-US"/>
        </w:rPr>
        <w:t>II</w:t>
      </w:r>
      <w:r w:rsidR="00F3735D" w:rsidRPr="00856715">
        <w:t xml:space="preserve"> или </w:t>
      </w:r>
      <w:r w:rsidR="00F3735D" w:rsidRPr="00856715">
        <w:rPr>
          <w:lang w:val="en-US"/>
        </w:rPr>
        <w:t>III</w:t>
      </w:r>
      <w:r w:rsidR="00F3735D" w:rsidRPr="00856715">
        <w:t xml:space="preserve"> группы</w:t>
      </w:r>
      <w:r w:rsidR="00856715" w:rsidRPr="00856715">
        <w:t>.</w:t>
      </w:r>
    </w:p>
    <w:p w:rsidR="00856715" w:rsidRDefault="00F3735D" w:rsidP="00856715">
      <w:r w:rsidRPr="00856715">
        <w:t>Кроме этого, от уплаты налога освобождаются следующие категории налогоплательщиков с сумм выплат и иных вознаграждений, не превышающих 100000 руб</w:t>
      </w:r>
      <w:r w:rsidR="00856715" w:rsidRPr="00856715">
        <w:t xml:space="preserve">. </w:t>
      </w:r>
      <w:r w:rsidR="00942931" w:rsidRPr="00856715">
        <w:t>в течение налогового периода на каждое физическое лицо</w:t>
      </w:r>
      <w:r w:rsidR="00856715" w:rsidRPr="00856715">
        <w:t>:</w:t>
      </w:r>
    </w:p>
    <w:p w:rsidR="00856715" w:rsidRDefault="00942931" w:rsidP="00856715">
      <w:r w:rsidRPr="00856715">
        <w:t>Общественные организации инвалидов, среди членов которых инвалиды составляют не менее 80%</w:t>
      </w:r>
      <w:r w:rsidR="00856715" w:rsidRPr="00856715">
        <w:t>;</w:t>
      </w:r>
    </w:p>
    <w:p w:rsidR="00856715" w:rsidRDefault="00942931" w:rsidP="00856715">
      <w:r w:rsidRPr="00856715">
        <w:t>Организации, уставный капитал которых полностью состоит из вкладов общественных организаций инвалидов и в которых среднесписочная численность составляет не менее 50%, а доля заработной платы инвалидов в фонде оплаты труда составляет не менее 25%</w:t>
      </w:r>
      <w:r w:rsidR="00856715" w:rsidRPr="00856715">
        <w:t xml:space="preserve">. </w:t>
      </w:r>
      <w:r w:rsidRPr="00856715">
        <w:t>При изменении численности работающих инвалидов и их доли в в общем фонде заработной платы производится соответствующий перерасчёт налога</w:t>
      </w:r>
      <w:r w:rsidR="00856715" w:rsidRPr="00856715">
        <w:t>;</w:t>
      </w:r>
    </w:p>
    <w:p w:rsidR="00856715" w:rsidRDefault="00942931" w:rsidP="00856715">
      <w:r w:rsidRPr="00856715">
        <w:t>Учреждения, созданные для достижения образовательных, культурных, лечебно-оздоровительных и иных социальных целей, а также для оказания правовой и иной помощи инвалидам, единственными собственниками которых являются указанные общественные организации инвалидов</w:t>
      </w:r>
      <w:r w:rsidR="00856715" w:rsidRPr="00856715">
        <w:t>.</w:t>
      </w:r>
    </w:p>
    <w:p w:rsidR="00856715" w:rsidRDefault="005B4ACD" w:rsidP="00856715">
      <w:r w:rsidRPr="00856715">
        <w:t xml:space="preserve">От уплаты налога также освобождаются индивидуальные предприниматели и адвокаты, являющиеся инвалидами </w:t>
      </w:r>
      <w:r w:rsidRPr="00856715">
        <w:rPr>
          <w:lang w:val="en-US"/>
        </w:rPr>
        <w:t>I</w:t>
      </w:r>
      <w:r w:rsidRPr="00856715">
        <w:t xml:space="preserve">, </w:t>
      </w:r>
      <w:r w:rsidRPr="00856715">
        <w:rPr>
          <w:lang w:val="en-US"/>
        </w:rPr>
        <w:t>II</w:t>
      </w:r>
      <w:r w:rsidRPr="00856715">
        <w:t xml:space="preserve">, </w:t>
      </w:r>
      <w:r w:rsidRPr="00856715">
        <w:rPr>
          <w:lang w:val="en-US"/>
        </w:rPr>
        <w:t>III</w:t>
      </w:r>
      <w:r w:rsidRPr="00856715">
        <w:t xml:space="preserve"> групп в части доходов от предпринимательской и иной профессиональной деятельности в размере, не превышающем 100000 руб</w:t>
      </w:r>
      <w:r w:rsidR="00856715" w:rsidRPr="00856715">
        <w:t xml:space="preserve">. </w:t>
      </w:r>
      <w:r w:rsidRPr="00856715">
        <w:t>в течение налогового периода</w:t>
      </w:r>
      <w:r w:rsidR="00856715" w:rsidRPr="00856715">
        <w:t>.</w:t>
      </w:r>
    </w:p>
    <w:p w:rsidR="004E06CC" w:rsidRDefault="004E06CC" w:rsidP="00856715">
      <w:pPr>
        <w:rPr>
          <w:b/>
          <w:bCs/>
          <w:i/>
          <w:iCs/>
        </w:rPr>
      </w:pPr>
    </w:p>
    <w:p w:rsidR="00856715" w:rsidRDefault="00D77B47" w:rsidP="004E06CC">
      <w:pPr>
        <w:pStyle w:val="2"/>
      </w:pPr>
      <w:bookmarkStart w:id="3" w:name="_Toc250713039"/>
      <w:r w:rsidRPr="00856715">
        <w:t>4</w:t>
      </w:r>
      <w:r w:rsidR="00856715" w:rsidRPr="00856715">
        <w:t xml:space="preserve">. </w:t>
      </w:r>
      <w:r w:rsidRPr="00856715">
        <w:t>Ставки налога и порядок применения</w:t>
      </w:r>
      <w:r w:rsidR="004E06CC">
        <w:t xml:space="preserve"> </w:t>
      </w:r>
      <w:r w:rsidRPr="00856715">
        <w:t>регрессивной шкалы ставок ЕСН</w:t>
      </w:r>
      <w:bookmarkEnd w:id="3"/>
    </w:p>
    <w:p w:rsidR="004E06CC" w:rsidRPr="004E06CC" w:rsidRDefault="004E06CC" w:rsidP="004E06CC"/>
    <w:p w:rsidR="00856715" w:rsidRDefault="00CB0D68" w:rsidP="00856715">
      <w:r w:rsidRPr="00856715">
        <w:t>Ставки социального налога носят регрессивный характер, то есть снижаются по мере увеличения дохода</w:t>
      </w:r>
      <w:r w:rsidR="00856715" w:rsidRPr="00856715">
        <w:t xml:space="preserve">. </w:t>
      </w:r>
      <w:r w:rsidR="003B7863" w:rsidRPr="00856715">
        <w:t>При введении ЕСН ранее применяемая максимальная суммарная ставка уменьшилась с 39,5%</w:t>
      </w:r>
      <w:r w:rsidR="00856715">
        <w:t xml:space="preserve"> (</w:t>
      </w:r>
      <w:r w:rsidR="003B7863" w:rsidRPr="00856715">
        <w:t>2001 г</w:t>
      </w:r>
      <w:r w:rsidR="00856715" w:rsidRPr="00856715">
        <w:t xml:space="preserve">) </w:t>
      </w:r>
      <w:r w:rsidR="003B7863" w:rsidRPr="00856715">
        <w:t>до 26% в настоящее время</w:t>
      </w:r>
      <w:r w:rsidR="00856715" w:rsidRPr="00856715">
        <w:t>.</w:t>
      </w:r>
    </w:p>
    <w:p w:rsidR="00856715" w:rsidRDefault="003B7863" w:rsidP="00856715">
      <w:r w:rsidRPr="00856715">
        <w:t>Введение регрессивной шкалы должно было</w:t>
      </w:r>
      <w:r w:rsidR="00D10F5F" w:rsidRPr="00856715">
        <w:t>,</w:t>
      </w:r>
      <w:r w:rsidRPr="00856715">
        <w:t xml:space="preserve"> по мнению авторов налоговой реформы, стимулировать</w:t>
      </w:r>
      <w:r w:rsidR="00EF421D" w:rsidRPr="00856715">
        <w:t xml:space="preserve"> организации к детализации теневых выплат в виде заработной платы, и таким образом увеличить налоговую социальных фондов, что в свою очередь позволило бы ещё сильнее уменьшить ставки налога и, таким образом, снизить общую налоговую нагрузку на предприятия</w:t>
      </w:r>
      <w:r w:rsidR="00856715" w:rsidRPr="00856715">
        <w:t xml:space="preserve">. </w:t>
      </w:r>
      <w:r w:rsidR="00EF421D" w:rsidRPr="00856715">
        <w:t>С другой стороны введение регрессивной шкалы серьёзным образом усложняет всю процедуру расчёта, уплаты налога</w:t>
      </w:r>
      <w:r w:rsidR="00856715" w:rsidRPr="00856715">
        <w:t xml:space="preserve">. </w:t>
      </w:r>
      <w:r w:rsidR="00EF421D" w:rsidRPr="00856715">
        <w:t>А также контроля со стороны налоговых органов</w:t>
      </w:r>
      <w:r w:rsidR="00856715" w:rsidRPr="00856715">
        <w:t>.</w:t>
      </w:r>
    </w:p>
    <w:p w:rsidR="00856715" w:rsidRDefault="00EF421D" w:rsidP="00856715">
      <w:r w:rsidRPr="00856715">
        <w:t xml:space="preserve">Ставки социального налога для лиц, осуществляющих выплаты физическим лицам, представлены в таблице </w:t>
      </w:r>
      <w:r w:rsidR="00856715">
        <w:t>4.1</w:t>
      </w:r>
    </w:p>
    <w:p w:rsidR="004E06CC" w:rsidRDefault="004E06CC" w:rsidP="00856715">
      <w:pPr>
        <w:rPr>
          <w:b/>
          <w:bCs/>
          <w:i/>
          <w:iCs/>
        </w:rPr>
      </w:pPr>
    </w:p>
    <w:p w:rsidR="00EF421D" w:rsidRPr="00856715" w:rsidRDefault="00EF421D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 xml:space="preserve">Таблица </w:t>
      </w:r>
      <w:r w:rsidR="00856715">
        <w:rPr>
          <w:b/>
          <w:bCs/>
          <w:i/>
          <w:iCs/>
        </w:rPr>
        <w:t>4.1</w:t>
      </w:r>
    </w:p>
    <w:p w:rsidR="00EF421D" w:rsidRPr="00856715" w:rsidRDefault="00EF421D" w:rsidP="004E06CC">
      <w:pPr>
        <w:ind w:left="708" w:firstLine="12"/>
        <w:rPr>
          <w:b/>
          <w:bCs/>
          <w:i/>
          <w:iCs/>
        </w:rPr>
      </w:pPr>
      <w:r w:rsidRPr="00856715">
        <w:rPr>
          <w:b/>
          <w:bCs/>
          <w:i/>
          <w:iCs/>
        </w:rPr>
        <w:t>Ставки ЕСН для налогоплательщиков, осуществ</w:t>
      </w:r>
      <w:r w:rsidR="00692DB5" w:rsidRPr="00856715">
        <w:rPr>
          <w:b/>
          <w:bCs/>
          <w:i/>
          <w:iCs/>
        </w:rPr>
        <w:t>ляющих выплаты физическим лицам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546"/>
        <w:gridCol w:w="1494"/>
        <w:gridCol w:w="1310"/>
        <w:gridCol w:w="1313"/>
        <w:gridCol w:w="1483"/>
      </w:tblGrid>
      <w:tr w:rsidR="00856715" w:rsidRPr="00856715" w:rsidTr="00A36373">
        <w:trPr>
          <w:trHeight w:val="840"/>
          <w:jc w:val="center"/>
        </w:trPr>
        <w:tc>
          <w:tcPr>
            <w:tcW w:w="2309" w:type="dxa"/>
            <w:vMerge w:val="restart"/>
            <w:shd w:val="clear" w:color="auto" w:fill="auto"/>
          </w:tcPr>
          <w:p w:rsidR="00EF421D" w:rsidRPr="00856715" w:rsidRDefault="00EF421D" w:rsidP="004E06CC">
            <w:pPr>
              <w:pStyle w:val="af9"/>
            </w:pPr>
            <w:r w:rsidRPr="00856715">
              <w:t xml:space="preserve">Налоговая база на каждого отдельного работника нарастающим итогом с начала года 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Федеральный бюджет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EF421D" w:rsidRPr="00856715" w:rsidRDefault="00EF421D" w:rsidP="004E06CC">
            <w:pPr>
              <w:pStyle w:val="af9"/>
            </w:pPr>
            <w:r w:rsidRPr="00856715">
              <w:t>Фонд социального страхования</w:t>
            </w:r>
            <w:r w:rsidR="00856715">
              <w:t xml:space="preserve"> (</w:t>
            </w:r>
            <w:r w:rsidRPr="00856715">
              <w:t>в ча</w:t>
            </w:r>
            <w:r w:rsidR="002B1B24">
              <w:t>сти общего социального страхова</w:t>
            </w:r>
            <w:r w:rsidRPr="00856715">
              <w:t>ния</w:t>
            </w:r>
            <w:r w:rsidR="00856715" w:rsidRPr="00856715">
              <w:t xml:space="preserve">) 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Фонд обязательного медицинского страхования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Итого</w:t>
            </w:r>
          </w:p>
        </w:tc>
      </w:tr>
      <w:tr w:rsidR="00856715" w:rsidRPr="00856715" w:rsidTr="00A36373">
        <w:trPr>
          <w:trHeight w:val="1080"/>
          <w:jc w:val="center"/>
        </w:trPr>
        <w:tc>
          <w:tcPr>
            <w:tcW w:w="2309" w:type="dxa"/>
            <w:vMerge/>
            <w:shd w:val="clear" w:color="auto" w:fill="auto"/>
          </w:tcPr>
          <w:p w:rsidR="00EF421D" w:rsidRPr="00856715" w:rsidRDefault="00EF421D" w:rsidP="004E06CC">
            <w:pPr>
              <w:pStyle w:val="af9"/>
            </w:pPr>
          </w:p>
        </w:tc>
        <w:tc>
          <w:tcPr>
            <w:tcW w:w="1615" w:type="dxa"/>
            <w:vMerge/>
            <w:shd w:val="clear" w:color="auto" w:fill="auto"/>
          </w:tcPr>
          <w:p w:rsidR="00EF421D" w:rsidRPr="00856715" w:rsidRDefault="00EF421D" w:rsidP="004E06CC">
            <w:pPr>
              <w:pStyle w:val="af9"/>
            </w:pPr>
          </w:p>
        </w:tc>
        <w:tc>
          <w:tcPr>
            <w:tcW w:w="1561" w:type="dxa"/>
            <w:vMerge/>
            <w:shd w:val="clear" w:color="auto" w:fill="auto"/>
          </w:tcPr>
          <w:p w:rsidR="00EF421D" w:rsidRPr="00856715" w:rsidRDefault="00EF421D" w:rsidP="004E06CC">
            <w:pPr>
              <w:pStyle w:val="af9"/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Федераль-ный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Террито-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риальные</w:t>
            </w:r>
          </w:p>
        </w:tc>
        <w:tc>
          <w:tcPr>
            <w:tcW w:w="1362" w:type="dxa"/>
            <w:vMerge/>
            <w:shd w:val="clear" w:color="auto" w:fill="auto"/>
          </w:tcPr>
          <w:p w:rsidR="00EF421D" w:rsidRPr="00856715" w:rsidRDefault="00EF421D" w:rsidP="004E06CC">
            <w:pPr>
              <w:pStyle w:val="af9"/>
            </w:pPr>
          </w:p>
        </w:tc>
      </w:tr>
      <w:tr w:rsidR="00856715" w:rsidRPr="00856715" w:rsidTr="00A36373">
        <w:trPr>
          <w:trHeight w:val="482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До 280000 руб</w:t>
            </w:r>
            <w:r w:rsidR="00856715" w:rsidRPr="00856715">
              <w:t xml:space="preserve">.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20,0%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2,9%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1,1%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2,0%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26,0%</w:t>
            </w:r>
          </w:p>
        </w:tc>
      </w:tr>
      <w:tr w:rsidR="00856715" w:rsidRPr="00856715" w:rsidTr="00A36373">
        <w:trPr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От 280001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до 600000 руб</w:t>
            </w:r>
            <w:r w:rsidR="00856715" w:rsidRPr="00856715">
              <w:t xml:space="preserve">.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56000 руб</w:t>
            </w:r>
            <w:r w:rsidR="00856715" w:rsidRPr="00856715">
              <w:t xml:space="preserve">. </w:t>
            </w:r>
            <w:r w:rsidRPr="00856715">
              <w:t>+7,9% с суммы, пре-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вышающей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280000 руб</w:t>
            </w:r>
            <w:r w:rsidR="00856715" w:rsidRPr="00856715">
              <w:t xml:space="preserve">.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8960 руб</w:t>
            </w:r>
            <w:r w:rsidR="00856715" w:rsidRPr="00856715">
              <w:t xml:space="preserve">. </w:t>
            </w:r>
            <w:r w:rsidRPr="00856715">
              <w:t>+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0,6% с суммы пре-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вышающей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280000 руб</w:t>
            </w:r>
            <w:r w:rsidR="00856715" w:rsidRPr="00856715">
              <w:t xml:space="preserve">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2240 руб</w:t>
            </w:r>
            <w:r w:rsidR="00856715" w:rsidRPr="00856715">
              <w:t xml:space="preserve">. </w:t>
            </w:r>
            <w:r w:rsidRPr="00856715">
              <w:t>+ 0,6% с суммы пре-</w:t>
            </w:r>
          </w:p>
          <w:p w:rsidR="00EF421D" w:rsidRPr="00856715" w:rsidRDefault="00B61E1E" w:rsidP="004E06CC">
            <w:pPr>
              <w:pStyle w:val="af9"/>
            </w:pPr>
            <w:r w:rsidRPr="00856715">
              <w:t>в</w:t>
            </w:r>
            <w:r w:rsidR="00EF421D" w:rsidRPr="00856715">
              <w:t>ышающей 280000 руб</w:t>
            </w:r>
            <w:r w:rsidR="00856715" w:rsidRPr="00856715">
              <w:t xml:space="preserve">.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5600 руб</w:t>
            </w:r>
            <w:r w:rsidR="00856715" w:rsidRPr="00856715">
              <w:t xml:space="preserve">. </w:t>
            </w:r>
            <w:r w:rsidRPr="00856715">
              <w:t>+ 0,5% с суммы, превышаю-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щей 280000руб</w:t>
            </w:r>
            <w:r w:rsidR="00856715" w:rsidRPr="00856715">
              <w:t xml:space="preserve">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72800 руб</w:t>
            </w:r>
            <w:r w:rsidR="00856715" w:rsidRPr="00856715">
              <w:t xml:space="preserve">. </w:t>
            </w:r>
            <w:r w:rsidRPr="00856715">
              <w:t>+ 10,0</w:t>
            </w:r>
            <w:r w:rsidR="00856715" w:rsidRPr="00856715">
              <w:t>%</w:t>
            </w:r>
            <w:r w:rsidRPr="00856715">
              <w:t xml:space="preserve"> с суммы превышаю-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щей 280000руб</w:t>
            </w:r>
            <w:r w:rsidR="00856715" w:rsidRPr="00856715">
              <w:t xml:space="preserve">. </w:t>
            </w:r>
          </w:p>
        </w:tc>
      </w:tr>
      <w:tr w:rsidR="00856715" w:rsidRPr="00856715" w:rsidTr="00A36373">
        <w:trPr>
          <w:trHeight w:val="1573"/>
          <w:jc w:val="center"/>
        </w:trPr>
        <w:tc>
          <w:tcPr>
            <w:tcW w:w="2309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Свыше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600000 руб</w:t>
            </w:r>
            <w:r w:rsidR="00856715" w:rsidRPr="00856715">
              <w:t xml:space="preserve">.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81280 руб</w:t>
            </w:r>
            <w:r w:rsidR="00856715" w:rsidRPr="00856715">
              <w:t xml:space="preserve">. </w:t>
            </w:r>
            <w:r w:rsidRPr="00856715">
              <w:t>+ 2,0% с суммы, пре-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вышающей 600000 руб</w:t>
            </w:r>
            <w:r w:rsidR="00856715" w:rsidRPr="00856715">
              <w:t xml:space="preserve">.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11320 руб</w:t>
            </w:r>
            <w:r w:rsidR="00856715" w:rsidRPr="00856715">
              <w:t xml:space="preserve">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5000 руб</w:t>
            </w:r>
            <w:r w:rsidR="00856715" w:rsidRPr="00856715">
              <w:t xml:space="preserve">.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F421D" w:rsidRPr="00856715" w:rsidRDefault="00EF421D" w:rsidP="004E06CC">
            <w:pPr>
              <w:pStyle w:val="af9"/>
            </w:pPr>
            <w:r w:rsidRPr="00856715">
              <w:t>7200 руб</w:t>
            </w:r>
            <w:r w:rsidR="00856715" w:rsidRPr="00856715">
              <w:t xml:space="preserve">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56715" w:rsidRDefault="00EF421D" w:rsidP="004E06CC">
            <w:pPr>
              <w:pStyle w:val="af9"/>
            </w:pPr>
            <w:r w:rsidRPr="00856715">
              <w:t>104</w:t>
            </w:r>
            <w:r w:rsidR="00856715">
              <w:t xml:space="preserve"> </w:t>
            </w:r>
            <w:r w:rsidRPr="00856715">
              <w:t>800руб</w:t>
            </w:r>
            <w:r w:rsidR="00856715" w:rsidRPr="00856715">
              <w:t>.</w:t>
            </w:r>
          </w:p>
          <w:p w:rsidR="00EF421D" w:rsidRPr="00856715" w:rsidRDefault="00EF421D" w:rsidP="004E06CC">
            <w:pPr>
              <w:pStyle w:val="af9"/>
            </w:pPr>
            <w:r w:rsidRPr="00856715">
              <w:t>+2,0% с суммы превышающей 600000 руб</w:t>
            </w:r>
            <w:r w:rsidR="00856715" w:rsidRPr="00856715">
              <w:t xml:space="preserve">. </w:t>
            </w:r>
          </w:p>
        </w:tc>
      </w:tr>
    </w:tbl>
    <w:p w:rsidR="00EF421D" w:rsidRPr="00856715" w:rsidRDefault="00EF421D" w:rsidP="00856715"/>
    <w:p w:rsidR="00856715" w:rsidRDefault="00B61E1E" w:rsidP="00856715">
      <w:r w:rsidRPr="00856715">
        <w:t xml:space="preserve">Страховые взносы на обязательное пенсионное страхование, как и ЕСН, могут начисляться с применением регрессивной шкалы налогообложения, которая представлена в таблице </w:t>
      </w:r>
      <w:r w:rsidR="00856715">
        <w:t>4.2</w:t>
      </w:r>
    </w:p>
    <w:p w:rsidR="004E06CC" w:rsidRDefault="004E06CC" w:rsidP="00856715">
      <w:pPr>
        <w:rPr>
          <w:b/>
          <w:bCs/>
          <w:i/>
          <w:iCs/>
        </w:rPr>
      </w:pPr>
    </w:p>
    <w:p w:rsidR="00B61E1E" w:rsidRPr="00856715" w:rsidRDefault="00B61E1E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 xml:space="preserve">Таблица </w:t>
      </w:r>
      <w:r w:rsidR="00856715">
        <w:rPr>
          <w:b/>
          <w:bCs/>
          <w:i/>
          <w:iCs/>
        </w:rPr>
        <w:t>4.2</w:t>
      </w:r>
    </w:p>
    <w:p w:rsidR="00EF421D" w:rsidRPr="00856715" w:rsidRDefault="00B61E1E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>Регрессивная шкала ставок страховых взносов</w:t>
      </w:r>
    </w:p>
    <w:p w:rsidR="00B61E1E" w:rsidRPr="00856715" w:rsidRDefault="00B61E1E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>на обязательное пенсионное страхование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303"/>
        <w:gridCol w:w="2303"/>
        <w:gridCol w:w="2303"/>
      </w:tblGrid>
      <w:tr w:rsidR="00B61E1E" w:rsidRPr="00856715" w:rsidTr="00A3637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База для начисления стра</w:t>
            </w:r>
            <w:r w:rsidR="002B1B24">
              <w:t>ховых взносов на каждое физическое лицо нарастаю</w:t>
            </w:r>
            <w:r w:rsidRPr="00856715">
              <w:t>щим итогом с начала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Для лиц 1966 года рождения и старше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Для лиц 1967 года рождения</w:t>
            </w:r>
          </w:p>
          <w:p w:rsidR="00B61E1E" w:rsidRPr="00856715" w:rsidRDefault="00B61E1E" w:rsidP="004E06CC">
            <w:pPr>
              <w:pStyle w:val="af9"/>
            </w:pPr>
            <w:r w:rsidRPr="00856715">
              <w:t>и моложе</w:t>
            </w:r>
          </w:p>
        </w:tc>
      </w:tr>
      <w:tr w:rsidR="00B61E1E" w:rsidRPr="00856715" w:rsidTr="00A3637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на финансирование страховой части трудовой пенсии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на финансирование страховой части трудовой пенсии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B61E1E" w:rsidP="004E06CC">
            <w:pPr>
              <w:pStyle w:val="af9"/>
            </w:pPr>
            <w:r w:rsidRPr="00856715">
              <w:t>на финансирование накопительной части трудовой пенсии</w:t>
            </w:r>
          </w:p>
        </w:tc>
      </w:tr>
      <w:tr w:rsidR="00B61E1E" w:rsidRPr="00856715" w:rsidTr="00A36373">
        <w:trPr>
          <w:trHeight w:val="451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До 280000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14,0%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8,0%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6,0%</w:t>
            </w:r>
          </w:p>
        </w:tc>
      </w:tr>
      <w:tr w:rsidR="00B61E1E" w:rsidRPr="00856715" w:rsidTr="00A36373">
        <w:trPr>
          <w:trHeight w:val="888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856715" w:rsidRDefault="00692DB5" w:rsidP="004E06CC">
            <w:pPr>
              <w:pStyle w:val="af9"/>
            </w:pPr>
            <w:r w:rsidRPr="00856715">
              <w:t>От 280001 руб</w:t>
            </w:r>
            <w:r w:rsidR="00856715" w:rsidRPr="00856715">
              <w:t>.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До 600000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39200 руб</w:t>
            </w:r>
            <w:r w:rsidR="00856715" w:rsidRPr="00856715">
              <w:t xml:space="preserve">. </w:t>
            </w:r>
            <w:r w:rsidRPr="00856715">
              <w:t>+ 5,5%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с суммы, превыша-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ющей 280000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22400 руб</w:t>
            </w:r>
            <w:r w:rsidR="00856715" w:rsidRPr="00856715">
              <w:t xml:space="preserve">. </w:t>
            </w:r>
            <w:r w:rsidRPr="00856715">
              <w:t>+ 3,1%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с суммы, превыша-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ющей 280000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16800 руб</w:t>
            </w:r>
            <w:r w:rsidR="00856715" w:rsidRPr="00856715">
              <w:t xml:space="preserve">. </w:t>
            </w:r>
            <w:r w:rsidRPr="00856715">
              <w:t>+ 2,4%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с суммы, превыша-</w:t>
            </w:r>
          </w:p>
          <w:p w:rsidR="00692DB5" w:rsidRPr="00856715" w:rsidRDefault="00692DB5" w:rsidP="004E06CC">
            <w:pPr>
              <w:pStyle w:val="af9"/>
            </w:pPr>
            <w:r w:rsidRPr="00856715">
              <w:t>ющей 280000 руб</w:t>
            </w:r>
            <w:r w:rsidR="00856715" w:rsidRPr="00856715">
              <w:t xml:space="preserve">. </w:t>
            </w:r>
          </w:p>
        </w:tc>
      </w:tr>
      <w:tr w:rsidR="00B61E1E" w:rsidRPr="00856715" w:rsidTr="00A36373">
        <w:trPr>
          <w:trHeight w:val="591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Свыше 600000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56800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32320 руб</w:t>
            </w:r>
            <w:r w:rsidR="00856715" w:rsidRPr="00856715">
              <w:t xml:space="preserve">.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61E1E" w:rsidRPr="00856715" w:rsidRDefault="00692DB5" w:rsidP="004E06CC">
            <w:pPr>
              <w:pStyle w:val="af9"/>
            </w:pPr>
            <w:r w:rsidRPr="00856715">
              <w:t>24480 руб</w:t>
            </w:r>
            <w:r w:rsidR="00856715" w:rsidRPr="00856715">
              <w:t xml:space="preserve">. </w:t>
            </w:r>
          </w:p>
        </w:tc>
      </w:tr>
    </w:tbl>
    <w:p w:rsidR="00856715" w:rsidRPr="00856715" w:rsidRDefault="00856715" w:rsidP="00856715"/>
    <w:p w:rsidR="00856715" w:rsidRDefault="0075389D" w:rsidP="004E06CC">
      <w:pPr>
        <w:pStyle w:val="2"/>
      </w:pPr>
      <w:bookmarkStart w:id="4" w:name="_Toc250713040"/>
      <w:r w:rsidRPr="00856715">
        <w:t>5</w:t>
      </w:r>
      <w:r w:rsidR="00856715" w:rsidRPr="00856715">
        <w:t xml:space="preserve">. </w:t>
      </w:r>
      <w:r w:rsidRPr="00856715">
        <w:t>Порядок исчисления и уплаты ЕСН</w:t>
      </w:r>
      <w:bookmarkEnd w:id="4"/>
    </w:p>
    <w:p w:rsidR="004E06CC" w:rsidRDefault="004E06CC" w:rsidP="00856715"/>
    <w:p w:rsidR="00856715" w:rsidRDefault="0075389D" w:rsidP="00856715">
      <w:r w:rsidRPr="00856715">
        <w:t>Сумма налога исчисляется и уплачивается налогоплательщиком отдельно в федеральный бюджет и каждый фонд путём умножения ставки налога на налоговую базу</w:t>
      </w:r>
      <w:r w:rsidR="00856715" w:rsidRPr="00856715">
        <w:t>.</w:t>
      </w:r>
    </w:p>
    <w:p w:rsidR="00856715" w:rsidRDefault="0075389D" w:rsidP="00856715">
      <w:r w:rsidRPr="00856715">
        <w:t>Сумму ЕСН, а также сумму взносов во внебюджетные фонды, которая подлежит уплате в бюджет, следует округлять до целых рублей</w:t>
      </w:r>
      <w:r w:rsidR="00856715" w:rsidRPr="00856715">
        <w:t xml:space="preserve">. </w:t>
      </w:r>
      <w:r w:rsidRPr="00856715">
        <w:t>Данная норма с 1 января 2008 года появилась в п</w:t>
      </w:r>
      <w:r w:rsidR="00856715">
        <w:t>.4</w:t>
      </w:r>
      <w:r w:rsidRPr="00856715">
        <w:t xml:space="preserve"> ст</w:t>
      </w:r>
      <w:r w:rsidR="00856715">
        <w:t>.2</w:t>
      </w:r>
      <w:r w:rsidRPr="00856715">
        <w:t>43 НК РФ</w:t>
      </w:r>
      <w:r w:rsidR="00856715" w:rsidRPr="00856715">
        <w:t xml:space="preserve">. </w:t>
      </w:r>
      <w:r w:rsidRPr="00856715">
        <w:t>Также этот пункт обязывает работодателя по каждому физическому лицу вести индивидуальный учёт начисленных выплат, сумм ЕСН и пенсионных взносов</w:t>
      </w:r>
      <w:r w:rsidR="00856715" w:rsidRPr="00856715">
        <w:t xml:space="preserve">. </w:t>
      </w:r>
      <w:r w:rsidRPr="00856715">
        <w:t>Однако в бюджет перечисляют налог не по каждому физическому лицу, а в целом по организации</w:t>
      </w:r>
      <w:r w:rsidR="00856715" w:rsidRPr="00856715">
        <w:t>.</w:t>
      </w:r>
    </w:p>
    <w:p w:rsidR="00856715" w:rsidRDefault="0075389D" w:rsidP="00856715">
      <w:r w:rsidRPr="00856715">
        <w:t>Налоговым периодом по ЕСН признаётся календарный год</w:t>
      </w:r>
      <w:r w:rsidR="00856715" w:rsidRPr="00856715">
        <w:t xml:space="preserve">. </w:t>
      </w:r>
      <w:r w:rsidRPr="00856715">
        <w:t>Порядок уплаты ЕСН, предусматривающий авансовые платежи, потребовал введения отчётного периода</w:t>
      </w:r>
      <w:r w:rsidR="00856715" w:rsidRPr="00856715">
        <w:t xml:space="preserve">. </w:t>
      </w:r>
      <w:r w:rsidRPr="00856715">
        <w:t>Отчетными периодами по налогу признаются первый квартал, полугодие и девять месяцев календарного года</w:t>
      </w:r>
      <w:r w:rsidR="00856715" w:rsidRPr="00856715">
        <w:t xml:space="preserve">. </w:t>
      </w:r>
      <w:r w:rsidRPr="00856715">
        <w:t>Авансовые платежи по ЕСН уплачивают ежемесячно не позднее 15-го числа следующего месяца, исходя из величины начисленных выплат</w:t>
      </w:r>
      <w:r w:rsidR="00856715" w:rsidRPr="00856715">
        <w:t xml:space="preserve">. </w:t>
      </w:r>
      <w:r w:rsidRPr="00856715">
        <w:t>При уплате авансовых платежей в более поздние сроки у налогоплательщика возникает обязанность по уплате пени</w:t>
      </w:r>
      <w:r w:rsidR="00856715" w:rsidRPr="00856715">
        <w:t>.</w:t>
      </w:r>
    </w:p>
    <w:p w:rsidR="00856715" w:rsidRDefault="0075389D" w:rsidP="00856715">
      <w:r w:rsidRPr="00856715">
        <w:t>По итогам отчётного периода налогоплательщики исчисляют разницу между суммой налога, исчисленной исходя из налоговой базы, рассчитанной нарастающим итогом с начала налогового периода до окончания соответствующего отчётного периода, и суммой уплаченных за тот же месяц</w:t>
      </w:r>
      <w:r w:rsidR="00856715" w:rsidRPr="00856715">
        <w:t xml:space="preserve"> </w:t>
      </w:r>
      <w:r w:rsidRPr="00856715">
        <w:t>ежемесячных авансовых платежей, которая подлежит уплате в срок, установленный для представления расчёта по налогу</w:t>
      </w:r>
      <w:r w:rsidR="00856715" w:rsidRPr="00856715">
        <w:t>.</w:t>
      </w:r>
    </w:p>
    <w:p w:rsidR="00856715" w:rsidRDefault="00692DB5" w:rsidP="00856715">
      <w:r w:rsidRPr="00856715">
        <w:t>В случае</w:t>
      </w:r>
      <w:r w:rsidR="0075389D" w:rsidRPr="00856715">
        <w:t xml:space="preserve"> если в отчётном периоде сумма примененного налогового вычета превышает сумму фактически уплаченного страхового взноса за этот же период, такая разница признаётся занижением суммы налога, подлежащего уплате, с 15-го числа месяца, следующего за отчётным периодом, в котором произошло такое занижение</w:t>
      </w:r>
      <w:r w:rsidR="00856715" w:rsidRPr="00856715">
        <w:t>.</w:t>
      </w:r>
    </w:p>
    <w:p w:rsidR="00856715" w:rsidRDefault="0075389D" w:rsidP="00856715">
      <w:r w:rsidRPr="00856715">
        <w:t>Уплата налога осуществляется отдельными платёжными поручениями в федеральный бюджет,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</w:t>
      </w:r>
      <w:r w:rsidR="00856715" w:rsidRPr="00856715">
        <w:t>.</w:t>
      </w:r>
    </w:p>
    <w:p w:rsidR="004E06CC" w:rsidRDefault="004E06CC" w:rsidP="00856715">
      <w:pPr>
        <w:rPr>
          <w:b/>
          <w:bCs/>
          <w:i/>
          <w:iCs/>
        </w:rPr>
      </w:pPr>
    </w:p>
    <w:p w:rsidR="00856715" w:rsidRDefault="0075389D" w:rsidP="004E06CC">
      <w:pPr>
        <w:pStyle w:val="2"/>
      </w:pPr>
      <w:bookmarkStart w:id="5" w:name="_Toc250713041"/>
      <w:r w:rsidRPr="00856715">
        <w:t>6</w:t>
      </w:r>
      <w:r w:rsidR="00856715" w:rsidRPr="00856715">
        <w:t xml:space="preserve">. </w:t>
      </w:r>
      <w:r w:rsidR="00225C43" w:rsidRPr="00856715">
        <w:t xml:space="preserve">Особенности </w:t>
      </w:r>
      <w:r w:rsidR="00083FD0" w:rsidRPr="00856715">
        <w:t>учёта ЕСН в бухгалтерском учёт</w:t>
      </w:r>
      <w:r w:rsidRPr="00856715">
        <w:t>е</w:t>
      </w:r>
      <w:bookmarkEnd w:id="5"/>
    </w:p>
    <w:p w:rsidR="004E06CC" w:rsidRPr="004E06CC" w:rsidRDefault="004E06CC" w:rsidP="004E06CC"/>
    <w:p w:rsidR="00856715" w:rsidRDefault="00225C43" w:rsidP="00856715">
      <w:r w:rsidRPr="00856715">
        <w:t>В бухгалтерском учете расчёты по страховым взносам в пенсионный фонд РФ и ЕСН отражаются на счёте 69</w:t>
      </w:r>
      <w:r w:rsidR="00856715">
        <w:t xml:space="preserve"> "</w:t>
      </w:r>
      <w:r w:rsidRPr="00856715">
        <w:t>Расчёты по социальному страхованию и обеспечению</w:t>
      </w:r>
      <w:r w:rsidR="00856715">
        <w:t xml:space="preserve">". </w:t>
      </w:r>
      <w:r w:rsidRPr="00856715">
        <w:t>Суммы налоговых платежей исчисляются и уплачиваются отдельно в каждый фонд, поэтому к счёту 69 необходимо открыть дополнительные субсчета</w:t>
      </w:r>
      <w:r w:rsidR="00856715" w:rsidRPr="00856715">
        <w:t>:</w:t>
      </w:r>
    </w:p>
    <w:p w:rsidR="00856715" w:rsidRDefault="00225C43" w:rsidP="00856715">
      <w:r w:rsidRPr="00856715">
        <w:t>1</w:t>
      </w:r>
      <w:r w:rsidR="00856715">
        <w:t xml:space="preserve"> "</w:t>
      </w:r>
      <w:r w:rsidRPr="00856715">
        <w:t>Расчёты по ЕСН в части, зачисляемой в фонд социального страхования РФ</w:t>
      </w:r>
      <w:r w:rsidR="00856715">
        <w:t>"</w:t>
      </w:r>
      <w:r w:rsidR="00856715" w:rsidRPr="00856715">
        <w:t>;</w:t>
      </w:r>
    </w:p>
    <w:p w:rsidR="00856715" w:rsidRDefault="00225C43" w:rsidP="00856715">
      <w:r w:rsidRPr="00856715">
        <w:t>2</w:t>
      </w:r>
      <w:r w:rsidR="00856715">
        <w:t xml:space="preserve"> "</w:t>
      </w:r>
      <w:r w:rsidRPr="00856715">
        <w:t>Расчёты по пенсионному обеспечению</w:t>
      </w:r>
      <w:r w:rsidR="00856715">
        <w:t>"</w:t>
      </w:r>
      <w:r w:rsidR="00856715" w:rsidRPr="00856715">
        <w:t>:</w:t>
      </w:r>
    </w:p>
    <w:p w:rsidR="00856715" w:rsidRDefault="00225C43" w:rsidP="00856715">
      <w:r w:rsidRPr="00856715">
        <w:t>2</w:t>
      </w:r>
      <w:r w:rsidR="00856715">
        <w:t>-</w:t>
      </w:r>
      <w:r w:rsidRPr="00856715">
        <w:t>1</w:t>
      </w:r>
      <w:r w:rsidR="00856715">
        <w:t xml:space="preserve"> "</w:t>
      </w:r>
      <w:r w:rsidRPr="00856715">
        <w:t>Расчёты по ЕСН в части, зачисляемой в федеральный бюджет</w:t>
      </w:r>
      <w:r w:rsidR="00856715">
        <w:t>"</w:t>
      </w:r>
      <w:r w:rsidR="00856715" w:rsidRPr="00856715">
        <w:t>;</w:t>
      </w:r>
    </w:p>
    <w:p w:rsidR="00856715" w:rsidRDefault="00225C43" w:rsidP="00856715">
      <w:r w:rsidRPr="00856715">
        <w:t>2</w:t>
      </w:r>
      <w:r w:rsidR="00856715">
        <w:t>-</w:t>
      </w:r>
      <w:r w:rsidRPr="00856715">
        <w:t>2</w:t>
      </w:r>
      <w:r w:rsidR="00856715">
        <w:t xml:space="preserve"> "</w:t>
      </w:r>
      <w:r w:rsidRPr="00856715">
        <w:t>Расчёты по пенсионному обеспечению в части страховых взносов на обязательное пенсионное страхование на финансирование страховой части трудовой пенсии</w:t>
      </w:r>
      <w:r w:rsidR="00856715">
        <w:t>"</w:t>
      </w:r>
      <w:r w:rsidR="00856715" w:rsidRPr="00856715">
        <w:t>;</w:t>
      </w:r>
    </w:p>
    <w:p w:rsidR="00856715" w:rsidRDefault="00225C43" w:rsidP="00856715">
      <w:r w:rsidRPr="00856715">
        <w:t>2</w:t>
      </w:r>
      <w:r w:rsidR="00856715">
        <w:t>-</w:t>
      </w:r>
      <w:r w:rsidRPr="00856715">
        <w:t>3</w:t>
      </w:r>
      <w:r w:rsidR="00856715">
        <w:t xml:space="preserve"> "</w:t>
      </w:r>
      <w:r w:rsidRPr="00856715">
        <w:t>Расчёты по пенсионному обеспечению в части страховых взносов на обязательное пенсионное страхование на финансирование накопительной части трудовой пенсии</w:t>
      </w:r>
      <w:r w:rsidR="00856715">
        <w:t>"</w:t>
      </w:r>
      <w:r w:rsidR="00856715" w:rsidRPr="00856715">
        <w:t>;</w:t>
      </w:r>
    </w:p>
    <w:p w:rsidR="00856715" w:rsidRDefault="00225C43" w:rsidP="00856715">
      <w:r w:rsidRPr="00856715">
        <w:t>3</w:t>
      </w:r>
      <w:r w:rsidR="00856715">
        <w:t xml:space="preserve"> "</w:t>
      </w:r>
      <w:r w:rsidRPr="00856715">
        <w:t>Расчёты по обязательному медицинскому страхованию</w:t>
      </w:r>
      <w:r w:rsidR="00856715">
        <w:t>"</w:t>
      </w:r>
      <w:r w:rsidR="00856715" w:rsidRPr="00856715">
        <w:t>:</w:t>
      </w:r>
    </w:p>
    <w:p w:rsidR="00856715" w:rsidRDefault="00225C43" w:rsidP="00856715">
      <w:r w:rsidRPr="00856715">
        <w:t>3</w:t>
      </w:r>
      <w:r w:rsidR="00856715">
        <w:t>-</w:t>
      </w:r>
      <w:r w:rsidRPr="00856715">
        <w:t>1</w:t>
      </w:r>
      <w:r w:rsidR="00856715">
        <w:t xml:space="preserve"> "</w:t>
      </w:r>
      <w:r w:rsidRPr="00856715">
        <w:t>Расчёты по ЕСН в части, зачисляемой в федеральный фонд обязательного медицинского страхования</w:t>
      </w:r>
      <w:r w:rsidR="00856715">
        <w:t>"</w:t>
      </w:r>
      <w:r w:rsidR="00856715" w:rsidRPr="00856715">
        <w:t>;</w:t>
      </w:r>
    </w:p>
    <w:p w:rsidR="00856715" w:rsidRDefault="00225C43" w:rsidP="00856715">
      <w:r w:rsidRPr="00856715">
        <w:t>3</w:t>
      </w:r>
      <w:r w:rsidR="00856715">
        <w:t>-</w:t>
      </w:r>
      <w:r w:rsidRPr="00856715">
        <w:t>2</w:t>
      </w:r>
      <w:r w:rsidR="00856715">
        <w:t xml:space="preserve"> "</w:t>
      </w:r>
      <w:r w:rsidRPr="00856715">
        <w:t>Расчёты по ЕСН в части, зачисляемой в территориальный фонд обязательного медицинского страхования</w:t>
      </w:r>
      <w:r w:rsidR="00856715">
        <w:t>".</w:t>
      </w:r>
    </w:p>
    <w:p w:rsidR="00856715" w:rsidRDefault="00225C43" w:rsidP="00856715">
      <w:r w:rsidRPr="00856715">
        <w:t>Суммы ЕСН, начисленные на выплаты в пользу физических лиц</w:t>
      </w:r>
      <w:r w:rsidR="00856715" w:rsidRPr="00856715">
        <w:t xml:space="preserve">. </w:t>
      </w:r>
      <w:r w:rsidRPr="00856715">
        <w:t>Учитываются в целях налогообложения прибыли</w:t>
      </w:r>
      <w:r w:rsidR="00856715" w:rsidRPr="00856715">
        <w:t>.</w:t>
      </w:r>
      <w:r w:rsidR="004E06CC">
        <w:t xml:space="preserve"> </w:t>
      </w:r>
      <w:r w:rsidRPr="00856715">
        <w:t xml:space="preserve">По кредиту счёта 69 отражаются начисленные суммы страховых взносов на обязательное пенсионное страхование и ЕСН, а также сумма пеней за несвоевременный взнос платежей, по дебету </w:t>
      </w:r>
      <w:r w:rsidR="00856715">
        <w:t>-</w:t>
      </w:r>
      <w:r w:rsidRPr="00856715">
        <w:t xml:space="preserve"> перечисленные суммы платежей на пенсионное обеспечение и ЕСН</w:t>
      </w:r>
      <w:r w:rsidR="00856715" w:rsidRPr="00856715">
        <w:t>.</w:t>
      </w:r>
      <w:r w:rsidR="004E06CC">
        <w:t xml:space="preserve"> </w:t>
      </w:r>
      <w:r w:rsidRPr="00856715">
        <w:t>Исчисление ЕСН и страховых взносов на обязательное пенсионное страхование начинается с определения налоговой базы</w:t>
      </w:r>
      <w:r w:rsidR="00856715" w:rsidRPr="00856715">
        <w:t>.</w:t>
      </w:r>
      <w:r w:rsidR="004E06CC">
        <w:t xml:space="preserve"> </w:t>
      </w:r>
      <w:r w:rsidRPr="00856715">
        <w:t>Основные записи на счетах по расчётам по ЕСН и Пенсионному фонду следующие</w:t>
      </w:r>
      <w:r w:rsidR="00856715" w:rsidRPr="00856715">
        <w:t>:</w:t>
      </w:r>
    </w:p>
    <w:p w:rsidR="00856715" w:rsidRDefault="00225C43" w:rsidP="00856715">
      <w:r w:rsidRPr="00856715">
        <w:t>Д-т сч</w:t>
      </w:r>
      <w:r w:rsidR="00856715">
        <w:t>.0</w:t>
      </w:r>
      <w:r w:rsidRPr="00856715">
        <w:t xml:space="preserve">8, 20, 23, 25, 26, 29, 44, 91 </w:t>
      </w:r>
      <w:r w:rsidR="00856715">
        <w:t>-</w:t>
      </w:r>
      <w:r w:rsidRPr="00856715">
        <w:t xml:space="preserve"> К-т сч</w:t>
      </w:r>
      <w:r w:rsidR="00856715">
        <w:t>.6</w:t>
      </w:r>
      <w:r w:rsidRPr="00856715">
        <w:t xml:space="preserve">9 </w:t>
      </w:r>
      <w:r w:rsidR="00856715">
        <w:t>-</w:t>
      </w:r>
      <w:r w:rsidRPr="00856715">
        <w:t xml:space="preserve"> начислены ЕСН и платежи в Пенсионный</w:t>
      </w:r>
      <w:r w:rsidR="00856715" w:rsidRPr="00856715">
        <w:t xml:space="preserve"> </w:t>
      </w:r>
      <w:r w:rsidRPr="00856715">
        <w:t>фонд РФ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.6</w:t>
      </w:r>
      <w:r w:rsidRPr="00856715">
        <w:t xml:space="preserve">9 </w:t>
      </w:r>
      <w:r w:rsidR="00856715">
        <w:t>-</w:t>
      </w:r>
      <w:r w:rsidRPr="00856715">
        <w:t xml:space="preserve"> К-т сч</w:t>
      </w:r>
      <w:r w:rsidR="00856715">
        <w:t>.6</w:t>
      </w:r>
      <w:r w:rsidRPr="00856715">
        <w:t xml:space="preserve">9 </w:t>
      </w:r>
      <w:r w:rsidR="00856715">
        <w:t>-</w:t>
      </w:r>
      <w:r w:rsidRPr="00856715">
        <w:t xml:space="preserve"> начислены страховые взносы на обязательное пенсионное страхование</w:t>
      </w:r>
      <w:r w:rsidR="00856715">
        <w:t xml:space="preserve"> (</w:t>
      </w:r>
      <w:r w:rsidRPr="00856715">
        <w:t>по субсчетам</w:t>
      </w:r>
      <w:r w:rsidR="00856715" w:rsidRPr="00856715">
        <w:t>);</w:t>
      </w:r>
    </w:p>
    <w:p w:rsidR="00856715" w:rsidRDefault="00225C43" w:rsidP="00856715">
      <w:r w:rsidRPr="00856715">
        <w:t>Д-т сч</w:t>
      </w:r>
      <w:r w:rsidR="00856715">
        <w:t>.6</w:t>
      </w:r>
      <w:r w:rsidRPr="00856715">
        <w:t xml:space="preserve">9 </w:t>
      </w:r>
      <w:r w:rsidR="00856715">
        <w:t>-</w:t>
      </w:r>
      <w:r w:rsidRPr="00856715">
        <w:t xml:space="preserve"> К-т сч</w:t>
      </w:r>
      <w:r w:rsidR="00856715">
        <w:t>.7</w:t>
      </w:r>
      <w:r w:rsidRPr="00856715">
        <w:t xml:space="preserve">0, 73 </w:t>
      </w:r>
      <w:r w:rsidR="00856715">
        <w:t>-</w:t>
      </w:r>
      <w:r w:rsidRPr="00856715">
        <w:t xml:space="preserve"> произведены расходы по фонду социального страхования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.6</w:t>
      </w:r>
      <w:r w:rsidRPr="00856715">
        <w:t xml:space="preserve">9 </w:t>
      </w:r>
      <w:r w:rsidR="00856715">
        <w:t>-</w:t>
      </w:r>
      <w:r w:rsidRPr="00856715">
        <w:t xml:space="preserve"> К-т сч</w:t>
      </w:r>
      <w:r w:rsidR="00856715">
        <w:t>.5</w:t>
      </w:r>
      <w:r w:rsidRPr="00856715">
        <w:t xml:space="preserve">1 </w:t>
      </w:r>
      <w:r w:rsidR="00856715">
        <w:t>-</w:t>
      </w:r>
      <w:r w:rsidRPr="00856715">
        <w:t xml:space="preserve"> перечислены суммы налогов и страховых взносов в социальные фонды и в федеральный бюджет</w:t>
      </w:r>
      <w:r w:rsidR="00856715" w:rsidRPr="00856715">
        <w:t>.</w:t>
      </w:r>
    </w:p>
    <w:p w:rsidR="00856715" w:rsidRDefault="00225C43" w:rsidP="00856715">
      <w:r w:rsidRPr="00856715">
        <w:t>Пример</w:t>
      </w:r>
      <w:r w:rsidR="00856715" w:rsidRPr="00856715">
        <w:t xml:space="preserve">: </w:t>
      </w:r>
      <w:r w:rsidRPr="00856715">
        <w:t>ООО</w:t>
      </w:r>
      <w:r w:rsidR="00856715">
        <w:t xml:space="preserve"> "</w:t>
      </w:r>
      <w:r w:rsidRPr="00856715">
        <w:t>Гамма</w:t>
      </w:r>
      <w:r w:rsidR="00856715">
        <w:t xml:space="preserve">" </w:t>
      </w:r>
      <w:r w:rsidRPr="00856715">
        <w:t>применяет общую систему налогообложения</w:t>
      </w:r>
      <w:r w:rsidR="00856715" w:rsidRPr="00856715">
        <w:t xml:space="preserve">. </w:t>
      </w:r>
      <w:r w:rsidRPr="00856715">
        <w:t>В организации работают 23 человека</w:t>
      </w:r>
      <w:r w:rsidR="00856715" w:rsidRPr="00856715">
        <w:t xml:space="preserve">. </w:t>
      </w:r>
      <w:r w:rsidRPr="00856715">
        <w:t>Выплаты в их пользу за март 2009 г</w:t>
      </w:r>
      <w:r w:rsidR="00856715">
        <w:t>.,</w:t>
      </w:r>
      <w:r w:rsidRPr="00856715">
        <w:t xml:space="preserve"> с которых необходимо уплатить страховые взносы в Пенсионный фонд РФ, составили</w:t>
      </w:r>
      <w:r w:rsidR="00856715" w:rsidRPr="00856715">
        <w:t>:</w:t>
      </w:r>
    </w:p>
    <w:p w:rsidR="00856715" w:rsidRDefault="00225C43" w:rsidP="00856715">
      <w:r w:rsidRPr="00856715">
        <w:t xml:space="preserve">95000 </w:t>
      </w:r>
      <w:r w:rsidR="00856715">
        <w:t>-</w:t>
      </w:r>
      <w:r w:rsidRPr="00856715">
        <w:t xml:space="preserve"> для работников 1966г</w:t>
      </w:r>
      <w:r w:rsidR="00856715" w:rsidRPr="00856715">
        <w:t xml:space="preserve">. </w:t>
      </w:r>
      <w:r w:rsidRPr="00856715">
        <w:t>рождения и старше</w:t>
      </w:r>
      <w:r w:rsidR="00856715">
        <w:t xml:space="preserve"> (</w:t>
      </w:r>
      <w:r w:rsidRPr="00856715">
        <w:t>8 человек</w:t>
      </w:r>
      <w:r w:rsidR="00856715" w:rsidRPr="00856715">
        <w:t>);</w:t>
      </w:r>
    </w:p>
    <w:p w:rsidR="00856715" w:rsidRDefault="00225C43" w:rsidP="00856715">
      <w:r w:rsidRPr="00856715">
        <w:t xml:space="preserve">200000 </w:t>
      </w:r>
      <w:r w:rsidR="00856715">
        <w:t>-</w:t>
      </w:r>
      <w:r w:rsidRPr="00856715">
        <w:t xml:space="preserve"> для работников 1967г</w:t>
      </w:r>
      <w:r w:rsidR="00856715" w:rsidRPr="00856715">
        <w:t xml:space="preserve">. </w:t>
      </w:r>
      <w:r w:rsidRPr="00856715">
        <w:t>рождения и моложе</w:t>
      </w:r>
      <w:r w:rsidR="00856715">
        <w:t xml:space="preserve"> (</w:t>
      </w:r>
      <w:r w:rsidRPr="00856715">
        <w:t>15 человек</w:t>
      </w:r>
      <w:r w:rsidR="00856715" w:rsidRPr="00856715">
        <w:t>).</w:t>
      </w:r>
    </w:p>
    <w:p w:rsidR="00856715" w:rsidRDefault="00225C43" w:rsidP="00856715">
      <w:r w:rsidRPr="00856715">
        <w:t>Итого 295</w:t>
      </w:r>
      <w:r w:rsidR="00856715">
        <w:t xml:space="preserve"> </w:t>
      </w:r>
      <w:r w:rsidRPr="00856715">
        <w:t>000 руб</w:t>
      </w:r>
      <w:r w:rsidR="00856715" w:rsidRPr="00856715">
        <w:t>.</w:t>
      </w:r>
      <w:r w:rsidR="00856715">
        <w:t xml:space="preserve"> (</w:t>
      </w:r>
      <w:r w:rsidRPr="00856715">
        <w:t>200000+95000</w:t>
      </w:r>
      <w:r w:rsidR="00856715" w:rsidRPr="00856715">
        <w:t>).</w:t>
      </w:r>
    </w:p>
    <w:p w:rsidR="00856715" w:rsidRDefault="00225C43" w:rsidP="00856715">
      <w:r w:rsidRPr="00856715">
        <w:t xml:space="preserve">Ставка для первой группы </w:t>
      </w:r>
      <w:r w:rsidR="00856715">
        <w:t>-</w:t>
      </w:r>
      <w:r w:rsidRPr="00856715">
        <w:t xml:space="preserve"> 14% и все взносы перечисляются на страховую часть пенсии</w:t>
      </w:r>
      <w:r w:rsidR="00856715" w:rsidRPr="00856715">
        <w:t>.</w:t>
      </w:r>
    </w:p>
    <w:p w:rsidR="00856715" w:rsidRDefault="00225C43" w:rsidP="00856715">
      <w:r w:rsidRPr="00856715">
        <w:t>С доходов второй группы взносы начисляются по ставкам</w:t>
      </w:r>
      <w:r w:rsidR="00856715" w:rsidRPr="00856715">
        <w:t>:</w:t>
      </w:r>
    </w:p>
    <w:p w:rsidR="00856715" w:rsidRDefault="00225C43" w:rsidP="00856715">
      <w:r w:rsidRPr="00856715">
        <w:t xml:space="preserve">на финансирование страховой части трудовой пенсии </w:t>
      </w:r>
      <w:r w:rsidR="00856715">
        <w:t>-</w:t>
      </w:r>
      <w:r w:rsidRPr="00856715">
        <w:t xml:space="preserve"> 8%</w:t>
      </w:r>
      <w:r w:rsidR="00856715" w:rsidRPr="00856715">
        <w:t>;</w:t>
      </w:r>
    </w:p>
    <w:p w:rsidR="00856715" w:rsidRDefault="00225C43" w:rsidP="00856715">
      <w:r w:rsidRPr="00856715">
        <w:t xml:space="preserve">финансирование накопительной части трудовой пенсии </w:t>
      </w:r>
      <w:r w:rsidR="00856715">
        <w:t>-</w:t>
      </w:r>
      <w:r w:rsidRPr="00856715">
        <w:t xml:space="preserve"> 6%</w:t>
      </w:r>
      <w:r w:rsidR="00856715" w:rsidRPr="00856715">
        <w:t>.</w:t>
      </w:r>
    </w:p>
    <w:p w:rsidR="00856715" w:rsidRDefault="00225C43" w:rsidP="00856715">
      <w:r w:rsidRPr="00856715">
        <w:t xml:space="preserve">Расчёт суммы начисленных авансовых платежей по пенсионным взносам представлен в таблице </w:t>
      </w:r>
      <w:r w:rsidR="00856715">
        <w:t>6.1.</w:t>
      </w:r>
    </w:p>
    <w:p w:rsidR="004E06CC" w:rsidRDefault="004E06CC" w:rsidP="00856715">
      <w:pPr>
        <w:rPr>
          <w:b/>
          <w:bCs/>
          <w:i/>
          <w:iCs/>
        </w:rPr>
      </w:pPr>
    </w:p>
    <w:p w:rsidR="00225C43" w:rsidRPr="00856715" w:rsidRDefault="00225C43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 xml:space="preserve">Таблица </w:t>
      </w:r>
      <w:r w:rsidR="00692DB5" w:rsidRPr="00856715">
        <w:rPr>
          <w:b/>
          <w:bCs/>
          <w:i/>
          <w:iCs/>
        </w:rPr>
        <w:t>6</w:t>
      </w:r>
      <w:r w:rsidR="00856715">
        <w:rPr>
          <w:b/>
          <w:bCs/>
          <w:i/>
          <w:iCs/>
        </w:rPr>
        <w:t>.1</w:t>
      </w:r>
    </w:p>
    <w:p w:rsidR="00225C43" w:rsidRPr="00856715" w:rsidRDefault="00225C43" w:rsidP="00856715">
      <w:pPr>
        <w:rPr>
          <w:b/>
          <w:bCs/>
          <w:i/>
          <w:iCs/>
        </w:rPr>
      </w:pPr>
      <w:r w:rsidRPr="00856715">
        <w:rPr>
          <w:b/>
          <w:bCs/>
          <w:i/>
          <w:iCs/>
        </w:rPr>
        <w:t>Расчёт страховых взносо</w:t>
      </w:r>
      <w:r w:rsidR="00692DB5" w:rsidRPr="00856715">
        <w:rPr>
          <w:b/>
          <w:bCs/>
          <w:i/>
          <w:iCs/>
        </w:rPr>
        <w:t>в ООО</w:t>
      </w:r>
      <w:r w:rsidR="00856715">
        <w:rPr>
          <w:b/>
          <w:bCs/>
          <w:i/>
          <w:iCs/>
        </w:rPr>
        <w:t xml:space="preserve"> "</w:t>
      </w:r>
      <w:r w:rsidR="00692DB5" w:rsidRPr="00856715">
        <w:rPr>
          <w:b/>
          <w:bCs/>
          <w:i/>
          <w:iCs/>
        </w:rPr>
        <w:t>Гамма</w:t>
      </w:r>
      <w:r w:rsidR="00856715">
        <w:rPr>
          <w:b/>
          <w:bCs/>
          <w:i/>
          <w:iCs/>
        </w:rPr>
        <w:t xml:space="preserve">" </w:t>
      </w:r>
      <w:r w:rsidR="00692DB5" w:rsidRPr="00856715">
        <w:rPr>
          <w:b/>
          <w:bCs/>
          <w:i/>
          <w:iCs/>
        </w:rPr>
        <w:t>за март 2009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3863"/>
      </w:tblGrid>
      <w:tr w:rsidR="00225C43" w:rsidRPr="00856715" w:rsidTr="00A36373">
        <w:trPr>
          <w:jc w:val="center"/>
        </w:trPr>
        <w:tc>
          <w:tcPr>
            <w:tcW w:w="4858" w:type="dxa"/>
            <w:shd w:val="clear" w:color="auto" w:fill="auto"/>
            <w:vAlign w:val="center"/>
          </w:tcPr>
          <w:p w:rsidR="00225C43" w:rsidRPr="00856715" w:rsidRDefault="00225C43" w:rsidP="004E06CC">
            <w:pPr>
              <w:pStyle w:val="af9"/>
            </w:pPr>
            <w:r w:rsidRPr="00856715">
              <w:t>Показатель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25C43" w:rsidRPr="00856715" w:rsidRDefault="00225C43" w:rsidP="004E06CC">
            <w:pPr>
              <w:pStyle w:val="af9"/>
            </w:pPr>
            <w:r w:rsidRPr="00856715">
              <w:t>Сумма</w:t>
            </w:r>
          </w:p>
        </w:tc>
      </w:tr>
      <w:tr w:rsidR="00225C43" w:rsidRPr="00856715" w:rsidTr="00A36373">
        <w:trPr>
          <w:jc w:val="center"/>
        </w:trPr>
        <w:tc>
          <w:tcPr>
            <w:tcW w:w="4858" w:type="dxa"/>
            <w:shd w:val="clear" w:color="auto" w:fill="auto"/>
          </w:tcPr>
          <w:p w:rsidR="00225C43" w:rsidRPr="00856715" w:rsidRDefault="00225C43" w:rsidP="004E06CC">
            <w:pPr>
              <w:pStyle w:val="af9"/>
            </w:pPr>
            <w:r w:rsidRPr="00856715">
              <w:t>Сумма начисленных взносов по первой группе на финансирование страховой части пенсии</w:t>
            </w:r>
          </w:p>
        </w:tc>
        <w:tc>
          <w:tcPr>
            <w:tcW w:w="3863" w:type="dxa"/>
            <w:shd w:val="clear" w:color="auto" w:fill="auto"/>
          </w:tcPr>
          <w:p w:rsidR="00225C43" w:rsidRPr="00856715" w:rsidRDefault="00225C43" w:rsidP="004E06CC">
            <w:pPr>
              <w:pStyle w:val="af9"/>
            </w:pPr>
            <w:r w:rsidRPr="00856715">
              <w:t>13300 руб</w:t>
            </w:r>
            <w:r w:rsidR="00856715" w:rsidRPr="00856715">
              <w:t>.</w:t>
            </w:r>
            <w:r w:rsidR="00856715">
              <w:t xml:space="preserve"> (</w:t>
            </w:r>
            <w:r w:rsidRPr="00856715">
              <w:t>95000 руб</w:t>
            </w:r>
            <w:r w:rsidR="00856715" w:rsidRPr="00856715">
              <w:t xml:space="preserve">. </w:t>
            </w:r>
            <w:r w:rsidRPr="00856715">
              <w:t>* 14%</w:t>
            </w:r>
            <w:r w:rsidR="00856715" w:rsidRPr="00856715">
              <w:t xml:space="preserve">) </w:t>
            </w:r>
          </w:p>
        </w:tc>
      </w:tr>
      <w:tr w:rsidR="00225C43" w:rsidRPr="00856715" w:rsidTr="00A36373">
        <w:trPr>
          <w:jc w:val="center"/>
        </w:trPr>
        <w:tc>
          <w:tcPr>
            <w:tcW w:w="4858" w:type="dxa"/>
            <w:shd w:val="clear" w:color="auto" w:fill="auto"/>
          </w:tcPr>
          <w:p w:rsidR="00225C43" w:rsidRPr="00856715" w:rsidRDefault="00225C43" w:rsidP="004E06CC">
            <w:pPr>
              <w:pStyle w:val="af9"/>
            </w:pPr>
            <w:r w:rsidRPr="00856715">
              <w:t>Сумма начисленных взносов по второй возрастной группе всего</w:t>
            </w:r>
          </w:p>
          <w:p w:rsidR="00856715" w:rsidRDefault="00225C43" w:rsidP="004E06CC">
            <w:pPr>
              <w:pStyle w:val="af9"/>
            </w:pPr>
            <w:r w:rsidRPr="00856715">
              <w:t>В том числе</w:t>
            </w:r>
            <w:r w:rsidR="00856715" w:rsidRPr="00856715">
              <w:t>:</w:t>
            </w:r>
          </w:p>
          <w:p w:rsidR="00856715" w:rsidRDefault="00225C43" w:rsidP="004E06CC">
            <w:pPr>
              <w:pStyle w:val="af9"/>
            </w:pPr>
            <w:r w:rsidRPr="00856715">
              <w:t>на финансирование страховой части пенсии</w:t>
            </w:r>
          </w:p>
          <w:p w:rsidR="00225C43" w:rsidRPr="00856715" w:rsidRDefault="00225C43" w:rsidP="004E06CC">
            <w:pPr>
              <w:pStyle w:val="af9"/>
            </w:pPr>
            <w:r w:rsidRPr="00856715">
              <w:t>финансирование накопительной части пенсии</w:t>
            </w:r>
          </w:p>
        </w:tc>
        <w:tc>
          <w:tcPr>
            <w:tcW w:w="3863" w:type="dxa"/>
            <w:shd w:val="clear" w:color="auto" w:fill="auto"/>
          </w:tcPr>
          <w:p w:rsidR="004E06CC" w:rsidRDefault="004E06CC" w:rsidP="004E06CC">
            <w:pPr>
              <w:pStyle w:val="af9"/>
            </w:pPr>
          </w:p>
          <w:p w:rsidR="00856715" w:rsidRDefault="00225C43" w:rsidP="004E06CC">
            <w:pPr>
              <w:pStyle w:val="af9"/>
            </w:pPr>
            <w:r w:rsidRPr="00856715">
              <w:t>28000 руб</w:t>
            </w:r>
            <w:r w:rsidR="00856715" w:rsidRPr="00856715">
              <w:t>.</w:t>
            </w:r>
            <w:r w:rsidR="00856715">
              <w:t xml:space="preserve"> (</w:t>
            </w:r>
            <w:r w:rsidRPr="00856715">
              <w:t>200000 руб</w:t>
            </w:r>
            <w:r w:rsidR="00856715" w:rsidRPr="00856715">
              <w:t xml:space="preserve">. </w:t>
            </w:r>
            <w:r w:rsidRPr="00856715">
              <w:t>* 14%</w:t>
            </w:r>
            <w:r w:rsidR="00856715" w:rsidRPr="00856715">
              <w:t>)</w:t>
            </w:r>
          </w:p>
          <w:p w:rsidR="00856715" w:rsidRDefault="00225C43" w:rsidP="004E06CC">
            <w:pPr>
              <w:pStyle w:val="af9"/>
            </w:pPr>
            <w:r w:rsidRPr="00856715">
              <w:t>16000 руб</w:t>
            </w:r>
            <w:r w:rsidR="00856715" w:rsidRPr="00856715">
              <w:t>.</w:t>
            </w:r>
            <w:r w:rsidR="00856715">
              <w:t xml:space="preserve"> (</w:t>
            </w:r>
            <w:r w:rsidRPr="00856715">
              <w:t>200000 руб</w:t>
            </w:r>
            <w:r w:rsidR="00856715" w:rsidRPr="00856715">
              <w:t xml:space="preserve">. </w:t>
            </w:r>
            <w:r w:rsidRPr="00856715">
              <w:t>* 8%</w:t>
            </w:r>
            <w:r w:rsidR="00856715" w:rsidRPr="00856715">
              <w:t>)</w:t>
            </w:r>
          </w:p>
          <w:p w:rsidR="00225C43" w:rsidRPr="00856715" w:rsidRDefault="00225C43" w:rsidP="004E06CC">
            <w:pPr>
              <w:pStyle w:val="af9"/>
            </w:pPr>
            <w:r w:rsidRPr="00856715">
              <w:t>12000 руб</w:t>
            </w:r>
            <w:r w:rsidR="00856715" w:rsidRPr="00856715">
              <w:t>.</w:t>
            </w:r>
            <w:r w:rsidR="00856715">
              <w:t xml:space="preserve"> (</w:t>
            </w:r>
            <w:r w:rsidRPr="00856715">
              <w:t>200000 руб</w:t>
            </w:r>
            <w:r w:rsidR="00856715" w:rsidRPr="00856715">
              <w:t xml:space="preserve">. </w:t>
            </w:r>
            <w:r w:rsidRPr="00856715">
              <w:t>* 6%</w:t>
            </w:r>
            <w:r w:rsidR="00856715" w:rsidRPr="00856715">
              <w:t xml:space="preserve">) </w:t>
            </w:r>
          </w:p>
        </w:tc>
      </w:tr>
      <w:tr w:rsidR="00225C43" w:rsidRPr="00856715" w:rsidTr="00A36373">
        <w:trPr>
          <w:jc w:val="center"/>
        </w:trPr>
        <w:tc>
          <w:tcPr>
            <w:tcW w:w="4858" w:type="dxa"/>
            <w:shd w:val="clear" w:color="auto" w:fill="auto"/>
          </w:tcPr>
          <w:p w:rsidR="00225C43" w:rsidRPr="00856715" w:rsidRDefault="00225C43" w:rsidP="004E06CC">
            <w:pPr>
              <w:pStyle w:val="af9"/>
            </w:pPr>
            <w:r w:rsidRPr="00856715">
              <w:t>Итого взносов</w:t>
            </w:r>
          </w:p>
        </w:tc>
        <w:tc>
          <w:tcPr>
            <w:tcW w:w="3863" w:type="dxa"/>
            <w:shd w:val="clear" w:color="auto" w:fill="auto"/>
          </w:tcPr>
          <w:p w:rsidR="00225C43" w:rsidRPr="00856715" w:rsidRDefault="00225C43" w:rsidP="004E06CC">
            <w:pPr>
              <w:pStyle w:val="af9"/>
            </w:pPr>
            <w:r w:rsidRPr="00856715">
              <w:t>41300 руб</w:t>
            </w:r>
            <w:r w:rsidR="00856715" w:rsidRPr="00856715">
              <w:t xml:space="preserve">. </w:t>
            </w:r>
          </w:p>
        </w:tc>
      </w:tr>
    </w:tbl>
    <w:p w:rsidR="00225C43" w:rsidRPr="00856715" w:rsidRDefault="00225C43" w:rsidP="00856715"/>
    <w:p w:rsidR="00856715" w:rsidRDefault="00225C43" w:rsidP="00856715">
      <w:r w:rsidRPr="00856715">
        <w:t>На счетах будут осуществлены следующие записи</w:t>
      </w:r>
      <w:r w:rsidR="00856715" w:rsidRPr="00856715">
        <w:t>:</w:t>
      </w:r>
    </w:p>
    <w:p w:rsidR="00856715" w:rsidRDefault="00225C43" w:rsidP="00856715">
      <w:r w:rsidRPr="00856715">
        <w:t>Д-т сч</w:t>
      </w:r>
      <w:r w:rsidR="00856715">
        <w:t>.20 -</w:t>
      </w:r>
      <w:r w:rsidRPr="00856715">
        <w:t xml:space="preserve"> К-т сч</w:t>
      </w:r>
      <w:r w:rsidR="00856715">
        <w:t>.7</w:t>
      </w:r>
      <w:r w:rsidRPr="00856715">
        <w:t xml:space="preserve">0 </w:t>
      </w:r>
      <w:r w:rsidR="00856715">
        <w:t>-</w:t>
      </w:r>
      <w:r w:rsidRPr="00856715">
        <w:t xml:space="preserve"> 295000 руб</w:t>
      </w:r>
      <w:r w:rsidR="00856715" w:rsidRPr="00856715">
        <w:t xml:space="preserve">. </w:t>
      </w:r>
      <w:r w:rsidRPr="00856715">
        <w:t>начислена заработная плата за март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.20 -</w:t>
      </w:r>
      <w:r w:rsidRPr="00856715">
        <w:t xml:space="preserve"> 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федеральным бюджетом по ЕСН</w:t>
      </w:r>
      <w:r w:rsidR="00856715">
        <w:t xml:space="preserve">" </w:t>
      </w:r>
      <w:r w:rsidR="00856715" w:rsidRPr="00856715">
        <w:t xml:space="preserve">- </w:t>
      </w:r>
      <w:r w:rsidRPr="00856715">
        <w:t>59000 руб</w:t>
      </w:r>
      <w:r w:rsidR="00856715" w:rsidRPr="00856715">
        <w:t>.</w:t>
      </w:r>
      <w:r w:rsidR="00856715">
        <w:t xml:space="preserve"> (</w:t>
      </w:r>
      <w:r w:rsidRPr="00856715">
        <w:t>259000*20%</w:t>
      </w:r>
      <w:r w:rsidR="00856715" w:rsidRPr="00856715">
        <w:t xml:space="preserve">) </w:t>
      </w:r>
      <w:r w:rsidR="00856715">
        <w:t>-</w:t>
      </w:r>
      <w:r w:rsidRPr="00856715">
        <w:t xml:space="preserve"> начислен ЕСН, перечисляемый в федеральный бюджет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.20 -</w:t>
      </w:r>
      <w:r w:rsidRPr="00856715">
        <w:t xml:space="preserve"> 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фондом социального страхования России</w:t>
      </w:r>
      <w:r w:rsidR="00856715">
        <w:t xml:space="preserve">" </w:t>
      </w:r>
      <w:r w:rsidR="00856715" w:rsidRPr="00856715">
        <w:t xml:space="preserve">- </w:t>
      </w:r>
      <w:r w:rsidRPr="00856715">
        <w:t>8555 руб</w:t>
      </w:r>
      <w:r w:rsidR="00856715" w:rsidRPr="00856715">
        <w:t>.</w:t>
      </w:r>
      <w:r w:rsidR="00856715">
        <w:t xml:space="preserve"> (</w:t>
      </w:r>
      <w:r w:rsidRPr="00856715">
        <w:t>295000*2,9%</w:t>
      </w:r>
      <w:r w:rsidR="00856715" w:rsidRPr="00856715">
        <w:t xml:space="preserve">) </w:t>
      </w:r>
      <w:r w:rsidR="00856715">
        <w:t>-</w:t>
      </w:r>
      <w:r w:rsidRPr="00856715">
        <w:t xml:space="preserve"> начислен ЕСН</w:t>
      </w:r>
      <w:r w:rsidR="00856715" w:rsidRPr="00856715">
        <w:t xml:space="preserve">. </w:t>
      </w:r>
      <w:r w:rsidRPr="00856715">
        <w:t>Перечисляемый в фонд социального страхования России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.20 -</w:t>
      </w:r>
      <w:r w:rsidRPr="00856715">
        <w:t xml:space="preserve"> 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федеральным фондом обязательного медицинского страхования</w:t>
      </w:r>
      <w:r w:rsidR="00856715">
        <w:t xml:space="preserve">" </w:t>
      </w:r>
      <w:r w:rsidR="00856715" w:rsidRPr="00856715">
        <w:t xml:space="preserve">- </w:t>
      </w:r>
      <w:r w:rsidRPr="00856715">
        <w:t>3245</w:t>
      </w:r>
      <w:r w:rsidR="00856715">
        <w:t xml:space="preserve"> (</w:t>
      </w:r>
      <w:r w:rsidRPr="00856715">
        <w:t>295000 руб</w:t>
      </w:r>
      <w:r w:rsidR="00856715" w:rsidRPr="00856715">
        <w:t xml:space="preserve">. </w:t>
      </w:r>
      <w:r w:rsidRPr="00856715">
        <w:t>*1,1%</w:t>
      </w:r>
      <w:r w:rsidR="00856715" w:rsidRPr="00856715">
        <w:t xml:space="preserve">) </w:t>
      </w:r>
      <w:r w:rsidR="00856715">
        <w:t>-</w:t>
      </w:r>
      <w:r w:rsidRPr="00856715">
        <w:t xml:space="preserve"> начислен ЕСН, перечисляемый в федеральный фонд обязательного медицинского страхования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.20 -</w:t>
      </w:r>
      <w:r w:rsidRPr="00856715">
        <w:t xml:space="preserve"> 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территориальным фондом обязательного медицинского страхования</w:t>
      </w:r>
      <w:r w:rsidR="00856715">
        <w:t xml:space="preserve">" </w:t>
      </w:r>
      <w:r w:rsidR="00856715" w:rsidRPr="00856715">
        <w:t xml:space="preserve">- </w:t>
      </w:r>
      <w:r w:rsidRPr="00856715">
        <w:t>5900 руб</w:t>
      </w:r>
      <w:r w:rsidR="00856715" w:rsidRPr="00856715">
        <w:t>.</w:t>
      </w:r>
      <w:r w:rsidR="00856715">
        <w:t xml:space="preserve"> (</w:t>
      </w:r>
      <w:r w:rsidRPr="00856715">
        <w:t>295000 руб</w:t>
      </w:r>
      <w:r w:rsidR="00856715" w:rsidRPr="00856715">
        <w:t xml:space="preserve">. </w:t>
      </w:r>
      <w:r w:rsidRPr="00856715">
        <w:t>*2%</w:t>
      </w:r>
      <w:r w:rsidR="00856715" w:rsidRPr="00856715">
        <w:t xml:space="preserve">) </w:t>
      </w:r>
      <w:r w:rsidR="00856715">
        <w:t>-</w:t>
      </w:r>
      <w:r w:rsidRPr="00856715">
        <w:t xml:space="preserve"> начислен ЕСН, перечисляемый в территориальный фонд обязательного медицинского страхования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федеральным бюджетом по ЕСН</w:t>
      </w:r>
      <w:r w:rsidR="00856715">
        <w:t xml:space="preserve">" </w:t>
      </w:r>
      <w:r w:rsidR="00856715" w:rsidRPr="00856715">
        <w:t xml:space="preserve">- </w:t>
      </w:r>
      <w:r w:rsidRPr="00856715">
        <w:t>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Пенсионным фондом РФ по финансированию страховой части трудовой пенсии</w:t>
      </w:r>
      <w:r w:rsidR="00856715">
        <w:t xml:space="preserve">" </w:t>
      </w:r>
      <w:r w:rsidR="00856715" w:rsidRPr="00856715">
        <w:t xml:space="preserve">- </w:t>
      </w:r>
      <w:r w:rsidRPr="00856715">
        <w:t>29300 руб</w:t>
      </w:r>
      <w:r w:rsidR="00856715" w:rsidRPr="00856715">
        <w:t>.</w:t>
      </w:r>
      <w:r w:rsidR="00856715">
        <w:t xml:space="preserve"> (</w:t>
      </w:r>
      <w:r w:rsidRPr="00856715">
        <w:t>16000+13300</w:t>
      </w:r>
      <w:r w:rsidR="00856715" w:rsidRPr="00856715">
        <w:t xml:space="preserve">) </w:t>
      </w:r>
      <w:r w:rsidR="00856715">
        <w:t>-</w:t>
      </w:r>
      <w:r w:rsidRPr="00856715">
        <w:t xml:space="preserve"> начислены страховые взносы в Пенсионный фонд РФ на финансирование страховой части трудовой пенсии</w:t>
      </w:r>
      <w:r w:rsidR="00856715" w:rsidRPr="00856715">
        <w:t>;</w:t>
      </w:r>
    </w:p>
    <w:p w:rsidR="00856715" w:rsidRDefault="00225C43" w:rsidP="00856715">
      <w:r w:rsidRPr="00856715">
        <w:t>Д-т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федеральным бюджетом по ЕСН</w:t>
      </w:r>
      <w:r w:rsidR="00856715">
        <w:t xml:space="preserve">" </w:t>
      </w:r>
      <w:r w:rsidR="00856715" w:rsidRPr="00856715">
        <w:t xml:space="preserve">- </w:t>
      </w:r>
      <w:r w:rsidRPr="00856715">
        <w:t>К-т сч</w:t>
      </w:r>
      <w:r w:rsidR="00856715">
        <w:t>.6</w:t>
      </w:r>
      <w:r w:rsidRPr="00856715">
        <w:t>9 субсчёт</w:t>
      </w:r>
      <w:r w:rsidR="00856715">
        <w:t xml:space="preserve"> "</w:t>
      </w:r>
      <w:r w:rsidRPr="00856715">
        <w:t>Расчёты с Пенсионным фондом РФ по финансированию накопительной части трудовой пенсии</w:t>
      </w:r>
      <w:r w:rsidR="00856715">
        <w:t xml:space="preserve">" </w:t>
      </w:r>
      <w:r w:rsidR="00856715" w:rsidRPr="00856715">
        <w:t xml:space="preserve">- </w:t>
      </w:r>
      <w:r w:rsidRPr="00856715">
        <w:t>12000 руб</w:t>
      </w:r>
      <w:r w:rsidR="00856715" w:rsidRPr="00856715">
        <w:t xml:space="preserve">. </w:t>
      </w:r>
      <w:r w:rsidR="00856715">
        <w:t>-</w:t>
      </w:r>
      <w:r w:rsidRPr="00856715">
        <w:t xml:space="preserve"> начислены страховые взносы в Пенсионный фонд РФ на финансирование накопительной части трудовой пенсии</w:t>
      </w:r>
      <w:r w:rsidR="00856715" w:rsidRPr="00856715">
        <w:t>.</w:t>
      </w:r>
    </w:p>
    <w:p w:rsidR="00856715" w:rsidRDefault="004E06CC" w:rsidP="004E06CC">
      <w:pPr>
        <w:pStyle w:val="2"/>
      </w:pPr>
      <w:r>
        <w:br w:type="page"/>
      </w:r>
      <w:bookmarkStart w:id="6" w:name="_Toc250713042"/>
      <w:r w:rsidR="0075389D" w:rsidRPr="00856715">
        <w:t>7</w:t>
      </w:r>
      <w:r w:rsidR="00856715" w:rsidRPr="00856715">
        <w:t xml:space="preserve">. </w:t>
      </w:r>
      <w:r w:rsidR="00AC14C5" w:rsidRPr="00856715">
        <w:t>Изменения в законодательстве, связанные с ЕСН</w:t>
      </w:r>
      <w:r w:rsidR="000C4C0B" w:rsidRPr="00856715">
        <w:t xml:space="preserve"> в 2009 году</w:t>
      </w:r>
      <w:bookmarkEnd w:id="6"/>
    </w:p>
    <w:p w:rsidR="004E06CC" w:rsidRPr="004E06CC" w:rsidRDefault="004E06CC" w:rsidP="004E06CC"/>
    <w:p w:rsidR="00856715" w:rsidRDefault="00AC14C5" w:rsidP="00856715">
      <w:r w:rsidRPr="00856715">
        <w:t>С 1-го января 2009 года в налоговом законодательстве были внесены изменения, касающиеся единого социального налога, заключаются они в следующем</w:t>
      </w:r>
      <w:r w:rsidR="00856715" w:rsidRPr="00856715">
        <w:t>:</w:t>
      </w:r>
    </w:p>
    <w:p w:rsidR="00856715" w:rsidRDefault="00675F95" w:rsidP="00856715">
      <w:r w:rsidRPr="00856715">
        <w:t>На основании пп</w:t>
      </w:r>
      <w:r w:rsidR="00856715">
        <w:t>.7.1</w:t>
      </w:r>
      <w:r w:rsidRPr="00856715">
        <w:t xml:space="preserve"> п</w:t>
      </w:r>
      <w:r w:rsidR="00856715">
        <w:t>.1</w:t>
      </w:r>
      <w:r w:rsidRPr="00856715">
        <w:t xml:space="preserve"> ст</w:t>
      </w:r>
      <w:r w:rsidR="00856715">
        <w:t>.2</w:t>
      </w:r>
      <w:r w:rsidRPr="00856715">
        <w:t>38 Налогового кодека РФ, ст</w:t>
      </w:r>
      <w:r w:rsidR="00856715">
        <w:t>.9</w:t>
      </w:r>
      <w:r w:rsidRPr="00856715">
        <w:t xml:space="preserve"> закона №55-ФЗ с 1-го января 2009 года не облагаются ЕСН суммы взносов, но не более 12000 руб</w:t>
      </w:r>
      <w:r w:rsidR="00856715" w:rsidRPr="00856715">
        <w:t xml:space="preserve">. </w:t>
      </w:r>
      <w:r w:rsidRPr="00856715">
        <w:t>в год в расчёте на каждого работника, в пользу которого уплачивались взносы работодателя</w:t>
      </w:r>
      <w:r w:rsidR="00856715" w:rsidRPr="00856715">
        <w:t>.</w:t>
      </w:r>
    </w:p>
    <w:p w:rsidR="00856715" w:rsidRDefault="00675F95" w:rsidP="00856715">
      <w:r w:rsidRPr="00856715">
        <w:t>На основании пп</w:t>
      </w:r>
      <w:r w:rsidR="00856715">
        <w:t>.1</w:t>
      </w:r>
      <w:r w:rsidRPr="00856715">
        <w:t>6 п</w:t>
      </w:r>
      <w:r w:rsidR="00856715">
        <w:t>.1</w:t>
      </w:r>
      <w:r w:rsidRPr="00856715">
        <w:t xml:space="preserve"> ст</w:t>
      </w:r>
      <w:r w:rsidR="00856715">
        <w:t>.2</w:t>
      </w:r>
      <w:r w:rsidRPr="00856715">
        <w:t>38 Налогового кодекса РФ, ст</w:t>
      </w:r>
      <w:r w:rsidR="00856715">
        <w:t>.7</w:t>
      </w:r>
      <w:r w:rsidRPr="00856715">
        <w:t xml:space="preserve"> закона №158-ФЗ с 1-го января 2009 года не облагаются ЕСН суммы платы за обучение по основным и дополнительным образовательным программам, профессиональную подготовку и переподготовку работников, включаемые в состав расходов, учитываемых при определении налоговой базы по налогу на прибыль организаций</w:t>
      </w:r>
      <w:r w:rsidR="00856715" w:rsidRPr="00856715">
        <w:t>.</w:t>
      </w:r>
    </w:p>
    <w:p w:rsidR="00856715" w:rsidRDefault="00675F95" w:rsidP="00856715">
      <w:r w:rsidRPr="00856715">
        <w:t>На основании пп</w:t>
      </w:r>
      <w:r w:rsidR="00856715">
        <w:t>.1</w:t>
      </w:r>
      <w:r w:rsidRPr="00856715">
        <w:t>7 п</w:t>
      </w:r>
      <w:r w:rsidR="00856715">
        <w:t>.1</w:t>
      </w:r>
      <w:r w:rsidRPr="00856715">
        <w:t xml:space="preserve"> ст 238 Налогового кодекса РФ, закон № 158-ФЗ</w:t>
      </w:r>
      <w:r w:rsidR="00856715">
        <w:t xml:space="preserve"> (</w:t>
      </w:r>
      <w:r w:rsidRPr="00856715">
        <w:t>действующего до 1-го января 2012 года</w:t>
      </w:r>
      <w:r w:rsidR="00856715" w:rsidRPr="00856715">
        <w:t xml:space="preserve">) </w:t>
      </w:r>
      <w:r w:rsidRPr="00856715">
        <w:t>с 1-го января 2009 года</w:t>
      </w:r>
      <w:r w:rsidR="00225C43" w:rsidRPr="00856715">
        <w:t xml:space="preserve"> </w:t>
      </w:r>
      <w:r w:rsidRPr="00856715">
        <w:t>не облагаются ЕСН суммы, выплачиваемые организациями</w:t>
      </w:r>
      <w:r w:rsidR="00856715">
        <w:t xml:space="preserve"> (</w:t>
      </w:r>
      <w:r w:rsidR="00225C43" w:rsidRPr="00856715">
        <w:t>индивидуальными предпринимателями</w:t>
      </w:r>
      <w:r w:rsidR="00856715" w:rsidRPr="00856715">
        <w:t xml:space="preserve">) </w:t>
      </w:r>
      <w:r w:rsidR="00225C43" w:rsidRPr="00856715">
        <w:t>своим работникам на возмещение затрат по уплате процентов по займам</w:t>
      </w:r>
      <w:r w:rsidR="00856715">
        <w:t xml:space="preserve"> (</w:t>
      </w:r>
      <w:r w:rsidR="00225C43" w:rsidRPr="00856715">
        <w:t>кредитам</w:t>
      </w:r>
      <w:r w:rsidR="00856715" w:rsidRPr="00856715">
        <w:t xml:space="preserve">) </w:t>
      </w:r>
      <w:r w:rsidR="00225C43" w:rsidRPr="00856715">
        <w:t>на приобретение и</w:t>
      </w:r>
      <w:r w:rsidR="00856715">
        <w:t xml:space="preserve"> (</w:t>
      </w:r>
      <w:r w:rsidR="00225C43" w:rsidRPr="00856715">
        <w:t>или</w:t>
      </w:r>
      <w:r w:rsidR="00856715" w:rsidRPr="00856715">
        <w:t xml:space="preserve">) </w:t>
      </w:r>
      <w:r w:rsidR="00225C43" w:rsidRPr="00856715">
        <w:t>строительство жилого помещения, включаемые в состав расходов, учитываемых при определении налоговой базы по налогу на прибыль организаций</w:t>
      </w:r>
      <w:r w:rsidR="00856715" w:rsidRPr="00856715">
        <w:t>.</w:t>
      </w:r>
    </w:p>
    <w:p w:rsidR="00856715" w:rsidRDefault="004E06CC" w:rsidP="004E06CC">
      <w:pPr>
        <w:pStyle w:val="2"/>
      </w:pPr>
      <w:r>
        <w:br w:type="page"/>
      </w:r>
      <w:bookmarkStart w:id="7" w:name="_Toc250713043"/>
      <w:r w:rsidR="00915C1D" w:rsidRPr="00856715">
        <w:t>Список использованных источников и литературы</w:t>
      </w:r>
      <w:bookmarkEnd w:id="7"/>
    </w:p>
    <w:p w:rsidR="004E06CC" w:rsidRPr="004E06CC" w:rsidRDefault="004E06CC" w:rsidP="004E06CC"/>
    <w:p w:rsidR="00856715" w:rsidRDefault="004069EE" w:rsidP="004E06CC">
      <w:pPr>
        <w:pStyle w:val="a0"/>
      </w:pPr>
      <w:r w:rsidRPr="00856715">
        <w:t>Вольхина О</w:t>
      </w:r>
      <w:r w:rsidR="00856715">
        <w:t xml:space="preserve">.Л. </w:t>
      </w:r>
      <w:r w:rsidRPr="00856715">
        <w:t xml:space="preserve">Ошибки, допускаемые при исчислении ЕСН / Бухгалтерский учёт </w:t>
      </w:r>
      <w:r w:rsidR="00856715">
        <w:t>-</w:t>
      </w:r>
      <w:r w:rsidRPr="00856715">
        <w:t xml:space="preserve"> 2009 №7 стр</w:t>
      </w:r>
      <w:r w:rsidR="00856715">
        <w:t>.1</w:t>
      </w:r>
      <w:r w:rsidRPr="00856715">
        <w:t xml:space="preserve">7 </w:t>
      </w:r>
      <w:r w:rsidR="00856715">
        <w:t>-</w:t>
      </w:r>
      <w:r w:rsidRPr="00856715">
        <w:t xml:space="preserve"> 23</w:t>
      </w:r>
      <w:r w:rsidR="00856715" w:rsidRPr="00856715">
        <w:t>.</w:t>
      </w:r>
    </w:p>
    <w:p w:rsidR="00856715" w:rsidRDefault="004069EE" w:rsidP="004E06CC">
      <w:pPr>
        <w:pStyle w:val="a0"/>
      </w:pPr>
      <w:r w:rsidRPr="00856715">
        <w:t>Вольхина О</w:t>
      </w:r>
      <w:r w:rsidR="00856715">
        <w:t xml:space="preserve">.Л. </w:t>
      </w:r>
      <w:r w:rsidRPr="00856715">
        <w:t xml:space="preserve">Расчёт ЕСН и страховых взносов на обязательное пенсионное страхование с выплат в пользу инвалидов / Бухгалтерский учёт </w:t>
      </w:r>
      <w:r w:rsidR="00856715">
        <w:t>-</w:t>
      </w:r>
      <w:r w:rsidRPr="00856715">
        <w:t xml:space="preserve"> 2009 №1 стр</w:t>
      </w:r>
      <w:r w:rsidR="00856715">
        <w:t>.4</w:t>
      </w:r>
      <w:r w:rsidRPr="00856715">
        <w:t xml:space="preserve">3 </w:t>
      </w:r>
      <w:r w:rsidR="00856715">
        <w:t>-</w:t>
      </w:r>
      <w:r w:rsidRPr="00856715">
        <w:t xml:space="preserve"> 46</w:t>
      </w:r>
      <w:r w:rsidR="00856715" w:rsidRPr="00856715">
        <w:t>.</w:t>
      </w:r>
    </w:p>
    <w:p w:rsidR="00856715" w:rsidRDefault="004069EE" w:rsidP="004E06CC">
      <w:pPr>
        <w:pStyle w:val="a0"/>
      </w:pPr>
      <w:r w:rsidRPr="00856715">
        <w:t>Громова В</w:t>
      </w:r>
      <w:r w:rsidR="00856715">
        <w:t xml:space="preserve">.Н. </w:t>
      </w:r>
      <w:r w:rsidRPr="00856715">
        <w:t xml:space="preserve">О льготах при исчислении </w:t>
      </w:r>
      <w:r w:rsidR="00C04EC7" w:rsidRPr="00856715">
        <w:t xml:space="preserve">ЕСН / Бухгалтерский учёт </w:t>
      </w:r>
      <w:r w:rsidR="00856715">
        <w:t>-</w:t>
      </w:r>
      <w:r w:rsidR="00C04EC7" w:rsidRPr="00856715">
        <w:t xml:space="preserve"> 2008 №17 стр</w:t>
      </w:r>
      <w:r w:rsidR="00856715">
        <w:t>.20 -</w:t>
      </w:r>
      <w:r w:rsidR="00C04EC7" w:rsidRPr="00856715">
        <w:t xml:space="preserve"> 24</w:t>
      </w:r>
      <w:r w:rsidR="00856715" w:rsidRPr="00856715">
        <w:t>.</w:t>
      </w:r>
    </w:p>
    <w:p w:rsidR="00856715" w:rsidRDefault="00C04EC7" w:rsidP="004E06CC">
      <w:pPr>
        <w:pStyle w:val="a0"/>
      </w:pPr>
      <w:r w:rsidRPr="00856715">
        <w:t>Громова В</w:t>
      </w:r>
      <w:r w:rsidR="00856715">
        <w:t xml:space="preserve">.Н. </w:t>
      </w:r>
      <w:r w:rsidRPr="00856715">
        <w:t xml:space="preserve">О порядке исчисления и уплаты ЕСН индивидуальными предпринимателями / Бухгалтерский учёт </w:t>
      </w:r>
      <w:r w:rsidR="00856715">
        <w:t>-</w:t>
      </w:r>
      <w:r w:rsidRPr="00856715">
        <w:t xml:space="preserve"> 2009 №2 стр</w:t>
      </w:r>
      <w:r w:rsidR="00856715">
        <w:t>.1</w:t>
      </w:r>
      <w:r w:rsidRPr="00856715">
        <w:t xml:space="preserve">5 </w:t>
      </w:r>
      <w:r w:rsidR="00856715">
        <w:t>-</w:t>
      </w:r>
      <w:r w:rsidRPr="00856715">
        <w:t xml:space="preserve"> 24</w:t>
      </w:r>
      <w:r w:rsidR="00856715" w:rsidRPr="00856715">
        <w:t>.</w:t>
      </w:r>
    </w:p>
    <w:p w:rsidR="00856715" w:rsidRDefault="00C04EC7" w:rsidP="004E06CC">
      <w:pPr>
        <w:pStyle w:val="a0"/>
      </w:pPr>
      <w:r w:rsidRPr="00856715">
        <w:t>Кондраков Н</w:t>
      </w:r>
      <w:r w:rsidR="00856715">
        <w:t xml:space="preserve">.П. </w:t>
      </w:r>
      <w:r w:rsidRPr="00856715">
        <w:t xml:space="preserve">Бухгалтерский учёт </w:t>
      </w:r>
      <w:r w:rsidR="00856715">
        <w:t>-</w:t>
      </w:r>
      <w:r w:rsidRPr="00856715">
        <w:t xml:space="preserve"> М</w:t>
      </w:r>
      <w:r w:rsidR="00856715">
        <w:t>.:</w:t>
      </w:r>
      <w:r w:rsidR="00856715" w:rsidRPr="00856715">
        <w:t xml:space="preserve"> </w:t>
      </w:r>
      <w:r w:rsidRPr="00856715">
        <w:t>ИНФРА-М 2007 стр</w:t>
      </w:r>
      <w:r w:rsidR="00856715">
        <w:t>.2</w:t>
      </w:r>
      <w:r w:rsidRPr="00856715">
        <w:t xml:space="preserve">18 </w:t>
      </w:r>
      <w:r w:rsidR="00856715">
        <w:t>-</w:t>
      </w:r>
      <w:r w:rsidRPr="00856715">
        <w:t xml:space="preserve"> 220</w:t>
      </w:r>
      <w:r w:rsidR="00856715" w:rsidRPr="00856715">
        <w:t>.</w:t>
      </w:r>
    </w:p>
    <w:p w:rsidR="00856715" w:rsidRDefault="00C04EC7" w:rsidP="004E06CC">
      <w:pPr>
        <w:pStyle w:val="a0"/>
      </w:pPr>
      <w:r w:rsidRPr="00856715">
        <w:t>Муравицкая Н</w:t>
      </w:r>
      <w:r w:rsidR="00856715">
        <w:t xml:space="preserve">.К., </w:t>
      </w:r>
      <w:r w:rsidRPr="00856715">
        <w:t>Лукьяненко Г</w:t>
      </w:r>
      <w:r w:rsidR="00856715">
        <w:t xml:space="preserve">.И. </w:t>
      </w:r>
      <w:r w:rsidRPr="00856715">
        <w:t xml:space="preserve">Бухгалтерский учёт </w:t>
      </w:r>
      <w:r w:rsidR="00856715">
        <w:t>-</w:t>
      </w:r>
      <w:r w:rsidRPr="00856715">
        <w:t xml:space="preserve"> М</w:t>
      </w:r>
      <w:r w:rsidR="00856715">
        <w:t>.:</w:t>
      </w:r>
      <w:r w:rsidR="00856715" w:rsidRPr="00856715">
        <w:t xml:space="preserve"> </w:t>
      </w:r>
      <w:r w:rsidRPr="00856715">
        <w:t>КНОРУС 2009 стр</w:t>
      </w:r>
      <w:r w:rsidR="00856715">
        <w:t>.3</w:t>
      </w:r>
      <w:r w:rsidRPr="00856715">
        <w:t xml:space="preserve">13 </w:t>
      </w:r>
      <w:r w:rsidR="00856715">
        <w:t>-</w:t>
      </w:r>
      <w:r w:rsidRPr="00856715">
        <w:t xml:space="preserve"> 322</w:t>
      </w:r>
      <w:r w:rsidR="00856715" w:rsidRPr="00856715">
        <w:t>.</w:t>
      </w:r>
    </w:p>
    <w:p w:rsidR="00856715" w:rsidRDefault="00BC180A" w:rsidP="004E06CC">
      <w:pPr>
        <w:pStyle w:val="a0"/>
      </w:pPr>
      <w:r w:rsidRPr="00856715">
        <w:t>Налоговый кодекс Российской Федерации</w:t>
      </w:r>
      <w:r w:rsidR="00856715" w:rsidRPr="00856715">
        <w:t>.</w:t>
      </w:r>
    </w:p>
    <w:p w:rsidR="00856715" w:rsidRDefault="00C04EC7" w:rsidP="004E06CC">
      <w:pPr>
        <w:pStyle w:val="a0"/>
      </w:pPr>
      <w:r w:rsidRPr="00856715">
        <w:t>Романовский М</w:t>
      </w:r>
      <w:r w:rsidR="00856715">
        <w:t xml:space="preserve">.В., </w:t>
      </w:r>
      <w:r w:rsidRPr="00856715">
        <w:t>Врублевской О</w:t>
      </w:r>
      <w:r w:rsidR="00856715">
        <w:t xml:space="preserve">.В. </w:t>
      </w:r>
      <w:r w:rsidRPr="00856715">
        <w:t xml:space="preserve">Налоги и налогообложение </w:t>
      </w:r>
      <w:r w:rsidR="00856715">
        <w:t>-</w:t>
      </w:r>
      <w:r w:rsidRPr="00856715">
        <w:t xml:space="preserve"> </w:t>
      </w:r>
      <w:r w:rsidR="00B96408" w:rsidRPr="00856715">
        <w:t>С</w:t>
      </w:r>
      <w:r w:rsidR="00856715" w:rsidRPr="00856715">
        <w:t xml:space="preserve">. - </w:t>
      </w:r>
      <w:r w:rsidR="00B96408" w:rsidRPr="00856715">
        <w:t>П</w:t>
      </w:r>
      <w:r w:rsidR="00856715">
        <w:t>.:</w:t>
      </w:r>
      <w:r w:rsidR="00856715" w:rsidRPr="00856715">
        <w:t xml:space="preserve"> </w:t>
      </w:r>
      <w:r w:rsidR="00B96408" w:rsidRPr="00856715">
        <w:t>Питер 2009 стр</w:t>
      </w:r>
      <w:r w:rsidR="00856715">
        <w:t>.3</w:t>
      </w:r>
      <w:r w:rsidR="00B96408" w:rsidRPr="00856715">
        <w:t xml:space="preserve">05 </w:t>
      </w:r>
      <w:r w:rsidR="00856715">
        <w:t>-</w:t>
      </w:r>
      <w:r w:rsidR="00B96408" w:rsidRPr="00856715">
        <w:t xml:space="preserve"> 312</w:t>
      </w:r>
      <w:r w:rsidR="00856715" w:rsidRPr="00856715">
        <w:t>.</w:t>
      </w:r>
    </w:p>
    <w:p w:rsidR="00856715" w:rsidRDefault="00B96408" w:rsidP="004E06CC">
      <w:pPr>
        <w:pStyle w:val="a0"/>
      </w:pPr>
      <w:r w:rsidRPr="00856715">
        <w:t>Черника Д</w:t>
      </w:r>
      <w:r w:rsidR="00856715">
        <w:t xml:space="preserve">.Г. </w:t>
      </w:r>
      <w:r w:rsidRPr="00856715">
        <w:t>Налоги и налогообложение М</w:t>
      </w:r>
      <w:r w:rsidR="00856715">
        <w:t>.:</w:t>
      </w:r>
      <w:r w:rsidR="00856715" w:rsidRPr="00856715">
        <w:t xml:space="preserve"> </w:t>
      </w:r>
      <w:r w:rsidRPr="00856715">
        <w:t>ЮНИТИ 2007 стр</w:t>
      </w:r>
      <w:r w:rsidR="00856715">
        <w:t>.1</w:t>
      </w:r>
      <w:r w:rsidRPr="00856715">
        <w:t xml:space="preserve">04 </w:t>
      </w:r>
      <w:r w:rsidR="00856715">
        <w:t>-</w:t>
      </w:r>
      <w:r w:rsidRPr="00856715">
        <w:t xml:space="preserve"> 128</w:t>
      </w:r>
      <w:r w:rsidR="00856715" w:rsidRPr="00856715">
        <w:t>.</w:t>
      </w:r>
    </w:p>
    <w:p w:rsidR="00A6376A" w:rsidRPr="00856715" w:rsidRDefault="00A6376A" w:rsidP="00856715">
      <w:bookmarkStart w:id="8" w:name="_GoBack"/>
      <w:bookmarkEnd w:id="8"/>
    </w:p>
    <w:sectPr w:rsidR="00A6376A" w:rsidRPr="00856715" w:rsidSect="0085671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73" w:rsidRDefault="00A36373">
      <w:r>
        <w:separator/>
      </w:r>
    </w:p>
  </w:endnote>
  <w:endnote w:type="continuationSeparator" w:id="0">
    <w:p w:rsidR="00A36373" w:rsidRDefault="00A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15" w:rsidRDefault="00856715" w:rsidP="00225C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73" w:rsidRDefault="00A36373">
      <w:r>
        <w:separator/>
      </w:r>
    </w:p>
  </w:footnote>
  <w:footnote w:type="continuationSeparator" w:id="0">
    <w:p w:rsidR="00A36373" w:rsidRDefault="00A3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15" w:rsidRDefault="0079557B" w:rsidP="0085671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56715" w:rsidRDefault="00856715" w:rsidP="0085671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0D5BB4"/>
    <w:multiLevelType w:val="hybridMultilevel"/>
    <w:tmpl w:val="BE22C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870CD9"/>
    <w:multiLevelType w:val="multilevel"/>
    <w:tmpl w:val="5D5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1F00F0"/>
    <w:multiLevelType w:val="hybridMultilevel"/>
    <w:tmpl w:val="3E941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35116E"/>
    <w:multiLevelType w:val="hybridMultilevel"/>
    <w:tmpl w:val="ACCC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05304"/>
    <w:multiLevelType w:val="multilevel"/>
    <w:tmpl w:val="574ECD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FB5CBD"/>
    <w:multiLevelType w:val="hybridMultilevel"/>
    <w:tmpl w:val="6A6AF63A"/>
    <w:lvl w:ilvl="0" w:tplc="3C38C1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8279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B5D4E5B"/>
    <w:multiLevelType w:val="multilevel"/>
    <w:tmpl w:val="02BC559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74274"/>
    <w:multiLevelType w:val="hybridMultilevel"/>
    <w:tmpl w:val="574ECD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1A56F0"/>
    <w:multiLevelType w:val="multilevel"/>
    <w:tmpl w:val="0902CE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2909E9"/>
    <w:multiLevelType w:val="multilevel"/>
    <w:tmpl w:val="574ECD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4514C5"/>
    <w:multiLevelType w:val="multilevel"/>
    <w:tmpl w:val="02BADB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2D90B28"/>
    <w:multiLevelType w:val="multilevel"/>
    <w:tmpl w:val="A4C4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90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8DD6AAF"/>
    <w:multiLevelType w:val="hybridMultilevel"/>
    <w:tmpl w:val="0902CE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5B208A"/>
    <w:multiLevelType w:val="multilevel"/>
    <w:tmpl w:val="BE2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5A548EB"/>
    <w:multiLevelType w:val="hybridMultilevel"/>
    <w:tmpl w:val="5D5AA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2B533D"/>
    <w:multiLevelType w:val="multilevel"/>
    <w:tmpl w:val="02BC559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AB57C00"/>
    <w:multiLevelType w:val="hybridMultilevel"/>
    <w:tmpl w:val="A4C45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B575B7"/>
    <w:multiLevelType w:val="multilevel"/>
    <w:tmpl w:val="5D5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1"/>
  </w:num>
  <w:num w:numId="5">
    <w:abstractNumId w:val="4"/>
  </w:num>
  <w:num w:numId="6">
    <w:abstractNumId w:val="20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8"/>
  </w:num>
  <w:num w:numId="14">
    <w:abstractNumId w:val="13"/>
  </w:num>
  <w:num w:numId="15">
    <w:abstractNumId w:val="14"/>
  </w:num>
  <w:num w:numId="16">
    <w:abstractNumId w:val="0"/>
  </w:num>
  <w:num w:numId="17">
    <w:abstractNumId w:val="18"/>
  </w:num>
  <w:num w:numId="18">
    <w:abstractNumId w:val="21"/>
  </w:num>
  <w:num w:numId="19">
    <w:abstractNumId w:val="17"/>
  </w:num>
  <w:num w:numId="20">
    <w:abstractNumId w:val="1"/>
  </w:num>
  <w:num w:numId="21">
    <w:abstractNumId w:val="9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9A1"/>
    <w:rsid w:val="000101A7"/>
    <w:rsid w:val="00020D14"/>
    <w:rsid w:val="00065BCF"/>
    <w:rsid w:val="00083FD0"/>
    <w:rsid w:val="000A3019"/>
    <w:rsid w:val="000B6A20"/>
    <w:rsid w:val="000C4C0B"/>
    <w:rsid w:val="000D3B50"/>
    <w:rsid w:val="00110610"/>
    <w:rsid w:val="00147E80"/>
    <w:rsid w:val="001877D1"/>
    <w:rsid w:val="001A0D8D"/>
    <w:rsid w:val="001B0701"/>
    <w:rsid w:val="001B6D43"/>
    <w:rsid w:val="001C611C"/>
    <w:rsid w:val="001F4CB5"/>
    <w:rsid w:val="001F4D21"/>
    <w:rsid w:val="00225C43"/>
    <w:rsid w:val="0023046F"/>
    <w:rsid w:val="002B1B24"/>
    <w:rsid w:val="002E5E10"/>
    <w:rsid w:val="00313725"/>
    <w:rsid w:val="00355429"/>
    <w:rsid w:val="003B7863"/>
    <w:rsid w:val="004069EE"/>
    <w:rsid w:val="00464FBD"/>
    <w:rsid w:val="004A2FD7"/>
    <w:rsid w:val="004B7CEF"/>
    <w:rsid w:val="004C507E"/>
    <w:rsid w:val="004E06CC"/>
    <w:rsid w:val="00580328"/>
    <w:rsid w:val="005B4ACD"/>
    <w:rsid w:val="005C058C"/>
    <w:rsid w:val="005C60E4"/>
    <w:rsid w:val="005E72E8"/>
    <w:rsid w:val="00640DBB"/>
    <w:rsid w:val="00675F95"/>
    <w:rsid w:val="00692DB5"/>
    <w:rsid w:val="00697E7E"/>
    <w:rsid w:val="0075389D"/>
    <w:rsid w:val="0079557B"/>
    <w:rsid w:val="00801AA0"/>
    <w:rsid w:val="00856715"/>
    <w:rsid w:val="008713B4"/>
    <w:rsid w:val="008A4DA1"/>
    <w:rsid w:val="008D041D"/>
    <w:rsid w:val="0090018C"/>
    <w:rsid w:val="009026AC"/>
    <w:rsid w:val="00915C1D"/>
    <w:rsid w:val="00920801"/>
    <w:rsid w:val="00942931"/>
    <w:rsid w:val="009C40F1"/>
    <w:rsid w:val="00A20C33"/>
    <w:rsid w:val="00A36373"/>
    <w:rsid w:val="00A6376A"/>
    <w:rsid w:val="00AA0C41"/>
    <w:rsid w:val="00AC14C5"/>
    <w:rsid w:val="00B46F8C"/>
    <w:rsid w:val="00B61E1E"/>
    <w:rsid w:val="00B6285C"/>
    <w:rsid w:val="00B96408"/>
    <w:rsid w:val="00BC180A"/>
    <w:rsid w:val="00C04EC7"/>
    <w:rsid w:val="00CB0D68"/>
    <w:rsid w:val="00CC06E5"/>
    <w:rsid w:val="00D10F5F"/>
    <w:rsid w:val="00D77B47"/>
    <w:rsid w:val="00E75097"/>
    <w:rsid w:val="00EA5282"/>
    <w:rsid w:val="00EB4B69"/>
    <w:rsid w:val="00EF421D"/>
    <w:rsid w:val="00F3735D"/>
    <w:rsid w:val="00FC39A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C9D4269-AC11-4832-AFD1-F4D10D9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67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67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67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567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67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67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67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67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67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567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85671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85671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56715"/>
  </w:style>
  <w:style w:type="table" w:styleId="-1">
    <w:name w:val="Table Web 1"/>
    <w:basedOn w:val="a4"/>
    <w:uiPriority w:val="99"/>
    <w:rsid w:val="008567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8567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56715"/>
    <w:rPr>
      <w:vertAlign w:val="superscript"/>
    </w:rPr>
  </w:style>
  <w:style w:type="paragraph" w:styleId="ac">
    <w:name w:val="Body Text"/>
    <w:basedOn w:val="a2"/>
    <w:link w:val="ae"/>
    <w:uiPriority w:val="99"/>
    <w:rsid w:val="00856715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567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5671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567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5671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567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5671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5671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567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6715"/>
    <w:pPr>
      <w:numPr>
        <w:numId w:val="21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56715"/>
    <w:rPr>
      <w:sz w:val="28"/>
      <w:szCs w:val="28"/>
    </w:rPr>
  </w:style>
  <w:style w:type="paragraph" w:styleId="af7">
    <w:name w:val="Normal (Web)"/>
    <w:basedOn w:val="a2"/>
    <w:uiPriority w:val="99"/>
    <w:rsid w:val="0085671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5671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567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67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67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6715"/>
    <w:pPr>
      <w:ind w:left="958"/>
    </w:pPr>
  </w:style>
  <w:style w:type="paragraph" w:styleId="23">
    <w:name w:val="Body Text Indent 2"/>
    <w:basedOn w:val="a2"/>
    <w:link w:val="24"/>
    <w:uiPriority w:val="99"/>
    <w:rsid w:val="008567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67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8567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6715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6715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5671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5671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67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6715"/>
    <w:rPr>
      <w:i/>
      <w:iCs/>
    </w:rPr>
  </w:style>
  <w:style w:type="paragraph" w:customStyle="1" w:styleId="af9">
    <w:name w:val="ТАБЛИЦА"/>
    <w:next w:val="a2"/>
    <w:autoRedefine/>
    <w:uiPriority w:val="99"/>
    <w:rsid w:val="0085671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5671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56715"/>
  </w:style>
  <w:style w:type="table" w:customStyle="1" w:styleId="14">
    <w:name w:val="Стиль таблицы1"/>
    <w:uiPriority w:val="99"/>
    <w:rsid w:val="008567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link w:val="afc"/>
    <w:autoRedefine/>
    <w:uiPriority w:val="99"/>
    <w:rsid w:val="0085671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5671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5671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5671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56715"/>
    <w:pPr>
      <w:spacing w:line="360" w:lineRule="auto"/>
      <w:jc w:val="center"/>
    </w:pPr>
    <w:rPr>
      <w:noProof/>
      <w:sz w:val="28"/>
      <w:szCs w:val="28"/>
    </w:rPr>
  </w:style>
  <w:style w:type="character" w:customStyle="1" w:styleId="afc">
    <w:name w:val="схема Знак"/>
    <w:link w:val="afb"/>
    <w:uiPriority w:val="99"/>
    <w:locked/>
    <w:rsid w:val="0085671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2014-03-04T05:56:00Z</dcterms:created>
  <dcterms:modified xsi:type="dcterms:W3CDTF">2014-03-04T05:56:00Z</dcterms:modified>
</cp:coreProperties>
</file>