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F8" w:rsidRPr="006565F8" w:rsidRDefault="006565F8" w:rsidP="006565F8">
      <w:pPr>
        <w:spacing w:line="360" w:lineRule="auto"/>
        <w:ind w:firstLine="709"/>
        <w:jc w:val="both"/>
        <w:rPr>
          <w:b/>
          <w:bCs/>
          <w:color w:val="000000"/>
          <w:sz w:val="28"/>
          <w:szCs w:val="28"/>
        </w:rPr>
      </w:pPr>
      <w:bookmarkStart w:id="0" w:name="_Toc154363835"/>
      <w:r w:rsidRPr="006565F8">
        <w:rPr>
          <w:b/>
          <w:bCs/>
          <w:color w:val="000000"/>
          <w:sz w:val="28"/>
          <w:szCs w:val="28"/>
        </w:rPr>
        <w:t>Содержание</w:t>
      </w:r>
    </w:p>
    <w:p w:rsidR="006565F8" w:rsidRDefault="006565F8" w:rsidP="006565F8">
      <w:pPr>
        <w:spacing w:line="360" w:lineRule="auto"/>
        <w:ind w:firstLine="709"/>
        <w:jc w:val="both"/>
        <w:rPr>
          <w:color w:val="000000"/>
          <w:sz w:val="28"/>
          <w:szCs w:val="28"/>
        </w:rPr>
      </w:pPr>
    </w:p>
    <w:p w:rsidR="006565F8" w:rsidRPr="006565F8" w:rsidRDefault="006565F8" w:rsidP="006565F8">
      <w:pPr>
        <w:spacing w:line="360" w:lineRule="auto"/>
        <w:rPr>
          <w:color w:val="000000"/>
          <w:sz w:val="28"/>
          <w:szCs w:val="28"/>
        </w:rPr>
      </w:pPr>
      <w:r w:rsidRPr="006565F8">
        <w:rPr>
          <w:color w:val="000000"/>
          <w:sz w:val="28"/>
          <w:szCs w:val="28"/>
        </w:rPr>
        <w:t>1. Учет нематериальных архивов</w:t>
      </w:r>
    </w:p>
    <w:p w:rsidR="006565F8" w:rsidRPr="006565F8" w:rsidRDefault="006565F8" w:rsidP="006565F8">
      <w:pPr>
        <w:spacing w:line="360" w:lineRule="auto"/>
        <w:rPr>
          <w:color w:val="000000"/>
          <w:sz w:val="28"/>
          <w:szCs w:val="28"/>
        </w:rPr>
      </w:pPr>
      <w:r>
        <w:rPr>
          <w:color w:val="000000"/>
          <w:sz w:val="28"/>
          <w:szCs w:val="28"/>
        </w:rPr>
        <w:t xml:space="preserve">2. </w:t>
      </w:r>
      <w:r w:rsidRPr="006565F8">
        <w:rPr>
          <w:color w:val="000000"/>
          <w:sz w:val="28"/>
          <w:szCs w:val="28"/>
        </w:rPr>
        <w:t>Анализ влияния факторов «управленческие расходы»</w:t>
      </w:r>
    </w:p>
    <w:p w:rsidR="006565F8" w:rsidRDefault="006565F8" w:rsidP="006565F8">
      <w:pPr>
        <w:spacing w:line="360" w:lineRule="auto"/>
        <w:rPr>
          <w:color w:val="000000"/>
          <w:sz w:val="28"/>
          <w:szCs w:val="28"/>
        </w:rPr>
      </w:pPr>
      <w:r>
        <w:rPr>
          <w:color w:val="000000"/>
          <w:sz w:val="28"/>
          <w:szCs w:val="28"/>
        </w:rPr>
        <w:t>Литература</w:t>
      </w:r>
    </w:p>
    <w:p w:rsidR="006565F8" w:rsidRDefault="006565F8" w:rsidP="006565F8">
      <w:pPr>
        <w:spacing w:line="360" w:lineRule="auto"/>
        <w:ind w:firstLine="709"/>
        <w:jc w:val="both"/>
        <w:rPr>
          <w:color w:val="000000"/>
          <w:sz w:val="28"/>
          <w:szCs w:val="28"/>
        </w:rPr>
      </w:pPr>
    </w:p>
    <w:p w:rsidR="006565F8" w:rsidRPr="006565F8" w:rsidRDefault="006565F8" w:rsidP="006565F8">
      <w:pPr>
        <w:spacing w:line="360" w:lineRule="auto"/>
        <w:ind w:firstLine="709"/>
        <w:jc w:val="both"/>
        <w:rPr>
          <w:b/>
          <w:bCs/>
          <w:color w:val="000000"/>
          <w:sz w:val="28"/>
          <w:szCs w:val="28"/>
        </w:rPr>
      </w:pPr>
      <w:r>
        <w:rPr>
          <w:b/>
          <w:bCs/>
          <w:color w:val="000000"/>
          <w:sz w:val="28"/>
          <w:szCs w:val="28"/>
        </w:rPr>
        <w:br w:type="page"/>
      </w:r>
      <w:r w:rsidR="007F445F" w:rsidRPr="006565F8">
        <w:rPr>
          <w:b/>
          <w:bCs/>
          <w:color w:val="000000"/>
          <w:sz w:val="28"/>
          <w:szCs w:val="28"/>
        </w:rPr>
        <w:t>1.</w:t>
      </w:r>
      <w:bookmarkEnd w:id="0"/>
      <w:r w:rsidR="00104C06" w:rsidRPr="006565F8">
        <w:rPr>
          <w:b/>
          <w:bCs/>
          <w:color w:val="000000"/>
          <w:sz w:val="28"/>
          <w:szCs w:val="28"/>
        </w:rPr>
        <w:t xml:space="preserve"> Учет нематериальных архивов</w:t>
      </w:r>
    </w:p>
    <w:p w:rsidR="006565F8" w:rsidRDefault="006565F8" w:rsidP="006565F8">
      <w:pPr>
        <w:spacing w:line="360" w:lineRule="auto"/>
        <w:ind w:firstLine="709"/>
        <w:jc w:val="both"/>
        <w:rPr>
          <w:color w:val="000000"/>
          <w:sz w:val="28"/>
          <w:szCs w:val="28"/>
        </w:rPr>
      </w:pPr>
    </w:p>
    <w:p w:rsidR="006565F8" w:rsidRDefault="004C6469" w:rsidP="006565F8">
      <w:pPr>
        <w:spacing w:line="360" w:lineRule="auto"/>
        <w:ind w:firstLine="709"/>
        <w:jc w:val="both"/>
        <w:rPr>
          <w:color w:val="000000"/>
          <w:sz w:val="28"/>
          <w:szCs w:val="28"/>
        </w:rPr>
      </w:pPr>
      <w:r w:rsidRPr="006565F8">
        <w:rPr>
          <w:color w:val="000000"/>
          <w:sz w:val="28"/>
          <w:szCs w:val="28"/>
        </w:rPr>
        <w:t>Согласно Программе реформирования бухгалтерского учета в соответствии с международными стандартами финансовой отчетности</w:t>
      </w:r>
      <w:r w:rsidR="006565F8">
        <w:rPr>
          <w:color w:val="000000"/>
          <w:sz w:val="28"/>
          <w:szCs w:val="28"/>
        </w:rPr>
        <w:t xml:space="preserve"> </w:t>
      </w:r>
      <w:r w:rsidRPr="006565F8">
        <w:rPr>
          <w:color w:val="000000"/>
          <w:sz w:val="28"/>
          <w:szCs w:val="28"/>
        </w:rPr>
        <w:t>Минфин</w:t>
      </w:r>
      <w:r w:rsidR="006565F8">
        <w:rPr>
          <w:color w:val="000000"/>
          <w:sz w:val="28"/>
          <w:szCs w:val="28"/>
        </w:rPr>
        <w:t xml:space="preserve"> </w:t>
      </w:r>
      <w:r w:rsidRPr="006565F8">
        <w:rPr>
          <w:color w:val="000000"/>
          <w:sz w:val="28"/>
          <w:szCs w:val="28"/>
        </w:rPr>
        <w:t>РФ</w:t>
      </w:r>
      <w:r w:rsidR="006565F8">
        <w:rPr>
          <w:color w:val="000000"/>
          <w:sz w:val="28"/>
          <w:szCs w:val="28"/>
        </w:rPr>
        <w:t xml:space="preserve"> </w:t>
      </w:r>
      <w:r w:rsidRPr="006565F8">
        <w:rPr>
          <w:color w:val="000000"/>
          <w:sz w:val="28"/>
          <w:szCs w:val="28"/>
        </w:rPr>
        <w:t>утвердил</w:t>
      </w:r>
      <w:r w:rsidR="006565F8">
        <w:rPr>
          <w:color w:val="000000"/>
          <w:sz w:val="28"/>
          <w:szCs w:val="28"/>
        </w:rPr>
        <w:t xml:space="preserve"> </w:t>
      </w:r>
      <w:r w:rsidRPr="006565F8">
        <w:rPr>
          <w:color w:val="000000"/>
          <w:sz w:val="28"/>
          <w:szCs w:val="28"/>
        </w:rPr>
        <w:t>16 октября 2000 года приказом №91н</w:t>
      </w:r>
      <w:r w:rsidR="006565F8">
        <w:rPr>
          <w:color w:val="000000"/>
          <w:sz w:val="28"/>
          <w:szCs w:val="28"/>
        </w:rPr>
        <w:t xml:space="preserve"> </w:t>
      </w:r>
      <w:r w:rsidRPr="006565F8">
        <w:rPr>
          <w:color w:val="000000"/>
          <w:sz w:val="28"/>
          <w:szCs w:val="28"/>
        </w:rPr>
        <w:t>новое</w:t>
      </w:r>
      <w:r w:rsidR="006565F8">
        <w:rPr>
          <w:color w:val="000000"/>
          <w:sz w:val="28"/>
          <w:szCs w:val="28"/>
        </w:rPr>
        <w:t xml:space="preserve"> </w:t>
      </w:r>
      <w:r w:rsidRPr="006565F8">
        <w:rPr>
          <w:color w:val="000000"/>
          <w:sz w:val="28"/>
          <w:szCs w:val="28"/>
        </w:rPr>
        <w:t>Положение</w:t>
      </w:r>
      <w:r w:rsidR="006565F8">
        <w:rPr>
          <w:color w:val="000000"/>
          <w:sz w:val="28"/>
          <w:szCs w:val="28"/>
        </w:rPr>
        <w:t xml:space="preserve"> </w:t>
      </w:r>
      <w:r w:rsidRPr="006565F8">
        <w:rPr>
          <w:color w:val="000000"/>
          <w:sz w:val="28"/>
          <w:szCs w:val="28"/>
        </w:rPr>
        <w:t>по</w:t>
      </w:r>
      <w:r w:rsidR="006565F8">
        <w:rPr>
          <w:color w:val="000000"/>
          <w:sz w:val="28"/>
          <w:szCs w:val="28"/>
        </w:rPr>
        <w:t xml:space="preserve"> </w:t>
      </w:r>
      <w:r w:rsidRPr="006565F8">
        <w:rPr>
          <w:color w:val="000000"/>
          <w:sz w:val="28"/>
          <w:szCs w:val="28"/>
        </w:rPr>
        <w:t>бухгалтерскому</w:t>
      </w:r>
      <w:r w:rsidR="006565F8">
        <w:rPr>
          <w:color w:val="000000"/>
          <w:sz w:val="28"/>
          <w:szCs w:val="28"/>
        </w:rPr>
        <w:t xml:space="preserve"> </w:t>
      </w:r>
      <w:r w:rsidRPr="006565F8">
        <w:rPr>
          <w:color w:val="000000"/>
          <w:sz w:val="28"/>
          <w:szCs w:val="28"/>
        </w:rPr>
        <w:t>учету “Учет нематериальных активов” ПБУ 14/2000. Данное ПБУ разработано</w:t>
      </w:r>
      <w:r w:rsidR="006565F8">
        <w:rPr>
          <w:color w:val="000000"/>
          <w:sz w:val="28"/>
          <w:szCs w:val="28"/>
        </w:rPr>
        <w:t xml:space="preserve"> </w:t>
      </w:r>
      <w:r w:rsidRPr="006565F8">
        <w:rPr>
          <w:color w:val="000000"/>
          <w:sz w:val="28"/>
          <w:szCs w:val="28"/>
        </w:rPr>
        <w:t>с</w:t>
      </w:r>
      <w:r w:rsidR="006565F8">
        <w:rPr>
          <w:color w:val="000000"/>
          <w:sz w:val="28"/>
          <w:szCs w:val="28"/>
        </w:rPr>
        <w:t xml:space="preserve"> </w:t>
      </w:r>
      <w:r w:rsidRPr="006565F8">
        <w:rPr>
          <w:color w:val="000000"/>
          <w:sz w:val="28"/>
          <w:szCs w:val="28"/>
        </w:rPr>
        <w:t>учетом международного</w:t>
      </w:r>
      <w:r w:rsidR="006565F8">
        <w:rPr>
          <w:color w:val="000000"/>
          <w:sz w:val="28"/>
          <w:szCs w:val="28"/>
        </w:rPr>
        <w:t xml:space="preserve"> </w:t>
      </w:r>
      <w:r w:rsidRPr="006565F8">
        <w:rPr>
          <w:color w:val="000000"/>
          <w:sz w:val="28"/>
          <w:szCs w:val="28"/>
        </w:rPr>
        <w:t>стандарта</w:t>
      </w:r>
      <w:r w:rsidR="006565F8">
        <w:rPr>
          <w:color w:val="000000"/>
          <w:sz w:val="28"/>
          <w:szCs w:val="28"/>
        </w:rPr>
        <w:t xml:space="preserve"> </w:t>
      </w:r>
      <w:r w:rsidRPr="006565F8">
        <w:rPr>
          <w:color w:val="000000"/>
          <w:sz w:val="28"/>
          <w:szCs w:val="28"/>
        </w:rPr>
        <w:t>бухгалтерской</w:t>
      </w:r>
      <w:r w:rsidR="006565F8">
        <w:rPr>
          <w:color w:val="000000"/>
          <w:sz w:val="28"/>
          <w:szCs w:val="28"/>
        </w:rPr>
        <w:t xml:space="preserve"> </w:t>
      </w:r>
      <w:r w:rsidRPr="006565F8">
        <w:rPr>
          <w:color w:val="000000"/>
          <w:sz w:val="28"/>
          <w:szCs w:val="28"/>
        </w:rPr>
        <w:t>отчетности</w:t>
      </w:r>
      <w:r w:rsidR="006565F8">
        <w:rPr>
          <w:color w:val="000000"/>
          <w:sz w:val="28"/>
          <w:szCs w:val="28"/>
        </w:rPr>
        <w:t xml:space="preserve"> </w:t>
      </w:r>
      <w:r w:rsidRPr="006565F8">
        <w:rPr>
          <w:color w:val="000000"/>
          <w:sz w:val="28"/>
          <w:szCs w:val="28"/>
        </w:rPr>
        <w:t>38</w:t>
      </w:r>
      <w:r w:rsidR="006565F8">
        <w:rPr>
          <w:color w:val="000000"/>
          <w:sz w:val="28"/>
          <w:szCs w:val="28"/>
        </w:rPr>
        <w:t xml:space="preserve"> </w:t>
      </w:r>
      <w:r w:rsidRPr="006565F8">
        <w:rPr>
          <w:color w:val="000000"/>
          <w:sz w:val="28"/>
          <w:szCs w:val="28"/>
        </w:rPr>
        <w:t>“Нематериальные активы” и подлежит применению при</w:t>
      </w:r>
      <w:r w:rsidR="006565F8">
        <w:rPr>
          <w:color w:val="000000"/>
          <w:sz w:val="28"/>
          <w:szCs w:val="28"/>
        </w:rPr>
        <w:t xml:space="preserve"> </w:t>
      </w:r>
      <w:r w:rsidRPr="006565F8">
        <w:rPr>
          <w:color w:val="000000"/>
          <w:sz w:val="28"/>
          <w:szCs w:val="28"/>
        </w:rPr>
        <w:t>составлении</w:t>
      </w:r>
      <w:r w:rsidR="006565F8">
        <w:rPr>
          <w:color w:val="000000"/>
          <w:sz w:val="28"/>
          <w:szCs w:val="28"/>
        </w:rPr>
        <w:t xml:space="preserve"> </w:t>
      </w:r>
      <w:r w:rsidRPr="006565F8">
        <w:rPr>
          <w:color w:val="000000"/>
          <w:sz w:val="28"/>
          <w:szCs w:val="28"/>
        </w:rPr>
        <w:t>бухгалтерской</w:t>
      </w:r>
      <w:r w:rsidR="006565F8">
        <w:rPr>
          <w:color w:val="000000"/>
          <w:sz w:val="28"/>
          <w:szCs w:val="28"/>
        </w:rPr>
        <w:t xml:space="preserve"> </w:t>
      </w:r>
      <w:r w:rsidRPr="006565F8">
        <w:rPr>
          <w:color w:val="000000"/>
          <w:sz w:val="28"/>
          <w:szCs w:val="28"/>
        </w:rPr>
        <w:t>отчетности</w:t>
      </w:r>
      <w:r w:rsidR="006565F8">
        <w:rPr>
          <w:color w:val="000000"/>
          <w:sz w:val="28"/>
          <w:szCs w:val="28"/>
        </w:rPr>
        <w:t xml:space="preserve"> </w:t>
      </w:r>
      <w:r w:rsidRPr="006565F8">
        <w:rPr>
          <w:color w:val="000000"/>
          <w:sz w:val="28"/>
          <w:szCs w:val="28"/>
        </w:rPr>
        <w:t>в 2001 году.</w:t>
      </w:r>
      <w:r w:rsidR="006565F8">
        <w:rPr>
          <w:color w:val="000000"/>
          <w:sz w:val="28"/>
          <w:szCs w:val="28"/>
        </w:rPr>
        <w:t xml:space="preserve"> </w:t>
      </w:r>
      <w:r w:rsidRPr="006565F8">
        <w:rPr>
          <w:color w:val="000000"/>
          <w:sz w:val="28"/>
          <w:szCs w:val="28"/>
        </w:rPr>
        <w:t>Анализируемый</w:t>
      </w:r>
      <w:r w:rsidR="006565F8">
        <w:rPr>
          <w:color w:val="000000"/>
          <w:sz w:val="28"/>
          <w:szCs w:val="28"/>
        </w:rPr>
        <w:t xml:space="preserve"> </w:t>
      </w:r>
      <w:r w:rsidRPr="006565F8">
        <w:rPr>
          <w:color w:val="000000"/>
          <w:sz w:val="28"/>
          <w:szCs w:val="28"/>
        </w:rPr>
        <w:t>документ</w:t>
      </w:r>
      <w:r w:rsidR="006565F8">
        <w:rPr>
          <w:color w:val="000000"/>
          <w:sz w:val="28"/>
          <w:szCs w:val="28"/>
        </w:rPr>
        <w:t xml:space="preserve"> </w:t>
      </w:r>
      <w:r w:rsidRPr="006565F8">
        <w:rPr>
          <w:color w:val="000000"/>
          <w:sz w:val="28"/>
          <w:szCs w:val="28"/>
        </w:rPr>
        <w:t>регламентирует</w:t>
      </w:r>
      <w:r w:rsidR="006565F8">
        <w:rPr>
          <w:color w:val="000000"/>
          <w:sz w:val="28"/>
          <w:szCs w:val="28"/>
        </w:rPr>
        <w:t xml:space="preserve"> </w:t>
      </w:r>
      <w:r w:rsidRPr="006565F8">
        <w:rPr>
          <w:color w:val="000000"/>
          <w:sz w:val="28"/>
          <w:szCs w:val="28"/>
        </w:rPr>
        <w:t>порядок</w:t>
      </w:r>
      <w:r w:rsidR="006565F8">
        <w:rPr>
          <w:color w:val="000000"/>
          <w:sz w:val="28"/>
          <w:szCs w:val="28"/>
        </w:rPr>
        <w:t xml:space="preserve"> </w:t>
      </w:r>
      <w:r w:rsidRPr="006565F8">
        <w:rPr>
          <w:color w:val="000000"/>
          <w:sz w:val="28"/>
          <w:szCs w:val="28"/>
        </w:rPr>
        <w:t>отражения</w:t>
      </w:r>
      <w:r w:rsidR="006565F8">
        <w:rPr>
          <w:color w:val="000000"/>
          <w:sz w:val="28"/>
          <w:szCs w:val="28"/>
        </w:rPr>
        <w:t xml:space="preserve"> </w:t>
      </w:r>
      <w:r w:rsidRPr="006565F8">
        <w:rPr>
          <w:color w:val="000000"/>
          <w:sz w:val="28"/>
          <w:szCs w:val="28"/>
        </w:rPr>
        <w:t>объектов интеллектуальной собственности</w:t>
      </w:r>
      <w:r w:rsidR="006565F8">
        <w:rPr>
          <w:color w:val="000000"/>
          <w:sz w:val="28"/>
          <w:szCs w:val="28"/>
        </w:rPr>
        <w:t xml:space="preserve"> </w:t>
      </w:r>
      <w:r w:rsidRPr="006565F8">
        <w:rPr>
          <w:color w:val="000000"/>
          <w:sz w:val="28"/>
          <w:szCs w:val="28"/>
        </w:rPr>
        <w:t>(далее</w:t>
      </w:r>
      <w:r w:rsidR="006565F8">
        <w:rPr>
          <w:color w:val="000000"/>
          <w:sz w:val="28"/>
          <w:szCs w:val="28"/>
        </w:rPr>
        <w:t xml:space="preserve"> </w:t>
      </w:r>
      <w:r w:rsidRPr="006565F8">
        <w:rPr>
          <w:color w:val="000000"/>
          <w:sz w:val="28"/>
          <w:szCs w:val="28"/>
        </w:rPr>
        <w:t>-</w:t>
      </w:r>
      <w:r w:rsidR="006565F8">
        <w:rPr>
          <w:color w:val="000000"/>
          <w:sz w:val="28"/>
          <w:szCs w:val="28"/>
        </w:rPr>
        <w:t xml:space="preserve"> </w:t>
      </w:r>
      <w:r w:rsidRPr="006565F8">
        <w:rPr>
          <w:color w:val="000000"/>
          <w:sz w:val="28"/>
          <w:szCs w:val="28"/>
        </w:rPr>
        <w:t>ИС),</w:t>
      </w:r>
      <w:r w:rsidR="006565F8">
        <w:rPr>
          <w:color w:val="000000"/>
          <w:sz w:val="28"/>
          <w:szCs w:val="28"/>
        </w:rPr>
        <w:t xml:space="preserve"> </w:t>
      </w:r>
      <w:r w:rsidRPr="006565F8">
        <w:rPr>
          <w:color w:val="000000"/>
          <w:sz w:val="28"/>
          <w:szCs w:val="28"/>
        </w:rPr>
        <w:t>а</w:t>
      </w:r>
      <w:r w:rsidR="006565F8">
        <w:rPr>
          <w:color w:val="000000"/>
          <w:sz w:val="28"/>
          <w:szCs w:val="28"/>
        </w:rPr>
        <w:t xml:space="preserve"> </w:t>
      </w:r>
      <w:r w:rsidRPr="006565F8">
        <w:rPr>
          <w:color w:val="000000"/>
          <w:sz w:val="28"/>
          <w:szCs w:val="28"/>
        </w:rPr>
        <w:t>также</w:t>
      </w:r>
      <w:r w:rsidR="006565F8">
        <w:rPr>
          <w:color w:val="000000"/>
          <w:sz w:val="28"/>
          <w:szCs w:val="28"/>
        </w:rPr>
        <w:t xml:space="preserve"> </w:t>
      </w:r>
      <w:r w:rsidRPr="006565F8">
        <w:rPr>
          <w:color w:val="000000"/>
          <w:sz w:val="28"/>
          <w:szCs w:val="28"/>
        </w:rPr>
        <w:t>прав</w:t>
      </w:r>
      <w:r w:rsidR="006565F8">
        <w:rPr>
          <w:color w:val="000000"/>
          <w:sz w:val="28"/>
          <w:szCs w:val="28"/>
        </w:rPr>
        <w:t xml:space="preserve"> </w:t>
      </w:r>
      <w:r w:rsidRPr="006565F8">
        <w:rPr>
          <w:color w:val="000000"/>
          <w:sz w:val="28"/>
          <w:szCs w:val="28"/>
        </w:rPr>
        <w:t>пользования земельными</w:t>
      </w:r>
      <w:r w:rsidR="006565F8">
        <w:rPr>
          <w:color w:val="000000"/>
          <w:sz w:val="28"/>
          <w:szCs w:val="28"/>
        </w:rPr>
        <w:t xml:space="preserve"> </w:t>
      </w:r>
      <w:r w:rsidRPr="006565F8">
        <w:rPr>
          <w:color w:val="000000"/>
          <w:sz w:val="28"/>
          <w:szCs w:val="28"/>
        </w:rPr>
        <w:t>участками,</w:t>
      </w:r>
      <w:r w:rsidR="006565F8">
        <w:rPr>
          <w:color w:val="000000"/>
          <w:sz w:val="28"/>
          <w:szCs w:val="28"/>
        </w:rPr>
        <w:t xml:space="preserve"> </w:t>
      </w:r>
      <w:r w:rsidRPr="006565F8">
        <w:rPr>
          <w:color w:val="000000"/>
          <w:sz w:val="28"/>
          <w:szCs w:val="28"/>
        </w:rPr>
        <w:t>природными</w:t>
      </w:r>
      <w:r w:rsidR="006565F8">
        <w:rPr>
          <w:color w:val="000000"/>
          <w:sz w:val="28"/>
          <w:szCs w:val="28"/>
        </w:rPr>
        <w:t xml:space="preserve"> </w:t>
      </w:r>
      <w:r w:rsidRPr="006565F8">
        <w:rPr>
          <w:color w:val="000000"/>
          <w:sz w:val="28"/>
          <w:szCs w:val="28"/>
        </w:rPr>
        <w:t>ресурсами,</w:t>
      </w:r>
      <w:r w:rsidR="006565F8">
        <w:rPr>
          <w:color w:val="000000"/>
          <w:sz w:val="28"/>
          <w:szCs w:val="28"/>
        </w:rPr>
        <w:t xml:space="preserve"> </w:t>
      </w:r>
      <w:r w:rsidRPr="006565F8">
        <w:rPr>
          <w:color w:val="000000"/>
          <w:sz w:val="28"/>
          <w:szCs w:val="28"/>
        </w:rPr>
        <w:t>организационных</w:t>
      </w:r>
      <w:r w:rsidR="006565F8">
        <w:rPr>
          <w:color w:val="000000"/>
          <w:sz w:val="28"/>
          <w:szCs w:val="28"/>
        </w:rPr>
        <w:t xml:space="preserve"> </w:t>
      </w:r>
      <w:r w:rsidRPr="006565F8">
        <w:rPr>
          <w:color w:val="000000"/>
          <w:sz w:val="28"/>
          <w:szCs w:val="28"/>
        </w:rPr>
        <w:t>расходов</w:t>
      </w:r>
      <w:r w:rsidR="006565F8">
        <w:rPr>
          <w:color w:val="000000"/>
          <w:sz w:val="28"/>
          <w:szCs w:val="28"/>
        </w:rPr>
        <w:t xml:space="preserve"> </w:t>
      </w:r>
      <w:r w:rsidRPr="006565F8">
        <w:rPr>
          <w:color w:val="000000"/>
          <w:sz w:val="28"/>
          <w:szCs w:val="28"/>
        </w:rPr>
        <w:t>и деловой репутации в бухгалтерской отчетности организаций.</w:t>
      </w:r>
    </w:p>
    <w:p w:rsidR="006565F8" w:rsidRDefault="004C6469" w:rsidP="006565F8">
      <w:pPr>
        <w:spacing w:line="360" w:lineRule="auto"/>
        <w:ind w:firstLine="709"/>
        <w:jc w:val="both"/>
        <w:rPr>
          <w:color w:val="000000"/>
          <w:sz w:val="28"/>
          <w:szCs w:val="28"/>
        </w:rPr>
      </w:pPr>
      <w:r w:rsidRPr="006565F8">
        <w:rPr>
          <w:color w:val="000000"/>
          <w:sz w:val="28"/>
          <w:szCs w:val="28"/>
        </w:rPr>
        <w:t>Существенными новеллами комментируемого</w:t>
      </w:r>
      <w:r w:rsidR="006565F8">
        <w:rPr>
          <w:color w:val="000000"/>
          <w:sz w:val="28"/>
          <w:szCs w:val="28"/>
        </w:rPr>
        <w:t xml:space="preserve"> </w:t>
      </w:r>
      <w:r w:rsidRPr="006565F8">
        <w:rPr>
          <w:color w:val="000000"/>
          <w:sz w:val="28"/>
          <w:szCs w:val="28"/>
        </w:rPr>
        <w:t>документа</w:t>
      </w:r>
      <w:r w:rsidR="006565F8">
        <w:rPr>
          <w:color w:val="000000"/>
          <w:sz w:val="28"/>
          <w:szCs w:val="28"/>
        </w:rPr>
        <w:t xml:space="preserve"> </w:t>
      </w:r>
      <w:r w:rsidRPr="006565F8">
        <w:rPr>
          <w:color w:val="000000"/>
          <w:sz w:val="28"/>
          <w:szCs w:val="28"/>
        </w:rPr>
        <w:t>является</w:t>
      </w:r>
      <w:r w:rsidR="006565F8">
        <w:rPr>
          <w:color w:val="000000"/>
          <w:sz w:val="28"/>
          <w:szCs w:val="28"/>
        </w:rPr>
        <w:t xml:space="preserve"> </w:t>
      </w:r>
      <w:r w:rsidRPr="006565F8">
        <w:rPr>
          <w:color w:val="000000"/>
          <w:sz w:val="28"/>
          <w:szCs w:val="28"/>
        </w:rPr>
        <w:t>порядок отнесения тех или иных объектов ИС к нематериальным активам (далее</w:t>
      </w:r>
      <w:r w:rsidR="006565F8">
        <w:rPr>
          <w:color w:val="000000"/>
          <w:sz w:val="28"/>
          <w:szCs w:val="28"/>
        </w:rPr>
        <w:t xml:space="preserve"> </w:t>
      </w:r>
      <w:r w:rsidRPr="006565F8">
        <w:rPr>
          <w:color w:val="000000"/>
          <w:sz w:val="28"/>
          <w:szCs w:val="28"/>
        </w:rPr>
        <w:t>—</w:t>
      </w:r>
      <w:r w:rsidR="006565F8">
        <w:rPr>
          <w:color w:val="000000"/>
          <w:sz w:val="28"/>
          <w:szCs w:val="28"/>
        </w:rPr>
        <w:t xml:space="preserve"> </w:t>
      </w:r>
      <w:r w:rsidRPr="006565F8">
        <w:rPr>
          <w:color w:val="000000"/>
          <w:sz w:val="28"/>
          <w:szCs w:val="28"/>
        </w:rPr>
        <w:t>НМА), порядок</w:t>
      </w:r>
      <w:r w:rsidR="006565F8">
        <w:rPr>
          <w:color w:val="000000"/>
          <w:sz w:val="28"/>
          <w:szCs w:val="28"/>
        </w:rPr>
        <w:t xml:space="preserve"> </w:t>
      </w:r>
      <w:r w:rsidRPr="006565F8">
        <w:rPr>
          <w:color w:val="000000"/>
          <w:sz w:val="28"/>
          <w:szCs w:val="28"/>
        </w:rPr>
        <w:t>определения</w:t>
      </w:r>
      <w:r w:rsidR="006565F8">
        <w:rPr>
          <w:color w:val="000000"/>
          <w:sz w:val="28"/>
          <w:szCs w:val="28"/>
        </w:rPr>
        <w:t xml:space="preserve"> </w:t>
      </w:r>
      <w:r w:rsidRPr="006565F8">
        <w:rPr>
          <w:color w:val="000000"/>
          <w:sz w:val="28"/>
          <w:szCs w:val="28"/>
        </w:rPr>
        <w:t>первоначальной</w:t>
      </w:r>
      <w:r w:rsidR="006565F8">
        <w:rPr>
          <w:color w:val="000000"/>
          <w:sz w:val="28"/>
          <w:szCs w:val="28"/>
        </w:rPr>
        <w:t xml:space="preserve"> </w:t>
      </w:r>
      <w:r w:rsidRPr="006565F8">
        <w:rPr>
          <w:color w:val="000000"/>
          <w:sz w:val="28"/>
          <w:szCs w:val="28"/>
        </w:rPr>
        <w:t>стоимости</w:t>
      </w:r>
      <w:r w:rsidR="006565F8">
        <w:rPr>
          <w:color w:val="000000"/>
          <w:sz w:val="28"/>
          <w:szCs w:val="28"/>
        </w:rPr>
        <w:t xml:space="preserve"> </w:t>
      </w:r>
      <w:r w:rsidRPr="006565F8">
        <w:rPr>
          <w:color w:val="000000"/>
          <w:sz w:val="28"/>
          <w:szCs w:val="28"/>
        </w:rPr>
        <w:t>НМА,</w:t>
      </w:r>
      <w:r w:rsidR="006565F8">
        <w:rPr>
          <w:color w:val="000000"/>
          <w:sz w:val="28"/>
          <w:szCs w:val="28"/>
        </w:rPr>
        <w:t xml:space="preserve"> </w:t>
      </w:r>
      <w:r w:rsidRPr="006565F8">
        <w:rPr>
          <w:color w:val="000000"/>
          <w:sz w:val="28"/>
          <w:szCs w:val="28"/>
        </w:rPr>
        <w:t>установление</w:t>
      </w:r>
      <w:r w:rsidR="006565F8">
        <w:rPr>
          <w:color w:val="000000"/>
          <w:sz w:val="28"/>
          <w:szCs w:val="28"/>
        </w:rPr>
        <w:t xml:space="preserve"> </w:t>
      </w:r>
      <w:r w:rsidRPr="006565F8">
        <w:rPr>
          <w:color w:val="000000"/>
          <w:sz w:val="28"/>
          <w:szCs w:val="28"/>
        </w:rPr>
        <w:t>помимо указанных</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Положении</w:t>
      </w:r>
      <w:r w:rsidR="006565F8">
        <w:rPr>
          <w:color w:val="000000"/>
          <w:sz w:val="28"/>
          <w:szCs w:val="28"/>
        </w:rPr>
        <w:t xml:space="preserve"> </w:t>
      </w:r>
      <w:r w:rsidRPr="006565F8">
        <w:rPr>
          <w:color w:val="000000"/>
          <w:sz w:val="28"/>
          <w:szCs w:val="28"/>
        </w:rPr>
        <w:t>о</w:t>
      </w:r>
      <w:r w:rsidR="006565F8">
        <w:rPr>
          <w:color w:val="000000"/>
          <w:sz w:val="28"/>
          <w:szCs w:val="28"/>
        </w:rPr>
        <w:t xml:space="preserve"> </w:t>
      </w:r>
      <w:r w:rsidRPr="006565F8">
        <w:rPr>
          <w:color w:val="000000"/>
          <w:sz w:val="28"/>
          <w:szCs w:val="28"/>
        </w:rPr>
        <w:t>ведении</w:t>
      </w:r>
      <w:r w:rsidR="006565F8">
        <w:rPr>
          <w:color w:val="000000"/>
          <w:sz w:val="28"/>
          <w:szCs w:val="28"/>
        </w:rPr>
        <w:t xml:space="preserve"> </w:t>
      </w:r>
      <w:r w:rsidRPr="006565F8">
        <w:rPr>
          <w:color w:val="000000"/>
          <w:sz w:val="28"/>
          <w:szCs w:val="28"/>
        </w:rPr>
        <w:t>бухгалтерского</w:t>
      </w:r>
      <w:r w:rsidR="006565F8">
        <w:rPr>
          <w:color w:val="000000"/>
          <w:sz w:val="28"/>
          <w:szCs w:val="28"/>
        </w:rPr>
        <w:t xml:space="preserve"> </w:t>
      </w:r>
      <w:r w:rsidRPr="006565F8">
        <w:rPr>
          <w:color w:val="000000"/>
          <w:sz w:val="28"/>
          <w:szCs w:val="28"/>
        </w:rPr>
        <w:t>учета</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РФ</w:t>
      </w:r>
      <w:r w:rsidR="006565F8">
        <w:rPr>
          <w:color w:val="000000"/>
          <w:sz w:val="28"/>
          <w:szCs w:val="28"/>
        </w:rPr>
        <w:t xml:space="preserve"> </w:t>
      </w:r>
      <w:r w:rsidRPr="006565F8">
        <w:rPr>
          <w:color w:val="000000"/>
          <w:sz w:val="28"/>
          <w:szCs w:val="28"/>
        </w:rPr>
        <w:t>№34н дополнительного</w:t>
      </w:r>
      <w:r w:rsidR="006565F8">
        <w:rPr>
          <w:color w:val="000000"/>
          <w:sz w:val="28"/>
          <w:szCs w:val="28"/>
        </w:rPr>
        <w:t xml:space="preserve"> </w:t>
      </w:r>
      <w:r w:rsidRPr="006565F8">
        <w:rPr>
          <w:color w:val="000000"/>
          <w:sz w:val="28"/>
          <w:szCs w:val="28"/>
        </w:rPr>
        <w:t>способа</w:t>
      </w:r>
      <w:r w:rsidR="006565F8">
        <w:rPr>
          <w:color w:val="000000"/>
          <w:sz w:val="28"/>
          <w:szCs w:val="28"/>
        </w:rPr>
        <w:t xml:space="preserve"> </w:t>
      </w:r>
      <w:r w:rsidRPr="006565F8">
        <w:rPr>
          <w:color w:val="000000"/>
          <w:sz w:val="28"/>
          <w:szCs w:val="28"/>
        </w:rPr>
        <w:t>начисления</w:t>
      </w:r>
      <w:r w:rsidR="006565F8">
        <w:rPr>
          <w:color w:val="000000"/>
          <w:sz w:val="28"/>
          <w:szCs w:val="28"/>
        </w:rPr>
        <w:t xml:space="preserve"> </w:t>
      </w:r>
      <w:r w:rsidRPr="006565F8">
        <w:rPr>
          <w:color w:val="000000"/>
          <w:sz w:val="28"/>
          <w:szCs w:val="28"/>
        </w:rPr>
        <w:t>амортизации</w:t>
      </w:r>
      <w:r w:rsidR="006565F8">
        <w:rPr>
          <w:color w:val="000000"/>
          <w:sz w:val="28"/>
          <w:szCs w:val="28"/>
        </w:rPr>
        <w:t xml:space="preserve"> </w:t>
      </w:r>
      <w:r w:rsidRPr="006565F8">
        <w:rPr>
          <w:color w:val="000000"/>
          <w:sz w:val="28"/>
          <w:szCs w:val="28"/>
        </w:rPr>
        <w:t>НМА,</w:t>
      </w:r>
      <w:r w:rsidR="006565F8">
        <w:rPr>
          <w:color w:val="000000"/>
          <w:sz w:val="28"/>
          <w:szCs w:val="28"/>
        </w:rPr>
        <w:t xml:space="preserve"> </w:t>
      </w:r>
      <w:r w:rsidRPr="006565F8">
        <w:rPr>
          <w:color w:val="000000"/>
          <w:sz w:val="28"/>
          <w:szCs w:val="28"/>
        </w:rPr>
        <w:t>более</w:t>
      </w:r>
      <w:r w:rsidR="006565F8">
        <w:rPr>
          <w:color w:val="000000"/>
          <w:sz w:val="28"/>
          <w:szCs w:val="28"/>
        </w:rPr>
        <w:t xml:space="preserve"> </w:t>
      </w:r>
      <w:r w:rsidRPr="006565F8">
        <w:rPr>
          <w:color w:val="000000"/>
          <w:sz w:val="28"/>
          <w:szCs w:val="28"/>
        </w:rPr>
        <w:t>четкая регламентация</w:t>
      </w:r>
      <w:r w:rsidR="006565F8">
        <w:rPr>
          <w:color w:val="000000"/>
          <w:sz w:val="28"/>
          <w:szCs w:val="28"/>
        </w:rPr>
        <w:t xml:space="preserve"> </w:t>
      </w:r>
      <w:r w:rsidRPr="006565F8">
        <w:rPr>
          <w:color w:val="000000"/>
          <w:sz w:val="28"/>
          <w:szCs w:val="28"/>
        </w:rPr>
        <w:t>порядка</w:t>
      </w:r>
      <w:r w:rsidR="006565F8">
        <w:rPr>
          <w:color w:val="000000"/>
          <w:sz w:val="28"/>
          <w:szCs w:val="28"/>
        </w:rPr>
        <w:t xml:space="preserve"> </w:t>
      </w:r>
      <w:r w:rsidRPr="006565F8">
        <w:rPr>
          <w:color w:val="000000"/>
          <w:sz w:val="28"/>
          <w:szCs w:val="28"/>
        </w:rPr>
        <w:t>учета</w:t>
      </w:r>
      <w:r w:rsidR="006565F8">
        <w:rPr>
          <w:color w:val="000000"/>
          <w:sz w:val="28"/>
          <w:szCs w:val="28"/>
        </w:rPr>
        <w:t xml:space="preserve"> </w:t>
      </w:r>
      <w:r w:rsidRPr="006565F8">
        <w:rPr>
          <w:color w:val="000000"/>
          <w:sz w:val="28"/>
          <w:szCs w:val="28"/>
        </w:rPr>
        <w:t>деловой</w:t>
      </w:r>
      <w:r w:rsidR="006565F8">
        <w:rPr>
          <w:color w:val="000000"/>
          <w:sz w:val="28"/>
          <w:szCs w:val="28"/>
        </w:rPr>
        <w:t xml:space="preserve"> </w:t>
      </w:r>
      <w:r w:rsidRPr="006565F8">
        <w:rPr>
          <w:color w:val="000000"/>
          <w:sz w:val="28"/>
          <w:szCs w:val="28"/>
        </w:rPr>
        <w:t>репутации</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учета</w:t>
      </w:r>
      <w:r w:rsidR="006565F8">
        <w:rPr>
          <w:color w:val="000000"/>
          <w:sz w:val="28"/>
          <w:szCs w:val="28"/>
        </w:rPr>
        <w:t xml:space="preserve"> </w:t>
      </w:r>
      <w:r w:rsidRPr="006565F8">
        <w:rPr>
          <w:color w:val="000000"/>
          <w:sz w:val="28"/>
          <w:szCs w:val="28"/>
        </w:rPr>
        <w:t>операций</w:t>
      </w:r>
      <w:r w:rsidR="006565F8">
        <w:rPr>
          <w:color w:val="000000"/>
          <w:sz w:val="28"/>
          <w:szCs w:val="28"/>
        </w:rPr>
        <w:t xml:space="preserve"> </w:t>
      </w:r>
      <w:r w:rsidRPr="006565F8">
        <w:rPr>
          <w:color w:val="000000"/>
          <w:sz w:val="28"/>
          <w:szCs w:val="28"/>
        </w:rPr>
        <w:t>по предоставлению права на использование НМА.</w:t>
      </w:r>
      <w:r w:rsidR="006565F8">
        <w:rPr>
          <w:color w:val="000000"/>
          <w:sz w:val="28"/>
          <w:szCs w:val="28"/>
        </w:rPr>
        <w:t xml:space="preserve"> </w:t>
      </w:r>
      <w:r w:rsidRPr="006565F8">
        <w:rPr>
          <w:color w:val="000000"/>
          <w:sz w:val="28"/>
          <w:szCs w:val="28"/>
        </w:rPr>
        <w:t>Гражданским</w:t>
      </w:r>
      <w:r w:rsidR="006565F8">
        <w:rPr>
          <w:color w:val="000000"/>
          <w:sz w:val="28"/>
          <w:szCs w:val="28"/>
        </w:rPr>
        <w:t xml:space="preserve"> </w:t>
      </w:r>
      <w:r w:rsidRPr="006565F8">
        <w:rPr>
          <w:color w:val="000000"/>
          <w:sz w:val="28"/>
          <w:szCs w:val="28"/>
        </w:rPr>
        <w:t>законодательством</w:t>
      </w:r>
      <w:r w:rsidR="006565F8">
        <w:rPr>
          <w:color w:val="000000"/>
          <w:sz w:val="28"/>
          <w:szCs w:val="28"/>
        </w:rPr>
        <w:t xml:space="preserve"> </w:t>
      </w:r>
      <w:r w:rsidRPr="006565F8">
        <w:rPr>
          <w:color w:val="000000"/>
          <w:sz w:val="28"/>
          <w:szCs w:val="28"/>
        </w:rPr>
        <w:t>(ст. 138</w:t>
      </w:r>
      <w:r w:rsidR="006565F8">
        <w:rPr>
          <w:color w:val="000000"/>
          <w:sz w:val="28"/>
          <w:szCs w:val="28"/>
        </w:rPr>
        <w:t xml:space="preserve"> </w:t>
      </w:r>
      <w:r w:rsidRPr="006565F8">
        <w:rPr>
          <w:color w:val="000000"/>
          <w:sz w:val="28"/>
          <w:szCs w:val="28"/>
        </w:rPr>
        <w:t>ГК</w:t>
      </w:r>
      <w:r w:rsidR="006565F8">
        <w:rPr>
          <w:color w:val="000000"/>
          <w:sz w:val="28"/>
          <w:szCs w:val="28"/>
        </w:rPr>
        <w:t xml:space="preserve"> </w:t>
      </w:r>
      <w:r w:rsidRPr="006565F8">
        <w:rPr>
          <w:color w:val="000000"/>
          <w:sz w:val="28"/>
          <w:szCs w:val="28"/>
        </w:rPr>
        <w:t>РФ)</w:t>
      </w:r>
      <w:r w:rsidR="006565F8">
        <w:rPr>
          <w:color w:val="000000"/>
          <w:sz w:val="28"/>
          <w:szCs w:val="28"/>
        </w:rPr>
        <w:t xml:space="preserve"> </w:t>
      </w:r>
      <w:r w:rsidRPr="006565F8">
        <w:rPr>
          <w:color w:val="000000"/>
          <w:sz w:val="28"/>
          <w:szCs w:val="28"/>
        </w:rPr>
        <w:t>понятие интеллектуальной</w:t>
      </w:r>
      <w:r w:rsidR="006565F8">
        <w:rPr>
          <w:color w:val="000000"/>
          <w:sz w:val="28"/>
          <w:szCs w:val="28"/>
        </w:rPr>
        <w:t xml:space="preserve"> </w:t>
      </w:r>
      <w:r w:rsidRPr="006565F8">
        <w:rPr>
          <w:color w:val="000000"/>
          <w:sz w:val="28"/>
          <w:szCs w:val="28"/>
        </w:rPr>
        <w:t>собственности</w:t>
      </w:r>
      <w:r w:rsidR="006565F8">
        <w:rPr>
          <w:color w:val="000000"/>
          <w:sz w:val="28"/>
          <w:szCs w:val="28"/>
        </w:rPr>
        <w:t xml:space="preserve"> </w:t>
      </w:r>
      <w:r w:rsidRPr="006565F8">
        <w:rPr>
          <w:color w:val="000000"/>
          <w:sz w:val="28"/>
          <w:szCs w:val="28"/>
        </w:rPr>
        <w:t>трактуется</w:t>
      </w:r>
      <w:r w:rsidR="006565F8">
        <w:rPr>
          <w:color w:val="000000"/>
          <w:sz w:val="28"/>
          <w:szCs w:val="28"/>
        </w:rPr>
        <w:t xml:space="preserve"> </w:t>
      </w:r>
      <w:r w:rsidRPr="006565F8">
        <w:rPr>
          <w:color w:val="000000"/>
          <w:sz w:val="28"/>
          <w:szCs w:val="28"/>
        </w:rPr>
        <w:t>как</w:t>
      </w:r>
      <w:r w:rsidR="006565F8">
        <w:rPr>
          <w:color w:val="000000"/>
          <w:sz w:val="28"/>
          <w:szCs w:val="28"/>
        </w:rPr>
        <w:t xml:space="preserve"> </w:t>
      </w:r>
      <w:r w:rsidRPr="006565F8">
        <w:rPr>
          <w:color w:val="000000"/>
          <w:sz w:val="28"/>
          <w:szCs w:val="28"/>
        </w:rPr>
        <w:t>исключительное</w:t>
      </w:r>
      <w:r w:rsidR="006565F8">
        <w:rPr>
          <w:color w:val="000000"/>
          <w:sz w:val="28"/>
          <w:szCs w:val="28"/>
        </w:rPr>
        <w:t xml:space="preserve"> </w:t>
      </w:r>
      <w:r w:rsidRPr="006565F8">
        <w:rPr>
          <w:color w:val="000000"/>
          <w:sz w:val="28"/>
          <w:szCs w:val="28"/>
        </w:rPr>
        <w:t>право гражданина</w:t>
      </w:r>
      <w:r w:rsidR="006565F8">
        <w:rPr>
          <w:color w:val="000000"/>
          <w:sz w:val="28"/>
          <w:szCs w:val="28"/>
        </w:rPr>
        <w:t xml:space="preserve"> </w:t>
      </w:r>
      <w:r w:rsidRPr="006565F8">
        <w:rPr>
          <w:color w:val="000000"/>
          <w:sz w:val="28"/>
          <w:szCs w:val="28"/>
        </w:rPr>
        <w:t>или</w:t>
      </w:r>
      <w:r w:rsidR="006565F8">
        <w:rPr>
          <w:color w:val="000000"/>
          <w:sz w:val="28"/>
          <w:szCs w:val="28"/>
        </w:rPr>
        <w:t xml:space="preserve"> </w:t>
      </w:r>
      <w:r w:rsidRPr="006565F8">
        <w:rPr>
          <w:color w:val="000000"/>
          <w:sz w:val="28"/>
          <w:szCs w:val="28"/>
        </w:rPr>
        <w:t>юридического</w:t>
      </w:r>
      <w:r w:rsidR="006565F8">
        <w:rPr>
          <w:color w:val="000000"/>
          <w:sz w:val="28"/>
          <w:szCs w:val="28"/>
        </w:rPr>
        <w:t xml:space="preserve"> </w:t>
      </w:r>
      <w:r w:rsidRPr="006565F8">
        <w:rPr>
          <w:color w:val="000000"/>
          <w:sz w:val="28"/>
          <w:szCs w:val="28"/>
        </w:rPr>
        <w:t>лица</w:t>
      </w:r>
      <w:r w:rsidR="006565F8">
        <w:rPr>
          <w:color w:val="000000"/>
          <w:sz w:val="28"/>
          <w:szCs w:val="28"/>
        </w:rPr>
        <w:t xml:space="preserve"> </w:t>
      </w:r>
      <w:r w:rsidRPr="006565F8">
        <w:rPr>
          <w:color w:val="000000"/>
          <w:sz w:val="28"/>
          <w:szCs w:val="28"/>
        </w:rPr>
        <w:t>на</w:t>
      </w:r>
      <w:r w:rsidR="006565F8">
        <w:rPr>
          <w:color w:val="000000"/>
          <w:sz w:val="28"/>
          <w:szCs w:val="28"/>
        </w:rPr>
        <w:t xml:space="preserve"> </w:t>
      </w:r>
      <w:r w:rsidRPr="006565F8">
        <w:rPr>
          <w:color w:val="000000"/>
          <w:sz w:val="28"/>
          <w:szCs w:val="28"/>
        </w:rPr>
        <w:t>результаты</w:t>
      </w:r>
      <w:r w:rsidR="006565F8">
        <w:rPr>
          <w:color w:val="000000"/>
          <w:sz w:val="28"/>
          <w:szCs w:val="28"/>
        </w:rPr>
        <w:t xml:space="preserve"> </w:t>
      </w:r>
      <w:r w:rsidRPr="006565F8">
        <w:rPr>
          <w:color w:val="000000"/>
          <w:sz w:val="28"/>
          <w:szCs w:val="28"/>
        </w:rPr>
        <w:t>интеллектуальной деятельности и приравненные к</w:t>
      </w:r>
      <w:r w:rsidR="006565F8">
        <w:rPr>
          <w:color w:val="000000"/>
          <w:sz w:val="28"/>
          <w:szCs w:val="28"/>
        </w:rPr>
        <w:t xml:space="preserve"> </w:t>
      </w:r>
      <w:r w:rsidRPr="006565F8">
        <w:rPr>
          <w:color w:val="000000"/>
          <w:sz w:val="28"/>
          <w:szCs w:val="28"/>
        </w:rPr>
        <w:t>ним</w:t>
      </w:r>
      <w:r w:rsidR="006565F8">
        <w:rPr>
          <w:color w:val="000000"/>
          <w:sz w:val="28"/>
          <w:szCs w:val="28"/>
        </w:rPr>
        <w:t xml:space="preserve"> </w:t>
      </w:r>
      <w:r w:rsidRPr="006565F8">
        <w:rPr>
          <w:color w:val="000000"/>
          <w:sz w:val="28"/>
          <w:szCs w:val="28"/>
        </w:rPr>
        <w:t>средства</w:t>
      </w:r>
      <w:r w:rsidR="006565F8">
        <w:rPr>
          <w:color w:val="000000"/>
          <w:sz w:val="28"/>
          <w:szCs w:val="28"/>
        </w:rPr>
        <w:t xml:space="preserve"> </w:t>
      </w:r>
      <w:r w:rsidRPr="006565F8">
        <w:rPr>
          <w:color w:val="000000"/>
          <w:sz w:val="28"/>
          <w:szCs w:val="28"/>
        </w:rPr>
        <w:t>индивидуализации</w:t>
      </w:r>
      <w:r w:rsidR="006565F8">
        <w:rPr>
          <w:color w:val="000000"/>
          <w:sz w:val="28"/>
          <w:szCs w:val="28"/>
        </w:rPr>
        <w:t xml:space="preserve"> </w:t>
      </w:r>
      <w:r w:rsidRPr="006565F8">
        <w:rPr>
          <w:color w:val="000000"/>
          <w:sz w:val="28"/>
          <w:szCs w:val="28"/>
        </w:rPr>
        <w:t>юридического лица, продукции, работ, услуг.</w:t>
      </w:r>
    </w:p>
    <w:p w:rsidR="006565F8" w:rsidRDefault="004C6469" w:rsidP="006565F8">
      <w:pPr>
        <w:spacing w:line="360" w:lineRule="auto"/>
        <w:ind w:firstLine="709"/>
        <w:jc w:val="both"/>
        <w:rPr>
          <w:color w:val="000000"/>
          <w:sz w:val="28"/>
          <w:szCs w:val="28"/>
        </w:rPr>
      </w:pPr>
      <w:r w:rsidRPr="006565F8">
        <w:rPr>
          <w:color w:val="000000"/>
          <w:sz w:val="28"/>
          <w:szCs w:val="28"/>
        </w:rPr>
        <w:t>К нематериальным активам, в</w:t>
      </w:r>
      <w:r w:rsidR="006565F8">
        <w:rPr>
          <w:color w:val="000000"/>
          <w:sz w:val="28"/>
          <w:szCs w:val="28"/>
        </w:rPr>
        <w:t xml:space="preserve"> </w:t>
      </w:r>
      <w:r w:rsidRPr="006565F8">
        <w:rPr>
          <w:color w:val="000000"/>
          <w:sz w:val="28"/>
          <w:szCs w:val="28"/>
        </w:rPr>
        <w:t>соответствии</w:t>
      </w:r>
      <w:r w:rsidR="006565F8">
        <w:rPr>
          <w:color w:val="000000"/>
          <w:sz w:val="28"/>
          <w:szCs w:val="28"/>
        </w:rPr>
        <w:t xml:space="preserve"> </w:t>
      </w:r>
      <w:r w:rsidRPr="006565F8">
        <w:rPr>
          <w:color w:val="000000"/>
          <w:sz w:val="28"/>
          <w:szCs w:val="28"/>
        </w:rPr>
        <w:t>с</w:t>
      </w:r>
      <w:r w:rsidR="006565F8">
        <w:rPr>
          <w:color w:val="000000"/>
          <w:sz w:val="28"/>
          <w:szCs w:val="28"/>
        </w:rPr>
        <w:t xml:space="preserve"> </w:t>
      </w:r>
      <w:r w:rsidRPr="006565F8">
        <w:rPr>
          <w:color w:val="000000"/>
          <w:sz w:val="28"/>
          <w:szCs w:val="28"/>
        </w:rPr>
        <w:t>принятым</w:t>
      </w:r>
      <w:r w:rsidR="006565F8">
        <w:rPr>
          <w:color w:val="000000"/>
          <w:sz w:val="28"/>
          <w:szCs w:val="28"/>
        </w:rPr>
        <w:t xml:space="preserve"> </w:t>
      </w:r>
      <w:r w:rsidRPr="006565F8">
        <w:rPr>
          <w:color w:val="000000"/>
          <w:sz w:val="28"/>
          <w:szCs w:val="28"/>
        </w:rPr>
        <w:t>ПБУ</w:t>
      </w:r>
      <w:r w:rsidR="006565F8">
        <w:rPr>
          <w:color w:val="000000"/>
          <w:sz w:val="28"/>
          <w:szCs w:val="28"/>
        </w:rPr>
        <w:t xml:space="preserve"> </w:t>
      </w:r>
      <w:r w:rsidRPr="006565F8">
        <w:rPr>
          <w:color w:val="000000"/>
          <w:sz w:val="28"/>
          <w:szCs w:val="28"/>
        </w:rPr>
        <w:t>14/2000, могут быть отнесены: – исключительные права патентообладателя на изобретения, промышленные образцы, полезные модели и селекционные достижения;</w:t>
      </w:r>
      <w:r w:rsidR="006565F8">
        <w:rPr>
          <w:color w:val="000000"/>
          <w:sz w:val="28"/>
          <w:szCs w:val="28"/>
        </w:rPr>
        <w:t xml:space="preserve"> </w:t>
      </w:r>
      <w:r w:rsidRPr="006565F8">
        <w:rPr>
          <w:color w:val="000000"/>
          <w:sz w:val="28"/>
          <w:szCs w:val="28"/>
        </w:rPr>
        <w:t>– исключительные авторские права на программы для ЭВМ и базы данных;</w:t>
      </w:r>
      <w:r w:rsidR="006565F8">
        <w:rPr>
          <w:color w:val="000000"/>
          <w:sz w:val="28"/>
          <w:szCs w:val="28"/>
        </w:rPr>
        <w:t xml:space="preserve"> </w:t>
      </w:r>
      <w:r w:rsidRPr="006565F8">
        <w:rPr>
          <w:color w:val="000000"/>
          <w:sz w:val="28"/>
          <w:szCs w:val="28"/>
        </w:rPr>
        <w:t>–</w:t>
      </w:r>
      <w:r w:rsidR="006565F8">
        <w:rPr>
          <w:color w:val="000000"/>
          <w:sz w:val="28"/>
          <w:szCs w:val="28"/>
        </w:rPr>
        <w:t xml:space="preserve"> </w:t>
      </w:r>
      <w:r w:rsidRPr="006565F8">
        <w:rPr>
          <w:color w:val="000000"/>
          <w:sz w:val="28"/>
          <w:szCs w:val="28"/>
        </w:rPr>
        <w:t>исключительные</w:t>
      </w:r>
      <w:r w:rsidR="006565F8">
        <w:rPr>
          <w:color w:val="000000"/>
          <w:sz w:val="28"/>
          <w:szCs w:val="28"/>
        </w:rPr>
        <w:t xml:space="preserve"> </w:t>
      </w:r>
      <w:r w:rsidRPr="006565F8">
        <w:rPr>
          <w:color w:val="000000"/>
          <w:sz w:val="28"/>
          <w:szCs w:val="28"/>
        </w:rPr>
        <w:t>права</w:t>
      </w:r>
      <w:r w:rsidR="006565F8">
        <w:rPr>
          <w:color w:val="000000"/>
          <w:sz w:val="28"/>
          <w:szCs w:val="28"/>
        </w:rPr>
        <w:t xml:space="preserve"> </w:t>
      </w:r>
      <w:r w:rsidRPr="006565F8">
        <w:rPr>
          <w:color w:val="000000"/>
          <w:sz w:val="28"/>
          <w:szCs w:val="28"/>
        </w:rPr>
        <w:t>владельца</w:t>
      </w:r>
      <w:r w:rsidR="006565F8">
        <w:rPr>
          <w:color w:val="000000"/>
          <w:sz w:val="28"/>
          <w:szCs w:val="28"/>
        </w:rPr>
        <w:t xml:space="preserve"> </w:t>
      </w:r>
      <w:r w:rsidRPr="006565F8">
        <w:rPr>
          <w:color w:val="000000"/>
          <w:sz w:val="28"/>
          <w:szCs w:val="28"/>
        </w:rPr>
        <w:t>на</w:t>
      </w:r>
      <w:r w:rsidR="006565F8">
        <w:rPr>
          <w:color w:val="000000"/>
          <w:sz w:val="28"/>
          <w:szCs w:val="28"/>
        </w:rPr>
        <w:t xml:space="preserve"> </w:t>
      </w:r>
      <w:r w:rsidRPr="006565F8">
        <w:rPr>
          <w:color w:val="000000"/>
          <w:sz w:val="28"/>
          <w:szCs w:val="28"/>
        </w:rPr>
        <w:t>товарный</w:t>
      </w:r>
      <w:r w:rsidR="006565F8">
        <w:rPr>
          <w:color w:val="000000"/>
          <w:sz w:val="28"/>
          <w:szCs w:val="28"/>
        </w:rPr>
        <w:t xml:space="preserve"> </w:t>
      </w:r>
      <w:r w:rsidRPr="006565F8">
        <w:rPr>
          <w:color w:val="000000"/>
          <w:sz w:val="28"/>
          <w:szCs w:val="28"/>
        </w:rPr>
        <w:t>знак</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знак обслуживания, наименований места происхождения товаров; – имущественное право автора или иного правообладателя</w:t>
      </w:r>
      <w:r w:rsidR="006565F8">
        <w:rPr>
          <w:color w:val="000000"/>
          <w:sz w:val="28"/>
          <w:szCs w:val="28"/>
        </w:rPr>
        <w:t xml:space="preserve"> </w:t>
      </w:r>
      <w:r w:rsidRPr="006565F8">
        <w:rPr>
          <w:color w:val="000000"/>
          <w:sz w:val="28"/>
          <w:szCs w:val="28"/>
        </w:rPr>
        <w:t>на</w:t>
      </w:r>
      <w:r w:rsidR="006565F8">
        <w:rPr>
          <w:color w:val="000000"/>
          <w:sz w:val="28"/>
          <w:szCs w:val="28"/>
        </w:rPr>
        <w:t xml:space="preserve"> </w:t>
      </w:r>
      <w:r w:rsidRPr="006565F8">
        <w:rPr>
          <w:color w:val="000000"/>
          <w:sz w:val="28"/>
          <w:szCs w:val="28"/>
        </w:rPr>
        <w:t>топологии интегральных микросхем;</w:t>
      </w:r>
      <w:r w:rsidR="006565F8">
        <w:rPr>
          <w:color w:val="000000"/>
          <w:sz w:val="28"/>
          <w:szCs w:val="28"/>
        </w:rPr>
        <w:t xml:space="preserve"> </w:t>
      </w:r>
      <w:r w:rsidRPr="006565F8">
        <w:rPr>
          <w:color w:val="000000"/>
          <w:sz w:val="28"/>
          <w:szCs w:val="28"/>
        </w:rPr>
        <w:t>– деловая репутация организации,</w:t>
      </w:r>
      <w:r w:rsidR="006565F8">
        <w:rPr>
          <w:color w:val="000000"/>
          <w:sz w:val="28"/>
          <w:szCs w:val="28"/>
        </w:rPr>
        <w:t xml:space="preserve"> </w:t>
      </w:r>
      <w:r w:rsidRPr="006565F8">
        <w:rPr>
          <w:color w:val="000000"/>
          <w:sz w:val="28"/>
          <w:szCs w:val="28"/>
        </w:rPr>
        <w:t>а</w:t>
      </w:r>
      <w:r w:rsidR="006565F8">
        <w:rPr>
          <w:color w:val="000000"/>
          <w:sz w:val="28"/>
          <w:szCs w:val="28"/>
        </w:rPr>
        <w:t xml:space="preserve"> </w:t>
      </w:r>
      <w:r w:rsidRPr="006565F8">
        <w:rPr>
          <w:color w:val="000000"/>
          <w:sz w:val="28"/>
          <w:szCs w:val="28"/>
        </w:rPr>
        <w:t>также</w:t>
      </w:r>
      <w:r w:rsidR="006565F8">
        <w:rPr>
          <w:color w:val="000000"/>
          <w:sz w:val="28"/>
          <w:szCs w:val="28"/>
        </w:rPr>
        <w:t xml:space="preserve"> </w:t>
      </w:r>
      <w:r w:rsidRPr="006565F8">
        <w:rPr>
          <w:color w:val="000000"/>
          <w:sz w:val="28"/>
          <w:szCs w:val="28"/>
        </w:rPr>
        <w:t>организационные</w:t>
      </w:r>
      <w:r w:rsidR="006565F8">
        <w:rPr>
          <w:color w:val="000000"/>
          <w:sz w:val="28"/>
          <w:szCs w:val="28"/>
        </w:rPr>
        <w:t xml:space="preserve"> </w:t>
      </w:r>
      <w:r w:rsidRPr="006565F8">
        <w:rPr>
          <w:color w:val="000000"/>
          <w:sz w:val="28"/>
          <w:szCs w:val="28"/>
        </w:rPr>
        <w:t>расходы, которые в соответствии</w:t>
      </w:r>
      <w:r w:rsidR="006565F8">
        <w:rPr>
          <w:color w:val="000000"/>
          <w:sz w:val="28"/>
          <w:szCs w:val="28"/>
        </w:rPr>
        <w:t xml:space="preserve"> </w:t>
      </w:r>
      <w:r w:rsidRPr="006565F8">
        <w:rPr>
          <w:color w:val="000000"/>
          <w:sz w:val="28"/>
          <w:szCs w:val="28"/>
        </w:rPr>
        <w:t>с</w:t>
      </w:r>
      <w:r w:rsidR="006565F8">
        <w:rPr>
          <w:color w:val="000000"/>
          <w:sz w:val="28"/>
          <w:szCs w:val="28"/>
        </w:rPr>
        <w:t xml:space="preserve"> </w:t>
      </w:r>
      <w:r w:rsidRPr="006565F8">
        <w:rPr>
          <w:color w:val="000000"/>
          <w:sz w:val="28"/>
          <w:szCs w:val="28"/>
        </w:rPr>
        <w:t>учредительными</w:t>
      </w:r>
      <w:r w:rsidR="006565F8">
        <w:rPr>
          <w:color w:val="000000"/>
          <w:sz w:val="28"/>
          <w:szCs w:val="28"/>
        </w:rPr>
        <w:t xml:space="preserve"> </w:t>
      </w:r>
      <w:r w:rsidRPr="006565F8">
        <w:rPr>
          <w:color w:val="000000"/>
          <w:sz w:val="28"/>
          <w:szCs w:val="28"/>
        </w:rPr>
        <w:t>документами</w:t>
      </w:r>
      <w:r w:rsidR="006565F8">
        <w:rPr>
          <w:color w:val="000000"/>
          <w:sz w:val="28"/>
          <w:szCs w:val="28"/>
        </w:rPr>
        <w:t xml:space="preserve"> </w:t>
      </w:r>
      <w:r w:rsidRPr="006565F8">
        <w:rPr>
          <w:color w:val="000000"/>
          <w:sz w:val="28"/>
          <w:szCs w:val="28"/>
        </w:rPr>
        <w:t>признаны</w:t>
      </w:r>
      <w:r w:rsidR="006565F8">
        <w:rPr>
          <w:color w:val="000000"/>
          <w:sz w:val="28"/>
          <w:szCs w:val="28"/>
        </w:rPr>
        <w:t xml:space="preserve"> </w:t>
      </w:r>
      <w:r w:rsidRPr="006565F8">
        <w:rPr>
          <w:color w:val="000000"/>
          <w:sz w:val="28"/>
          <w:szCs w:val="28"/>
        </w:rPr>
        <w:t>вкладом</w:t>
      </w:r>
      <w:r w:rsidR="006565F8">
        <w:rPr>
          <w:color w:val="000000"/>
          <w:sz w:val="28"/>
          <w:szCs w:val="28"/>
        </w:rPr>
        <w:t xml:space="preserve"> </w:t>
      </w:r>
      <w:r w:rsidRPr="006565F8">
        <w:rPr>
          <w:color w:val="000000"/>
          <w:sz w:val="28"/>
          <w:szCs w:val="28"/>
        </w:rPr>
        <w:t>в уставный (складочный) капитал организации.</w:t>
      </w:r>
    </w:p>
    <w:p w:rsidR="006565F8" w:rsidRDefault="004C6469" w:rsidP="006565F8">
      <w:pPr>
        <w:spacing w:line="360" w:lineRule="auto"/>
        <w:ind w:firstLine="709"/>
        <w:jc w:val="both"/>
        <w:rPr>
          <w:color w:val="000000"/>
          <w:sz w:val="28"/>
          <w:szCs w:val="28"/>
        </w:rPr>
      </w:pPr>
      <w:r w:rsidRPr="006565F8">
        <w:rPr>
          <w:color w:val="000000"/>
          <w:sz w:val="28"/>
          <w:szCs w:val="28"/>
        </w:rPr>
        <w:t>Причем бухгалтерам следует обратить внимание на то, что в отличие</w:t>
      </w:r>
      <w:r w:rsidR="006565F8">
        <w:rPr>
          <w:color w:val="000000"/>
          <w:sz w:val="28"/>
          <w:szCs w:val="28"/>
        </w:rPr>
        <w:t xml:space="preserve"> </w:t>
      </w:r>
      <w:r w:rsidRPr="006565F8">
        <w:rPr>
          <w:color w:val="000000"/>
          <w:sz w:val="28"/>
          <w:szCs w:val="28"/>
        </w:rPr>
        <w:t>от Положения по бухгалтерскому учету</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бухгалтерской</w:t>
      </w:r>
      <w:r w:rsidR="006565F8">
        <w:rPr>
          <w:color w:val="000000"/>
          <w:sz w:val="28"/>
          <w:szCs w:val="28"/>
        </w:rPr>
        <w:t xml:space="preserve"> </w:t>
      </w:r>
      <w:r w:rsidRPr="006565F8">
        <w:rPr>
          <w:color w:val="000000"/>
          <w:sz w:val="28"/>
          <w:szCs w:val="28"/>
        </w:rPr>
        <w:t>отчетности</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РФ,</w:t>
      </w:r>
      <w:r w:rsidR="006565F8">
        <w:rPr>
          <w:color w:val="000000"/>
          <w:sz w:val="28"/>
          <w:szCs w:val="28"/>
        </w:rPr>
        <w:t xml:space="preserve"> </w:t>
      </w:r>
      <w:r w:rsidRPr="006565F8">
        <w:rPr>
          <w:color w:val="000000"/>
          <w:sz w:val="28"/>
          <w:szCs w:val="28"/>
        </w:rPr>
        <w:t>ПБУ 14/2000 причисляет к НМА только</w:t>
      </w:r>
      <w:r w:rsidR="006565F8">
        <w:rPr>
          <w:color w:val="000000"/>
          <w:sz w:val="28"/>
          <w:szCs w:val="28"/>
        </w:rPr>
        <w:t xml:space="preserve"> </w:t>
      </w:r>
      <w:r w:rsidRPr="006565F8">
        <w:rPr>
          <w:color w:val="000000"/>
          <w:sz w:val="28"/>
          <w:szCs w:val="28"/>
        </w:rPr>
        <w:t>исключительные</w:t>
      </w:r>
      <w:r w:rsidR="006565F8">
        <w:rPr>
          <w:color w:val="000000"/>
          <w:sz w:val="28"/>
          <w:szCs w:val="28"/>
        </w:rPr>
        <w:t xml:space="preserve"> </w:t>
      </w:r>
      <w:r w:rsidRPr="006565F8">
        <w:rPr>
          <w:color w:val="000000"/>
          <w:sz w:val="28"/>
          <w:szCs w:val="28"/>
        </w:rPr>
        <w:t>авторские</w:t>
      </w:r>
      <w:r w:rsidR="006565F8">
        <w:rPr>
          <w:color w:val="000000"/>
          <w:sz w:val="28"/>
          <w:szCs w:val="28"/>
        </w:rPr>
        <w:t xml:space="preserve"> </w:t>
      </w:r>
      <w:r w:rsidRPr="006565F8">
        <w:rPr>
          <w:color w:val="000000"/>
          <w:sz w:val="28"/>
          <w:szCs w:val="28"/>
        </w:rPr>
        <w:t>права,</w:t>
      </w:r>
      <w:r w:rsidR="006565F8">
        <w:rPr>
          <w:color w:val="000000"/>
          <w:sz w:val="28"/>
          <w:szCs w:val="28"/>
        </w:rPr>
        <w:t xml:space="preserve"> </w:t>
      </w:r>
      <w:r w:rsidRPr="006565F8">
        <w:rPr>
          <w:color w:val="000000"/>
          <w:sz w:val="28"/>
          <w:szCs w:val="28"/>
        </w:rPr>
        <w:t>а</w:t>
      </w:r>
      <w:r w:rsidR="006565F8">
        <w:rPr>
          <w:color w:val="000000"/>
          <w:sz w:val="28"/>
          <w:szCs w:val="28"/>
        </w:rPr>
        <w:t xml:space="preserve"> </w:t>
      </w:r>
      <w:r w:rsidRPr="006565F8">
        <w:rPr>
          <w:color w:val="000000"/>
          <w:sz w:val="28"/>
          <w:szCs w:val="28"/>
        </w:rPr>
        <w:t>также исключительные права патентообладателя и владельца.</w:t>
      </w:r>
    </w:p>
    <w:p w:rsidR="006565F8" w:rsidRDefault="004C6469" w:rsidP="006565F8">
      <w:pPr>
        <w:spacing w:line="360" w:lineRule="auto"/>
        <w:ind w:firstLine="709"/>
        <w:jc w:val="both"/>
        <w:rPr>
          <w:color w:val="000000"/>
          <w:sz w:val="28"/>
          <w:szCs w:val="28"/>
        </w:rPr>
      </w:pPr>
      <w:r w:rsidRPr="006565F8">
        <w:rPr>
          <w:color w:val="000000"/>
          <w:sz w:val="28"/>
          <w:szCs w:val="28"/>
        </w:rPr>
        <w:t>Например, организация приобретая бухгалтерскую программу, не получает исключительных прав на</w:t>
      </w:r>
      <w:r w:rsidR="006565F8">
        <w:rPr>
          <w:color w:val="000000"/>
          <w:sz w:val="28"/>
          <w:szCs w:val="28"/>
        </w:rPr>
        <w:t xml:space="preserve"> </w:t>
      </w:r>
      <w:r w:rsidRPr="006565F8">
        <w:rPr>
          <w:color w:val="000000"/>
          <w:sz w:val="28"/>
          <w:szCs w:val="28"/>
        </w:rPr>
        <w:t>ее</w:t>
      </w:r>
      <w:r w:rsidR="006565F8">
        <w:rPr>
          <w:color w:val="000000"/>
          <w:sz w:val="28"/>
          <w:szCs w:val="28"/>
        </w:rPr>
        <w:t xml:space="preserve"> </w:t>
      </w:r>
      <w:r w:rsidRPr="006565F8">
        <w:rPr>
          <w:color w:val="000000"/>
          <w:sz w:val="28"/>
          <w:szCs w:val="28"/>
        </w:rPr>
        <w:t>использование,</w:t>
      </w:r>
      <w:r w:rsidR="006565F8">
        <w:rPr>
          <w:color w:val="000000"/>
          <w:sz w:val="28"/>
          <w:szCs w:val="28"/>
        </w:rPr>
        <w:t xml:space="preserve"> </w:t>
      </w:r>
      <w:r w:rsidRPr="006565F8">
        <w:rPr>
          <w:color w:val="000000"/>
          <w:sz w:val="28"/>
          <w:szCs w:val="28"/>
        </w:rPr>
        <w:t>таким</w:t>
      </w:r>
      <w:r w:rsidR="006565F8">
        <w:rPr>
          <w:color w:val="000000"/>
          <w:sz w:val="28"/>
          <w:szCs w:val="28"/>
        </w:rPr>
        <w:t xml:space="preserve"> </w:t>
      </w:r>
      <w:r w:rsidRPr="006565F8">
        <w:rPr>
          <w:color w:val="000000"/>
          <w:sz w:val="28"/>
          <w:szCs w:val="28"/>
        </w:rPr>
        <w:t>образом,</w:t>
      </w:r>
      <w:r w:rsidR="006565F8">
        <w:rPr>
          <w:color w:val="000000"/>
          <w:sz w:val="28"/>
          <w:szCs w:val="28"/>
        </w:rPr>
        <w:t xml:space="preserve"> </w:t>
      </w:r>
      <w:r w:rsidRPr="006565F8">
        <w:rPr>
          <w:color w:val="000000"/>
          <w:sz w:val="28"/>
          <w:szCs w:val="28"/>
        </w:rPr>
        <w:t>она</w:t>
      </w:r>
      <w:r w:rsidR="006565F8">
        <w:rPr>
          <w:color w:val="000000"/>
          <w:sz w:val="28"/>
          <w:szCs w:val="28"/>
        </w:rPr>
        <w:t xml:space="preserve"> </w:t>
      </w:r>
      <w:r w:rsidRPr="006565F8">
        <w:rPr>
          <w:color w:val="000000"/>
          <w:sz w:val="28"/>
          <w:szCs w:val="28"/>
        </w:rPr>
        <w:t>не</w:t>
      </w:r>
      <w:r w:rsidR="006565F8">
        <w:rPr>
          <w:color w:val="000000"/>
          <w:sz w:val="28"/>
          <w:szCs w:val="28"/>
        </w:rPr>
        <w:t xml:space="preserve"> </w:t>
      </w:r>
      <w:r w:rsidRPr="006565F8">
        <w:rPr>
          <w:color w:val="000000"/>
          <w:sz w:val="28"/>
          <w:szCs w:val="28"/>
        </w:rPr>
        <w:t>вправе учитывать</w:t>
      </w:r>
      <w:r w:rsidR="006565F8">
        <w:rPr>
          <w:color w:val="000000"/>
          <w:sz w:val="28"/>
          <w:szCs w:val="28"/>
        </w:rPr>
        <w:t xml:space="preserve"> </w:t>
      </w:r>
      <w:r w:rsidRPr="006565F8">
        <w:rPr>
          <w:color w:val="000000"/>
          <w:sz w:val="28"/>
          <w:szCs w:val="28"/>
        </w:rPr>
        <w:t>расходы</w:t>
      </w:r>
      <w:r w:rsidR="006565F8">
        <w:rPr>
          <w:color w:val="000000"/>
          <w:sz w:val="28"/>
          <w:szCs w:val="28"/>
        </w:rPr>
        <w:t xml:space="preserve"> </w:t>
      </w:r>
      <w:r w:rsidRPr="006565F8">
        <w:rPr>
          <w:color w:val="000000"/>
          <w:sz w:val="28"/>
          <w:szCs w:val="28"/>
        </w:rPr>
        <w:t>по</w:t>
      </w:r>
      <w:r w:rsidR="006565F8">
        <w:rPr>
          <w:color w:val="000000"/>
          <w:sz w:val="28"/>
          <w:szCs w:val="28"/>
        </w:rPr>
        <w:t xml:space="preserve"> </w:t>
      </w:r>
      <w:r w:rsidRPr="006565F8">
        <w:rPr>
          <w:color w:val="000000"/>
          <w:sz w:val="28"/>
          <w:szCs w:val="28"/>
        </w:rPr>
        <w:t>приобретению</w:t>
      </w:r>
      <w:r w:rsidR="006565F8">
        <w:rPr>
          <w:color w:val="000000"/>
          <w:sz w:val="28"/>
          <w:szCs w:val="28"/>
        </w:rPr>
        <w:t xml:space="preserve"> </w:t>
      </w:r>
      <w:r w:rsidRPr="006565F8">
        <w:rPr>
          <w:color w:val="000000"/>
          <w:sz w:val="28"/>
          <w:szCs w:val="28"/>
        </w:rPr>
        <w:t>программы</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составе</w:t>
      </w:r>
      <w:r w:rsidR="006565F8">
        <w:rPr>
          <w:color w:val="000000"/>
          <w:sz w:val="28"/>
          <w:szCs w:val="28"/>
        </w:rPr>
        <w:t xml:space="preserve"> </w:t>
      </w:r>
      <w:r w:rsidRPr="006565F8">
        <w:rPr>
          <w:color w:val="000000"/>
          <w:sz w:val="28"/>
          <w:szCs w:val="28"/>
        </w:rPr>
        <w:t>нематериальных активов.</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данной</w:t>
      </w:r>
      <w:r w:rsidR="006565F8">
        <w:rPr>
          <w:color w:val="000000"/>
          <w:sz w:val="28"/>
          <w:szCs w:val="28"/>
        </w:rPr>
        <w:t xml:space="preserve"> </w:t>
      </w:r>
      <w:r w:rsidRPr="006565F8">
        <w:rPr>
          <w:color w:val="000000"/>
          <w:sz w:val="28"/>
          <w:szCs w:val="28"/>
        </w:rPr>
        <w:t>ситуации,</w:t>
      </w:r>
      <w:r w:rsidR="006565F8">
        <w:rPr>
          <w:color w:val="000000"/>
          <w:sz w:val="28"/>
          <w:szCs w:val="28"/>
        </w:rPr>
        <w:t xml:space="preserve"> </w:t>
      </w:r>
      <w:r w:rsidRPr="006565F8">
        <w:rPr>
          <w:color w:val="000000"/>
          <w:sz w:val="28"/>
          <w:szCs w:val="28"/>
        </w:rPr>
        <w:t>рекомендуется</w:t>
      </w:r>
      <w:r w:rsidR="006565F8">
        <w:rPr>
          <w:color w:val="000000"/>
          <w:sz w:val="28"/>
          <w:szCs w:val="28"/>
        </w:rPr>
        <w:t xml:space="preserve"> </w:t>
      </w:r>
      <w:r w:rsidRPr="006565F8">
        <w:rPr>
          <w:color w:val="000000"/>
          <w:sz w:val="28"/>
          <w:szCs w:val="28"/>
        </w:rPr>
        <w:t>использовать</w:t>
      </w:r>
      <w:r w:rsidR="006565F8">
        <w:rPr>
          <w:color w:val="000000"/>
          <w:sz w:val="28"/>
          <w:szCs w:val="28"/>
        </w:rPr>
        <w:t xml:space="preserve"> </w:t>
      </w:r>
      <w:r w:rsidRPr="006565F8">
        <w:rPr>
          <w:color w:val="000000"/>
          <w:sz w:val="28"/>
          <w:szCs w:val="28"/>
        </w:rPr>
        <w:t>счет</w:t>
      </w:r>
      <w:r w:rsidR="006565F8">
        <w:rPr>
          <w:color w:val="000000"/>
          <w:sz w:val="28"/>
          <w:szCs w:val="28"/>
        </w:rPr>
        <w:t xml:space="preserve"> </w:t>
      </w:r>
      <w:r w:rsidRPr="006565F8">
        <w:rPr>
          <w:color w:val="000000"/>
          <w:sz w:val="28"/>
          <w:szCs w:val="28"/>
        </w:rPr>
        <w:t>расходов будущих</w:t>
      </w:r>
      <w:r w:rsidR="006565F8">
        <w:rPr>
          <w:color w:val="000000"/>
          <w:sz w:val="28"/>
          <w:szCs w:val="28"/>
        </w:rPr>
        <w:t xml:space="preserve"> </w:t>
      </w:r>
      <w:r w:rsidRPr="006565F8">
        <w:rPr>
          <w:color w:val="000000"/>
          <w:sz w:val="28"/>
          <w:szCs w:val="28"/>
        </w:rPr>
        <w:t>периодов</w:t>
      </w:r>
      <w:r w:rsidR="006565F8">
        <w:rPr>
          <w:color w:val="000000"/>
          <w:sz w:val="28"/>
          <w:szCs w:val="28"/>
        </w:rPr>
        <w:t xml:space="preserve"> </w:t>
      </w:r>
      <w:r w:rsidRPr="006565F8">
        <w:rPr>
          <w:color w:val="000000"/>
          <w:sz w:val="28"/>
          <w:szCs w:val="28"/>
        </w:rPr>
        <w:t>для</w:t>
      </w:r>
      <w:r w:rsidR="006565F8">
        <w:rPr>
          <w:color w:val="000000"/>
          <w:sz w:val="28"/>
          <w:szCs w:val="28"/>
        </w:rPr>
        <w:t xml:space="preserve"> </w:t>
      </w:r>
      <w:r w:rsidRPr="006565F8">
        <w:rPr>
          <w:color w:val="000000"/>
          <w:sz w:val="28"/>
          <w:szCs w:val="28"/>
        </w:rPr>
        <w:t>равномерного</w:t>
      </w:r>
      <w:r w:rsidR="006565F8">
        <w:rPr>
          <w:color w:val="000000"/>
          <w:sz w:val="28"/>
          <w:szCs w:val="28"/>
        </w:rPr>
        <w:t xml:space="preserve"> </w:t>
      </w:r>
      <w:r w:rsidRPr="006565F8">
        <w:rPr>
          <w:color w:val="000000"/>
          <w:sz w:val="28"/>
          <w:szCs w:val="28"/>
        </w:rPr>
        <w:t>отнесения</w:t>
      </w:r>
      <w:r w:rsidR="006565F8">
        <w:rPr>
          <w:color w:val="000000"/>
          <w:sz w:val="28"/>
          <w:szCs w:val="28"/>
        </w:rPr>
        <w:t xml:space="preserve"> </w:t>
      </w:r>
      <w:r w:rsidRPr="006565F8">
        <w:rPr>
          <w:color w:val="000000"/>
          <w:sz w:val="28"/>
          <w:szCs w:val="28"/>
        </w:rPr>
        <w:t>стоимости</w:t>
      </w:r>
      <w:r w:rsidR="006565F8">
        <w:rPr>
          <w:color w:val="000000"/>
          <w:sz w:val="28"/>
          <w:szCs w:val="28"/>
        </w:rPr>
        <w:t xml:space="preserve"> </w:t>
      </w:r>
      <w:r w:rsidRPr="006565F8">
        <w:rPr>
          <w:color w:val="000000"/>
          <w:sz w:val="28"/>
          <w:szCs w:val="28"/>
        </w:rPr>
        <w:t>программы</w:t>
      </w:r>
      <w:r w:rsidR="006565F8">
        <w:rPr>
          <w:color w:val="000000"/>
          <w:sz w:val="28"/>
          <w:szCs w:val="28"/>
        </w:rPr>
        <w:t xml:space="preserve"> </w:t>
      </w:r>
      <w:r w:rsidRPr="006565F8">
        <w:rPr>
          <w:color w:val="000000"/>
          <w:sz w:val="28"/>
          <w:szCs w:val="28"/>
        </w:rPr>
        <w:t>на себестоимость.</w:t>
      </w:r>
      <w:r w:rsidR="006565F8">
        <w:rPr>
          <w:color w:val="000000"/>
          <w:sz w:val="28"/>
          <w:szCs w:val="28"/>
        </w:rPr>
        <w:t xml:space="preserve"> </w:t>
      </w:r>
      <w:r w:rsidRPr="006565F8">
        <w:rPr>
          <w:color w:val="000000"/>
          <w:sz w:val="28"/>
          <w:szCs w:val="28"/>
        </w:rPr>
        <w:t>Помимо этого, отнести тот или иной объект</w:t>
      </w:r>
      <w:r w:rsidR="006565F8">
        <w:rPr>
          <w:color w:val="000000"/>
          <w:sz w:val="28"/>
          <w:szCs w:val="28"/>
        </w:rPr>
        <w:t xml:space="preserve"> </w:t>
      </w:r>
      <w:r w:rsidRPr="006565F8">
        <w:rPr>
          <w:color w:val="000000"/>
          <w:sz w:val="28"/>
          <w:szCs w:val="28"/>
        </w:rPr>
        <w:t>к</w:t>
      </w:r>
      <w:r w:rsidR="006565F8">
        <w:rPr>
          <w:color w:val="000000"/>
          <w:sz w:val="28"/>
          <w:szCs w:val="28"/>
        </w:rPr>
        <w:t xml:space="preserve"> </w:t>
      </w:r>
      <w:r w:rsidRPr="006565F8">
        <w:rPr>
          <w:color w:val="000000"/>
          <w:sz w:val="28"/>
          <w:szCs w:val="28"/>
        </w:rPr>
        <w:t>нематериальным</w:t>
      </w:r>
      <w:r w:rsidR="006565F8">
        <w:rPr>
          <w:color w:val="000000"/>
          <w:sz w:val="28"/>
          <w:szCs w:val="28"/>
        </w:rPr>
        <w:t xml:space="preserve"> </w:t>
      </w:r>
      <w:r w:rsidRPr="006565F8">
        <w:rPr>
          <w:color w:val="000000"/>
          <w:sz w:val="28"/>
          <w:szCs w:val="28"/>
        </w:rPr>
        <w:t>активам можно только при одновременном выполнении следующих условий.</w:t>
      </w:r>
    </w:p>
    <w:p w:rsidR="006565F8" w:rsidRDefault="004C6469" w:rsidP="006565F8">
      <w:pPr>
        <w:spacing w:line="360" w:lineRule="auto"/>
        <w:ind w:firstLine="709"/>
        <w:jc w:val="both"/>
        <w:rPr>
          <w:color w:val="000000"/>
          <w:sz w:val="28"/>
          <w:szCs w:val="28"/>
        </w:rPr>
      </w:pPr>
      <w:r w:rsidRPr="006565F8">
        <w:rPr>
          <w:color w:val="000000"/>
          <w:sz w:val="28"/>
          <w:szCs w:val="28"/>
        </w:rPr>
        <w:t>В</w:t>
      </w:r>
      <w:r w:rsidR="006565F8">
        <w:rPr>
          <w:color w:val="000000"/>
          <w:sz w:val="28"/>
          <w:szCs w:val="28"/>
        </w:rPr>
        <w:t xml:space="preserve"> </w:t>
      </w:r>
      <w:r w:rsidRPr="006565F8">
        <w:rPr>
          <w:color w:val="000000"/>
          <w:sz w:val="28"/>
          <w:szCs w:val="28"/>
        </w:rPr>
        <w:t>частности</w:t>
      </w:r>
      <w:r w:rsidR="006565F8">
        <w:rPr>
          <w:color w:val="000000"/>
          <w:sz w:val="28"/>
          <w:szCs w:val="28"/>
        </w:rPr>
        <w:t xml:space="preserve"> </w:t>
      </w:r>
      <w:r w:rsidRPr="006565F8">
        <w:rPr>
          <w:color w:val="000000"/>
          <w:sz w:val="28"/>
          <w:szCs w:val="28"/>
        </w:rPr>
        <w:t>НМА</w:t>
      </w:r>
      <w:r w:rsidR="006565F8">
        <w:rPr>
          <w:color w:val="000000"/>
          <w:sz w:val="28"/>
          <w:szCs w:val="28"/>
        </w:rPr>
        <w:t xml:space="preserve"> </w:t>
      </w:r>
      <w:r w:rsidRPr="006565F8">
        <w:rPr>
          <w:color w:val="000000"/>
          <w:sz w:val="28"/>
          <w:szCs w:val="28"/>
        </w:rPr>
        <w:t>представляют</w:t>
      </w:r>
      <w:r w:rsidR="006565F8">
        <w:rPr>
          <w:color w:val="000000"/>
          <w:sz w:val="28"/>
          <w:szCs w:val="28"/>
        </w:rPr>
        <w:t xml:space="preserve"> </w:t>
      </w:r>
      <w:r w:rsidRPr="006565F8">
        <w:rPr>
          <w:color w:val="000000"/>
          <w:sz w:val="28"/>
          <w:szCs w:val="28"/>
        </w:rPr>
        <w:t>собой</w:t>
      </w:r>
      <w:r w:rsidR="006565F8">
        <w:rPr>
          <w:color w:val="000000"/>
          <w:sz w:val="28"/>
          <w:szCs w:val="28"/>
        </w:rPr>
        <w:t xml:space="preserve"> </w:t>
      </w:r>
      <w:r w:rsidRPr="006565F8">
        <w:rPr>
          <w:color w:val="000000"/>
          <w:sz w:val="28"/>
          <w:szCs w:val="28"/>
        </w:rPr>
        <w:t>объекты</w:t>
      </w:r>
      <w:r w:rsidR="006565F8">
        <w:rPr>
          <w:color w:val="000000"/>
          <w:sz w:val="28"/>
          <w:szCs w:val="28"/>
        </w:rPr>
        <w:t xml:space="preserve"> </w:t>
      </w:r>
      <w:r w:rsidRPr="006565F8">
        <w:rPr>
          <w:color w:val="000000"/>
          <w:sz w:val="28"/>
          <w:szCs w:val="28"/>
        </w:rPr>
        <w:t>долгосрочного использования</w:t>
      </w:r>
      <w:r w:rsidR="006565F8">
        <w:rPr>
          <w:color w:val="000000"/>
          <w:sz w:val="28"/>
          <w:szCs w:val="28"/>
        </w:rPr>
        <w:t xml:space="preserve"> </w:t>
      </w:r>
      <w:r w:rsidRPr="006565F8">
        <w:rPr>
          <w:color w:val="000000"/>
          <w:sz w:val="28"/>
          <w:szCs w:val="28"/>
        </w:rPr>
        <w:t>(более</w:t>
      </w:r>
      <w:r w:rsidR="006565F8">
        <w:rPr>
          <w:color w:val="000000"/>
          <w:sz w:val="28"/>
          <w:szCs w:val="28"/>
        </w:rPr>
        <w:t xml:space="preserve"> </w:t>
      </w:r>
      <w:r w:rsidRPr="006565F8">
        <w:rPr>
          <w:color w:val="000000"/>
          <w:sz w:val="28"/>
          <w:szCs w:val="28"/>
        </w:rPr>
        <w:t>12</w:t>
      </w:r>
      <w:r w:rsidR="006565F8">
        <w:rPr>
          <w:color w:val="000000"/>
          <w:sz w:val="28"/>
          <w:szCs w:val="28"/>
        </w:rPr>
        <w:t xml:space="preserve"> </w:t>
      </w:r>
      <w:r w:rsidRPr="006565F8">
        <w:rPr>
          <w:color w:val="000000"/>
          <w:sz w:val="28"/>
          <w:szCs w:val="28"/>
        </w:rPr>
        <w:t>месяцев),</w:t>
      </w:r>
      <w:r w:rsidR="006565F8">
        <w:rPr>
          <w:color w:val="000000"/>
          <w:sz w:val="28"/>
          <w:szCs w:val="28"/>
        </w:rPr>
        <w:t xml:space="preserve"> </w:t>
      </w:r>
      <w:r w:rsidRPr="006565F8">
        <w:rPr>
          <w:color w:val="000000"/>
          <w:sz w:val="28"/>
          <w:szCs w:val="28"/>
        </w:rPr>
        <w:t>у</w:t>
      </w:r>
      <w:r w:rsidR="006565F8">
        <w:rPr>
          <w:color w:val="000000"/>
          <w:sz w:val="28"/>
          <w:szCs w:val="28"/>
        </w:rPr>
        <w:t xml:space="preserve"> </w:t>
      </w:r>
      <w:r w:rsidRPr="006565F8">
        <w:rPr>
          <w:color w:val="000000"/>
          <w:sz w:val="28"/>
          <w:szCs w:val="28"/>
        </w:rPr>
        <w:t>которых</w:t>
      </w:r>
      <w:r w:rsidR="006565F8">
        <w:rPr>
          <w:color w:val="000000"/>
          <w:sz w:val="28"/>
          <w:szCs w:val="28"/>
        </w:rPr>
        <w:t xml:space="preserve"> </w:t>
      </w:r>
      <w:r w:rsidRPr="006565F8">
        <w:rPr>
          <w:color w:val="000000"/>
          <w:sz w:val="28"/>
          <w:szCs w:val="28"/>
        </w:rPr>
        <w:t>отсутствует</w:t>
      </w:r>
      <w:r w:rsidR="006565F8">
        <w:rPr>
          <w:color w:val="000000"/>
          <w:sz w:val="28"/>
          <w:szCs w:val="28"/>
        </w:rPr>
        <w:t xml:space="preserve"> </w:t>
      </w:r>
      <w:r w:rsidRPr="006565F8">
        <w:rPr>
          <w:color w:val="000000"/>
          <w:sz w:val="28"/>
          <w:szCs w:val="28"/>
        </w:rPr>
        <w:t>материально- вещественная структура и используются</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производственных</w:t>
      </w:r>
      <w:r w:rsidR="006565F8">
        <w:rPr>
          <w:color w:val="000000"/>
          <w:sz w:val="28"/>
          <w:szCs w:val="28"/>
        </w:rPr>
        <w:t xml:space="preserve"> </w:t>
      </w:r>
      <w:r w:rsidRPr="006565F8">
        <w:rPr>
          <w:color w:val="000000"/>
          <w:sz w:val="28"/>
          <w:szCs w:val="28"/>
        </w:rPr>
        <w:t>целях</w:t>
      </w:r>
      <w:r w:rsidR="006565F8">
        <w:rPr>
          <w:color w:val="000000"/>
          <w:sz w:val="28"/>
          <w:szCs w:val="28"/>
        </w:rPr>
        <w:t xml:space="preserve"> </w:t>
      </w:r>
      <w:r w:rsidRPr="006565F8">
        <w:rPr>
          <w:color w:val="000000"/>
          <w:sz w:val="28"/>
          <w:szCs w:val="28"/>
        </w:rPr>
        <w:t>либо</w:t>
      </w:r>
      <w:r w:rsidR="006565F8">
        <w:rPr>
          <w:color w:val="000000"/>
          <w:sz w:val="28"/>
          <w:szCs w:val="28"/>
        </w:rPr>
        <w:t xml:space="preserve"> </w:t>
      </w:r>
      <w:r w:rsidRPr="006565F8">
        <w:rPr>
          <w:color w:val="000000"/>
          <w:sz w:val="28"/>
          <w:szCs w:val="28"/>
        </w:rPr>
        <w:t>для управленческих нужд. В то же время,</w:t>
      </w:r>
      <w:r w:rsidR="006565F8">
        <w:rPr>
          <w:color w:val="000000"/>
          <w:sz w:val="28"/>
          <w:szCs w:val="28"/>
        </w:rPr>
        <w:t xml:space="preserve"> </w:t>
      </w:r>
      <w:r w:rsidRPr="006565F8">
        <w:rPr>
          <w:color w:val="000000"/>
          <w:sz w:val="28"/>
          <w:szCs w:val="28"/>
        </w:rPr>
        <w:t>данный</w:t>
      </w:r>
      <w:r w:rsidR="006565F8">
        <w:rPr>
          <w:color w:val="000000"/>
          <w:sz w:val="28"/>
          <w:szCs w:val="28"/>
        </w:rPr>
        <w:t xml:space="preserve"> </w:t>
      </w:r>
      <w:r w:rsidRPr="006565F8">
        <w:rPr>
          <w:color w:val="000000"/>
          <w:sz w:val="28"/>
          <w:szCs w:val="28"/>
        </w:rPr>
        <w:t>объект</w:t>
      </w:r>
      <w:r w:rsidR="006565F8">
        <w:rPr>
          <w:color w:val="000000"/>
          <w:sz w:val="28"/>
          <w:szCs w:val="28"/>
        </w:rPr>
        <w:t xml:space="preserve"> </w:t>
      </w:r>
      <w:r w:rsidRPr="006565F8">
        <w:rPr>
          <w:color w:val="000000"/>
          <w:sz w:val="28"/>
          <w:szCs w:val="28"/>
        </w:rPr>
        <w:t>можно</w:t>
      </w:r>
      <w:r w:rsidR="006565F8">
        <w:rPr>
          <w:color w:val="000000"/>
          <w:sz w:val="28"/>
          <w:szCs w:val="28"/>
        </w:rPr>
        <w:t xml:space="preserve"> </w:t>
      </w:r>
      <w:r w:rsidRPr="006565F8">
        <w:rPr>
          <w:color w:val="000000"/>
          <w:sz w:val="28"/>
          <w:szCs w:val="28"/>
        </w:rPr>
        <w:t>идентифицировать (выделить, отделить), т.е.</w:t>
      </w:r>
      <w:r w:rsidR="006565F8">
        <w:rPr>
          <w:color w:val="000000"/>
          <w:sz w:val="28"/>
          <w:szCs w:val="28"/>
        </w:rPr>
        <w:t xml:space="preserve"> </w:t>
      </w:r>
      <w:r w:rsidRPr="006565F8">
        <w:rPr>
          <w:color w:val="000000"/>
          <w:sz w:val="28"/>
          <w:szCs w:val="28"/>
        </w:rPr>
        <w:t>у</w:t>
      </w:r>
      <w:r w:rsidR="006565F8">
        <w:rPr>
          <w:color w:val="000000"/>
          <w:sz w:val="28"/>
          <w:szCs w:val="28"/>
        </w:rPr>
        <w:t xml:space="preserve"> </w:t>
      </w:r>
      <w:r w:rsidRPr="006565F8">
        <w:rPr>
          <w:color w:val="000000"/>
          <w:sz w:val="28"/>
          <w:szCs w:val="28"/>
        </w:rPr>
        <w:t>организации</w:t>
      </w:r>
      <w:r w:rsidR="006565F8">
        <w:rPr>
          <w:color w:val="000000"/>
          <w:sz w:val="28"/>
          <w:szCs w:val="28"/>
        </w:rPr>
        <w:t xml:space="preserve"> </w:t>
      </w:r>
      <w:r w:rsidRPr="006565F8">
        <w:rPr>
          <w:color w:val="000000"/>
          <w:sz w:val="28"/>
          <w:szCs w:val="28"/>
        </w:rPr>
        <w:t>имеются</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наличии</w:t>
      </w:r>
      <w:r w:rsidR="006565F8">
        <w:rPr>
          <w:color w:val="000000"/>
          <w:sz w:val="28"/>
          <w:szCs w:val="28"/>
        </w:rPr>
        <w:t xml:space="preserve"> </w:t>
      </w:r>
      <w:r w:rsidRPr="006565F8">
        <w:rPr>
          <w:color w:val="000000"/>
          <w:sz w:val="28"/>
          <w:szCs w:val="28"/>
        </w:rPr>
        <w:t>документы, подтверждающие</w:t>
      </w:r>
      <w:r w:rsidR="006565F8">
        <w:rPr>
          <w:color w:val="000000"/>
          <w:sz w:val="28"/>
          <w:szCs w:val="28"/>
        </w:rPr>
        <w:t xml:space="preserve"> </w:t>
      </w:r>
      <w:r w:rsidRPr="006565F8">
        <w:rPr>
          <w:color w:val="000000"/>
          <w:sz w:val="28"/>
          <w:szCs w:val="28"/>
        </w:rPr>
        <w:t>существование</w:t>
      </w:r>
      <w:r w:rsidR="006565F8">
        <w:rPr>
          <w:color w:val="000000"/>
          <w:sz w:val="28"/>
          <w:szCs w:val="28"/>
        </w:rPr>
        <w:t xml:space="preserve"> </w:t>
      </w:r>
      <w:r w:rsidRPr="006565F8">
        <w:rPr>
          <w:color w:val="000000"/>
          <w:sz w:val="28"/>
          <w:szCs w:val="28"/>
        </w:rPr>
        <w:t>самого</w:t>
      </w:r>
      <w:r w:rsidR="006565F8">
        <w:rPr>
          <w:color w:val="000000"/>
          <w:sz w:val="28"/>
          <w:szCs w:val="28"/>
        </w:rPr>
        <w:t xml:space="preserve"> </w:t>
      </w:r>
      <w:r w:rsidRPr="006565F8">
        <w:rPr>
          <w:color w:val="000000"/>
          <w:sz w:val="28"/>
          <w:szCs w:val="28"/>
        </w:rPr>
        <w:t>актива</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исключительного</w:t>
      </w:r>
      <w:r w:rsidR="006565F8">
        <w:rPr>
          <w:color w:val="000000"/>
          <w:sz w:val="28"/>
          <w:szCs w:val="28"/>
        </w:rPr>
        <w:t xml:space="preserve"> </w:t>
      </w:r>
      <w:r w:rsidRPr="006565F8">
        <w:rPr>
          <w:color w:val="000000"/>
          <w:sz w:val="28"/>
          <w:szCs w:val="28"/>
        </w:rPr>
        <w:t>права</w:t>
      </w:r>
      <w:r w:rsidR="006565F8">
        <w:rPr>
          <w:color w:val="000000"/>
          <w:sz w:val="28"/>
          <w:szCs w:val="28"/>
        </w:rPr>
        <w:t xml:space="preserve"> </w:t>
      </w:r>
      <w:r w:rsidRPr="006565F8">
        <w:rPr>
          <w:color w:val="000000"/>
          <w:sz w:val="28"/>
          <w:szCs w:val="28"/>
        </w:rPr>
        <w:t>на результаты интеллектуальной</w:t>
      </w:r>
      <w:r w:rsidR="006565F8">
        <w:rPr>
          <w:color w:val="000000"/>
          <w:sz w:val="28"/>
          <w:szCs w:val="28"/>
        </w:rPr>
        <w:t xml:space="preserve"> </w:t>
      </w:r>
      <w:r w:rsidRPr="006565F8">
        <w:rPr>
          <w:color w:val="000000"/>
          <w:sz w:val="28"/>
          <w:szCs w:val="28"/>
        </w:rPr>
        <w:t>деятельности</w:t>
      </w:r>
      <w:r w:rsidR="006565F8">
        <w:rPr>
          <w:color w:val="000000"/>
          <w:sz w:val="28"/>
          <w:szCs w:val="28"/>
        </w:rPr>
        <w:t xml:space="preserve"> </w:t>
      </w:r>
      <w:r w:rsidRPr="006565F8">
        <w:rPr>
          <w:color w:val="000000"/>
          <w:sz w:val="28"/>
          <w:szCs w:val="28"/>
        </w:rPr>
        <w:t>(патенты,</w:t>
      </w:r>
      <w:r w:rsidR="006565F8">
        <w:rPr>
          <w:color w:val="000000"/>
          <w:sz w:val="28"/>
          <w:szCs w:val="28"/>
        </w:rPr>
        <w:t xml:space="preserve"> </w:t>
      </w:r>
      <w:r w:rsidRPr="006565F8">
        <w:rPr>
          <w:color w:val="000000"/>
          <w:sz w:val="28"/>
          <w:szCs w:val="28"/>
        </w:rPr>
        <w:t>свидетельства,</w:t>
      </w:r>
      <w:r w:rsidR="006565F8">
        <w:rPr>
          <w:color w:val="000000"/>
          <w:sz w:val="28"/>
          <w:szCs w:val="28"/>
        </w:rPr>
        <w:t xml:space="preserve"> </w:t>
      </w:r>
      <w:r w:rsidRPr="006565F8">
        <w:rPr>
          <w:color w:val="000000"/>
          <w:sz w:val="28"/>
          <w:szCs w:val="28"/>
        </w:rPr>
        <w:t>другие охранные документы, договор уступки (приобретения) патента, товарного</w:t>
      </w:r>
      <w:r w:rsidR="006565F8">
        <w:rPr>
          <w:color w:val="000000"/>
          <w:sz w:val="28"/>
          <w:szCs w:val="28"/>
        </w:rPr>
        <w:t xml:space="preserve"> </w:t>
      </w:r>
      <w:r w:rsidR="00741CFC">
        <w:rPr>
          <w:color w:val="000000"/>
          <w:sz w:val="28"/>
          <w:szCs w:val="28"/>
        </w:rPr>
        <w:t>знака и т.</w:t>
      </w:r>
      <w:r w:rsidRPr="006565F8">
        <w:rPr>
          <w:color w:val="000000"/>
          <w:sz w:val="28"/>
          <w:szCs w:val="28"/>
        </w:rPr>
        <w:t>п.). Основным</w:t>
      </w:r>
      <w:r w:rsidR="006565F8">
        <w:rPr>
          <w:color w:val="000000"/>
          <w:sz w:val="28"/>
          <w:szCs w:val="28"/>
        </w:rPr>
        <w:t xml:space="preserve"> </w:t>
      </w:r>
      <w:r w:rsidRPr="006565F8">
        <w:rPr>
          <w:color w:val="000000"/>
          <w:sz w:val="28"/>
          <w:szCs w:val="28"/>
        </w:rPr>
        <w:t>признаком</w:t>
      </w:r>
      <w:r w:rsidR="006565F8">
        <w:rPr>
          <w:color w:val="000000"/>
          <w:sz w:val="28"/>
          <w:szCs w:val="28"/>
        </w:rPr>
        <w:t xml:space="preserve"> </w:t>
      </w:r>
      <w:r w:rsidRPr="006565F8">
        <w:rPr>
          <w:color w:val="000000"/>
          <w:sz w:val="28"/>
          <w:szCs w:val="28"/>
        </w:rPr>
        <w:t>НМА,</w:t>
      </w:r>
      <w:r w:rsidR="006565F8">
        <w:rPr>
          <w:color w:val="000000"/>
          <w:sz w:val="28"/>
          <w:szCs w:val="28"/>
        </w:rPr>
        <w:t xml:space="preserve"> </w:t>
      </w:r>
      <w:r w:rsidRPr="006565F8">
        <w:rPr>
          <w:color w:val="000000"/>
          <w:sz w:val="28"/>
          <w:szCs w:val="28"/>
        </w:rPr>
        <w:t>по</w:t>
      </w:r>
      <w:r w:rsidR="006565F8">
        <w:rPr>
          <w:color w:val="000000"/>
          <w:sz w:val="28"/>
          <w:szCs w:val="28"/>
        </w:rPr>
        <w:t xml:space="preserve"> </w:t>
      </w:r>
      <w:r w:rsidRPr="006565F8">
        <w:rPr>
          <w:color w:val="000000"/>
          <w:sz w:val="28"/>
          <w:szCs w:val="28"/>
        </w:rPr>
        <w:t>которому</w:t>
      </w:r>
      <w:r w:rsidR="006565F8">
        <w:rPr>
          <w:color w:val="000000"/>
          <w:sz w:val="28"/>
          <w:szCs w:val="28"/>
        </w:rPr>
        <w:t xml:space="preserve"> </w:t>
      </w:r>
      <w:r w:rsidRPr="006565F8">
        <w:rPr>
          <w:color w:val="000000"/>
          <w:sz w:val="28"/>
          <w:szCs w:val="28"/>
        </w:rPr>
        <w:t>один</w:t>
      </w:r>
      <w:r w:rsidR="006565F8">
        <w:rPr>
          <w:color w:val="000000"/>
          <w:sz w:val="28"/>
          <w:szCs w:val="28"/>
        </w:rPr>
        <w:t xml:space="preserve"> </w:t>
      </w:r>
      <w:r w:rsidRPr="006565F8">
        <w:rPr>
          <w:color w:val="000000"/>
          <w:sz w:val="28"/>
          <w:szCs w:val="28"/>
        </w:rPr>
        <w:t>инвентарный</w:t>
      </w:r>
      <w:r w:rsidR="006565F8">
        <w:rPr>
          <w:color w:val="000000"/>
          <w:sz w:val="28"/>
          <w:szCs w:val="28"/>
        </w:rPr>
        <w:t xml:space="preserve"> </w:t>
      </w:r>
      <w:r w:rsidRPr="006565F8">
        <w:rPr>
          <w:color w:val="000000"/>
          <w:sz w:val="28"/>
          <w:szCs w:val="28"/>
        </w:rPr>
        <w:t>объект идентифицируется от другого, служит выполнение им самостоятельной функции</w:t>
      </w:r>
      <w:r w:rsidR="006565F8">
        <w:rPr>
          <w:color w:val="000000"/>
          <w:sz w:val="28"/>
          <w:szCs w:val="28"/>
        </w:rPr>
        <w:t xml:space="preserve"> </w:t>
      </w:r>
      <w:r w:rsidRPr="006565F8">
        <w:rPr>
          <w:color w:val="000000"/>
          <w:sz w:val="28"/>
          <w:szCs w:val="28"/>
        </w:rPr>
        <w:t>в производственном или управленческом процессе.</w:t>
      </w:r>
    </w:p>
    <w:p w:rsidR="006565F8" w:rsidRDefault="004C6469" w:rsidP="006565F8">
      <w:pPr>
        <w:spacing w:line="360" w:lineRule="auto"/>
        <w:ind w:firstLine="709"/>
        <w:jc w:val="both"/>
        <w:rPr>
          <w:color w:val="000000"/>
          <w:sz w:val="28"/>
          <w:szCs w:val="28"/>
        </w:rPr>
      </w:pPr>
      <w:r w:rsidRPr="006565F8">
        <w:rPr>
          <w:color w:val="000000"/>
          <w:sz w:val="28"/>
          <w:szCs w:val="28"/>
        </w:rPr>
        <w:t>Для признания объекта</w:t>
      </w:r>
      <w:r w:rsidR="006565F8">
        <w:rPr>
          <w:color w:val="000000"/>
          <w:sz w:val="28"/>
          <w:szCs w:val="28"/>
        </w:rPr>
        <w:t xml:space="preserve"> </w:t>
      </w:r>
      <w:r w:rsidRPr="006565F8">
        <w:rPr>
          <w:color w:val="000000"/>
          <w:sz w:val="28"/>
          <w:szCs w:val="28"/>
        </w:rPr>
        <w:t>в</w:t>
      </w:r>
      <w:r w:rsidR="006565F8">
        <w:rPr>
          <w:color w:val="000000"/>
          <w:sz w:val="28"/>
          <w:szCs w:val="28"/>
        </w:rPr>
        <w:t xml:space="preserve"> </w:t>
      </w:r>
      <w:r w:rsidRPr="006565F8">
        <w:rPr>
          <w:color w:val="000000"/>
          <w:sz w:val="28"/>
          <w:szCs w:val="28"/>
        </w:rPr>
        <w:t>бухгалтерском</w:t>
      </w:r>
      <w:r w:rsidR="006565F8">
        <w:rPr>
          <w:color w:val="000000"/>
          <w:sz w:val="28"/>
          <w:szCs w:val="28"/>
        </w:rPr>
        <w:t xml:space="preserve"> </w:t>
      </w:r>
      <w:r w:rsidRPr="006565F8">
        <w:rPr>
          <w:color w:val="000000"/>
          <w:sz w:val="28"/>
          <w:szCs w:val="28"/>
        </w:rPr>
        <w:t>учете</w:t>
      </w:r>
      <w:r w:rsidR="006565F8">
        <w:rPr>
          <w:color w:val="000000"/>
          <w:sz w:val="28"/>
          <w:szCs w:val="28"/>
        </w:rPr>
        <w:t xml:space="preserve"> </w:t>
      </w:r>
      <w:r w:rsidRPr="006565F8">
        <w:rPr>
          <w:color w:val="000000"/>
          <w:sz w:val="28"/>
          <w:szCs w:val="28"/>
        </w:rPr>
        <w:t>нематериальным</w:t>
      </w:r>
      <w:r w:rsidR="006565F8">
        <w:rPr>
          <w:color w:val="000000"/>
          <w:sz w:val="28"/>
          <w:szCs w:val="28"/>
        </w:rPr>
        <w:t xml:space="preserve"> </w:t>
      </w:r>
      <w:r w:rsidRPr="006565F8">
        <w:rPr>
          <w:color w:val="000000"/>
          <w:sz w:val="28"/>
          <w:szCs w:val="28"/>
        </w:rPr>
        <w:t>также необходимо, чтобы организацией</w:t>
      </w:r>
      <w:r w:rsidR="006565F8">
        <w:rPr>
          <w:color w:val="000000"/>
          <w:sz w:val="28"/>
          <w:szCs w:val="28"/>
        </w:rPr>
        <w:t xml:space="preserve"> </w:t>
      </w:r>
      <w:r w:rsidRPr="006565F8">
        <w:rPr>
          <w:color w:val="000000"/>
          <w:sz w:val="28"/>
          <w:szCs w:val="28"/>
        </w:rPr>
        <w:t>не</w:t>
      </w:r>
      <w:r w:rsidR="006565F8">
        <w:rPr>
          <w:color w:val="000000"/>
          <w:sz w:val="28"/>
          <w:szCs w:val="28"/>
        </w:rPr>
        <w:t xml:space="preserve"> </w:t>
      </w:r>
      <w:r w:rsidRPr="006565F8">
        <w:rPr>
          <w:color w:val="000000"/>
          <w:sz w:val="28"/>
          <w:szCs w:val="28"/>
        </w:rPr>
        <w:t>предполагалась</w:t>
      </w:r>
      <w:r w:rsidR="006565F8">
        <w:rPr>
          <w:color w:val="000000"/>
          <w:sz w:val="28"/>
          <w:szCs w:val="28"/>
        </w:rPr>
        <w:t xml:space="preserve"> </w:t>
      </w:r>
      <w:r w:rsidRPr="006565F8">
        <w:rPr>
          <w:color w:val="000000"/>
          <w:sz w:val="28"/>
          <w:szCs w:val="28"/>
        </w:rPr>
        <w:t>последующая</w:t>
      </w:r>
      <w:r w:rsidR="006565F8">
        <w:rPr>
          <w:color w:val="000000"/>
          <w:sz w:val="28"/>
          <w:szCs w:val="28"/>
        </w:rPr>
        <w:t xml:space="preserve"> </w:t>
      </w:r>
      <w:r w:rsidRPr="006565F8">
        <w:rPr>
          <w:color w:val="000000"/>
          <w:sz w:val="28"/>
          <w:szCs w:val="28"/>
        </w:rPr>
        <w:t>перепродажа данного</w:t>
      </w:r>
      <w:r w:rsidR="006565F8">
        <w:rPr>
          <w:color w:val="000000"/>
          <w:sz w:val="28"/>
          <w:szCs w:val="28"/>
        </w:rPr>
        <w:t xml:space="preserve"> </w:t>
      </w:r>
      <w:r w:rsidRPr="006565F8">
        <w:rPr>
          <w:color w:val="000000"/>
          <w:sz w:val="28"/>
          <w:szCs w:val="28"/>
        </w:rPr>
        <w:t>имущества</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у</w:t>
      </w:r>
      <w:r w:rsidR="006565F8">
        <w:rPr>
          <w:color w:val="000000"/>
          <w:sz w:val="28"/>
          <w:szCs w:val="28"/>
        </w:rPr>
        <w:t xml:space="preserve"> </w:t>
      </w:r>
      <w:r w:rsidRPr="006565F8">
        <w:rPr>
          <w:color w:val="000000"/>
          <w:sz w:val="28"/>
          <w:szCs w:val="28"/>
        </w:rPr>
        <w:t>него</w:t>
      </w:r>
      <w:r w:rsidR="006565F8">
        <w:rPr>
          <w:color w:val="000000"/>
          <w:sz w:val="28"/>
          <w:szCs w:val="28"/>
        </w:rPr>
        <w:t xml:space="preserve"> </w:t>
      </w:r>
      <w:r w:rsidRPr="006565F8">
        <w:rPr>
          <w:color w:val="000000"/>
          <w:sz w:val="28"/>
          <w:szCs w:val="28"/>
        </w:rPr>
        <w:t>была</w:t>
      </w:r>
      <w:r w:rsidR="006565F8">
        <w:rPr>
          <w:color w:val="000000"/>
          <w:sz w:val="28"/>
          <w:szCs w:val="28"/>
        </w:rPr>
        <w:t xml:space="preserve"> </w:t>
      </w:r>
      <w:r w:rsidRPr="006565F8">
        <w:rPr>
          <w:color w:val="000000"/>
          <w:sz w:val="28"/>
          <w:szCs w:val="28"/>
        </w:rPr>
        <w:t>способность</w:t>
      </w:r>
      <w:r w:rsidR="006565F8">
        <w:rPr>
          <w:color w:val="000000"/>
          <w:sz w:val="28"/>
          <w:szCs w:val="28"/>
        </w:rPr>
        <w:t xml:space="preserve"> </w:t>
      </w:r>
      <w:r w:rsidRPr="006565F8">
        <w:rPr>
          <w:color w:val="000000"/>
          <w:sz w:val="28"/>
          <w:szCs w:val="28"/>
        </w:rPr>
        <w:t>приносить</w:t>
      </w:r>
      <w:r w:rsidR="006565F8">
        <w:rPr>
          <w:color w:val="000000"/>
          <w:sz w:val="28"/>
          <w:szCs w:val="28"/>
        </w:rPr>
        <w:t xml:space="preserve"> </w:t>
      </w:r>
      <w:r w:rsidRPr="006565F8">
        <w:rPr>
          <w:color w:val="000000"/>
          <w:sz w:val="28"/>
          <w:szCs w:val="28"/>
        </w:rPr>
        <w:t>организации экономические выгоды (доход) в будущем.</w:t>
      </w:r>
    </w:p>
    <w:p w:rsidR="006565F8" w:rsidRDefault="004C6469" w:rsidP="006565F8">
      <w:pPr>
        <w:spacing w:line="360" w:lineRule="auto"/>
        <w:ind w:firstLine="709"/>
        <w:jc w:val="both"/>
        <w:rPr>
          <w:color w:val="000000"/>
          <w:sz w:val="28"/>
          <w:szCs w:val="28"/>
        </w:rPr>
      </w:pPr>
      <w:r w:rsidRPr="006565F8">
        <w:rPr>
          <w:color w:val="000000"/>
          <w:sz w:val="28"/>
          <w:szCs w:val="28"/>
        </w:rPr>
        <w:t>В</w:t>
      </w:r>
      <w:r w:rsidR="006565F8">
        <w:rPr>
          <w:color w:val="000000"/>
          <w:sz w:val="28"/>
          <w:szCs w:val="28"/>
        </w:rPr>
        <w:t xml:space="preserve"> </w:t>
      </w:r>
      <w:r w:rsidRPr="006565F8">
        <w:rPr>
          <w:color w:val="000000"/>
          <w:sz w:val="28"/>
          <w:szCs w:val="28"/>
        </w:rPr>
        <w:t>состав</w:t>
      </w:r>
      <w:r w:rsidR="006565F8">
        <w:rPr>
          <w:color w:val="000000"/>
          <w:sz w:val="28"/>
          <w:szCs w:val="28"/>
        </w:rPr>
        <w:t xml:space="preserve"> </w:t>
      </w:r>
      <w:r w:rsidRPr="006565F8">
        <w:rPr>
          <w:color w:val="000000"/>
          <w:sz w:val="28"/>
          <w:szCs w:val="28"/>
        </w:rPr>
        <w:t>НМА</w:t>
      </w:r>
      <w:r w:rsidR="006565F8">
        <w:rPr>
          <w:color w:val="000000"/>
          <w:sz w:val="28"/>
          <w:szCs w:val="28"/>
        </w:rPr>
        <w:t xml:space="preserve"> </w:t>
      </w:r>
      <w:r w:rsidRPr="006565F8">
        <w:rPr>
          <w:color w:val="000000"/>
          <w:sz w:val="28"/>
          <w:szCs w:val="28"/>
        </w:rPr>
        <w:t>не</w:t>
      </w:r>
      <w:r w:rsidR="006565F8">
        <w:rPr>
          <w:color w:val="000000"/>
          <w:sz w:val="28"/>
          <w:szCs w:val="28"/>
        </w:rPr>
        <w:t xml:space="preserve"> </w:t>
      </w:r>
      <w:r w:rsidRPr="006565F8">
        <w:rPr>
          <w:color w:val="000000"/>
          <w:sz w:val="28"/>
          <w:szCs w:val="28"/>
        </w:rPr>
        <w:t>включают</w:t>
      </w:r>
      <w:r w:rsidR="006565F8">
        <w:rPr>
          <w:color w:val="000000"/>
          <w:sz w:val="28"/>
          <w:szCs w:val="28"/>
        </w:rPr>
        <w:t xml:space="preserve"> </w:t>
      </w:r>
      <w:r w:rsidRPr="006565F8">
        <w:rPr>
          <w:color w:val="000000"/>
          <w:sz w:val="28"/>
          <w:szCs w:val="28"/>
        </w:rPr>
        <w:t>интеллектуальные</w:t>
      </w:r>
      <w:r w:rsidR="006565F8">
        <w:rPr>
          <w:color w:val="000000"/>
          <w:sz w:val="28"/>
          <w:szCs w:val="28"/>
        </w:rPr>
        <w:t xml:space="preserve"> </w:t>
      </w:r>
      <w:r w:rsidRPr="006565F8">
        <w:rPr>
          <w:color w:val="000000"/>
          <w:sz w:val="28"/>
          <w:szCs w:val="28"/>
        </w:rPr>
        <w:t>и</w:t>
      </w:r>
      <w:r w:rsidR="006565F8">
        <w:rPr>
          <w:color w:val="000000"/>
          <w:sz w:val="28"/>
          <w:szCs w:val="28"/>
        </w:rPr>
        <w:t xml:space="preserve"> </w:t>
      </w:r>
      <w:r w:rsidRPr="006565F8">
        <w:rPr>
          <w:color w:val="000000"/>
          <w:sz w:val="28"/>
          <w:szCs w:val="28"/>
        </w:rPr>
        <w:t>деловые</w:t>
      </w:r>
      <w:r w:rsidR="006565F8">
        <w:rPr>
          <w:color w:val="000000"/>
          <w:sz w:val="28"/>
          <w:szCs w:val="28"/>
        </w:rPr>
        <w:t xml:space="preserve"> </w:t>
      </w:r>
      <w:r w:rsidRPr="006565F8">
        <w:rPr>
          <w:color w:val="000000"/>
          <w:sz w:val="28"/>
          <w:szCs w:val="28"/>
        </w:rPr>
        <w:t>качества персонала организации, их квалификацию и способность к труду,</w:t>
      </w:r>
      <w:r w:rsidR="006565F8">
        <w:rPr>
          <w:color w:val="000000"/>
          <w:sz w:val="28"/>
          <w:szCs w:val="28"/>
        </w:rPr>
        <w:t xml:space="preserve"> </w:t>
      </w:r>
      <w:r w:rsidRPr="006565F8">
        <w:rPr>
          <w:color w:val="000000"/>
          <w:sz w:val="28"/>
          <w:szCs w:val="28"/>
        </w:rPr>
        <w:t>поскольку,</w:t>
      </w:r>
      <w:r w:rsidR="006565F8">
        <w:rPr>
          <w:color w:val="000000"/>
          <w:sz w:val="28"/>
          <w:szCs w:val="28"/>
        </w:rPr>
        <w:t xml:space="preserve"> </w:t>
      </w:r>
      <w:r w:rsidRPr="006565F8">
        <w:rPr>
          <w:color w:val="000000"/>
          <w:sz w:val="28"/>
          <w:szCs w:val="28"/>
        </w:rPr>
        <w:t>с одной стороны, могут быть учтены в оплате их труда,</w:t>
      </w:r>
      <w:r w:rsidR="006565F8">
        <w:rPr>
          <w:color w:val="000000"/>
          <w:sz w:val="28"/>
          <w:szCs w:val="28"/>
        </w:rPr>
        <w:t xml:space="preserve"> </w:t>
      </w:r>
      <w:r w:rsidRPr="006565F8">
        <w:rPr>
          <w:color w:val="000000"/>
          <w:sz w:val="28"/>
          <w:szCs w:val="28"/>
        </w:rPr>
        <w:t>а</w:t>
      </w:r>
      <w:r w:rsidR="006565F8">
        <w:rPr>
          <w:color w:val="000000"/>
          <w:sz w:val="28"/>
          <w:szCs w:val="28"/>
        </w:rPr>
        <w:t xml:space="preserve"> </w:t>
      </w:r>
      <w:r w:rsidRPr="006565F8">
        <w:rPr>
          <w:color w:val="000000"/>
          <w:sz w:val="28"/>
          <w:szCs w:val="28"/>
        </w:rPr>
        <w:t>с</w:t>
      </w:r>
      <w:r w:rsidR="006565F8">
        <w:rPr>
          <w:color w:val="000000"/>
          <w:sz w:val="28"/>
          <w:szCs w:val="28"/>
        </w:rPr>
        <w:t xml:space="preserve"> </w:t>
      </w:r>
      <w:r w:rsidRPr="006565F8">
        <w:rPr>
          <w:color w:val="000000"/>
          <w:sz w:val="28"/>
          <w:szCs w:val="28"/>
        </w:rPr>
        <w:t>другой</w:t>
      </w:r>
      <w:r w:rsidR="006565F8">
        <w:rPr>
          <w:color w:val="000000"/>
          <w:sz w:val="28"/>
          <w:szCs w:val="28"/>
        </w:rPr>
        <w:t xml:space="preserve"> </w:t>
      </w:r>
      <w:r w:rsidRPr="006565F8">
        <w:rPr>
          <w:color w:val="000000"/>
          <w:sz w:val="28"/>
          <w:szCs w:val="28"/>
        </w:rPr>
        <w:t>не</w:t>
      </w:r>
      <w:r w:rsidR="006565F8">
        <w:rPr>
          <w:color w:val="000000"/>
          <w:sz w:val="28"/>
          <w:szCs w:val="28"/>
        </w:rPr>
        <w:t xml:space="preserve"> </w:t>
      </w:r>
      <w:r w:rsidRPr="006565F8">
        <w:rPr>
          <w:color w:val="000000"/>
          <w:sz w:val="28"/>
          <w:szCs w:val="28"/>
        </w:rPr>
        <w:t>могут быть отделены от своих носителей и переданы другому пользователю.</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Целью аудита нематериальных активов является установление соответствия применяемой предприятием методики учёта нематериальных активов требованиям нормативных актов, регулирующих формирование себестоимости продукции (работ, услуг) и финансовых результатов, а также требованиям соответствующих стандартов и положениям, устанавливающим правила их учёта. Аудитор должен последовательно проверить следующие моменты:</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1.</w:t>
      </w:r>
      <w:r w:rsidR="006565F8">
        <w:rPr>
          <w:color w:val="000000"/>
          <w:sz w:val="28"/>
          <w:szCs w:val="28"/>
        </w:rPr>
        <w:t xml:space="preserve"> </w:t>
      </w:r>
      <w:r w:rsidRPr="006565F8">
        <w:rPr>
          <w:color w:val="000000"/>
          <w:sz w:val="28"/>
          <w:szCs w:val="28"/>
        </w:rPr>
        <w:t>Документальное оформление факта наличия объектов нематериальных активов и правильное отражение их первоначальной балансовой стоимости.</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2.</w:t>
      </w:r>
      <w:r w:rsidR="006565F8">
        <w:rPr>
          <w:color w:val="000000"/>
          <w:sz w:val="28"/>
          <w:szCs w:val="28"/>
        </w:rPr>
        <w:t xml:space="preserve"> </w:t>
      </w:r>
      <w:r w:rsidRPr="006565F8">
        <w:rPr>
          <w:color w:val="000000"/>
          <w:sz w:val="28"/>
          <w:szCs w:val="28"/>
        </w:rPr>
        <w:t>Организацию аналитического и синтетического видов учёта нематериальных активов: ведомость учёта нематериальных активов № 17 по дебету и кредиту счёта 04 "Нематериальные активы"; журнал-ордер № 10 по кредиту счёта 05 "Износ нематериальных активов"; журнал-ордер № 13 по кредиту счёта 04 "Нематериальные активы"; расчёт износа нематериальных активов (при журнально-ордерной форме учёта).</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3.</w:t>
      </w:r>
      <w:r w:rsidR="006565F8">
        <w:rPr>
          <w:color w:val="000000"/>
          <w:sz w:val="28"/>
          <w:szCs w:val="28"/>
        </w:rPr>
        <w:t xml:space="preserve"> </w:t>
      </w:r>
      <w:r w:rsidRPr="006565F8">
        <w:rPr>
          <w:color w:val="000000"/>
          <w:sz w:val="28"/>
          <w:szCs w:val="28"/>
        </w:rPr>
        <w:t>Правильность ежемесячного погашения стоимости начисления износа по объектам, учитываемым в составе нематериальных активов (счёт 05).</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4.</w:t>
      </w:r>
      <w:r w:rsidR="006565F8">
        <w:rPr>
          <w:color w:val="000000"/>
          <w:sz w:val="28"/>
          <w:szCs w:val="28"/>
        </w:rPr>
        <w:t xml:space="preserve"> </w:t>
      </w:r>
      <w:r w:rsidRPr="006565F8">
        <w:rPr>
          <w:color w:val="000000"/>
          <w:sz w:val="28"/>
          <w:szCs w:val="28"/>
        </w:rPr>
        <w:t>Правильность списания объектов нематериальных активов с баланса предприятия.</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5.</w:t>
      </w:r>
      <w:r w:rsidR="006565F8">
        <w:rPr>
          <w:color w:val="000000"/>
          <w:sz w:val="28"/>
          <w:szCs w:val="28"/>
        </w:rPr>
        <w:t xml:space="preserve"> </w:t>
      </w:r>
      <w:r w:rsidRPr="006565F8">
        <w:rPr>
          <w:color w:val="000000"/>
          <w:sz w:val="28"/>
          <w:szCs w:val="28"/>
        </w:rPr>
        <w:t>Соответствие данных синтетического и аналитического учёта нематериальных активов и их износа записям в Главной книге и балансе.</w:t>
      </w:r>
    </w:p>
    <w:p w:rsidR="000414F3" w:rsidRPr="006565F8" w:rsidRDefault="000414F3" w:rsidP="006565F8">
      <w:pPr>
        <w:spacing w:line="360" w:lineRule="auto"/>
        <w:ind w:firstLine="709"/>
        <w:jc w:val="both"/>
        <w:rPr>
          <w:color w:val="000000"/>
          <w:sz w:val="28"/>
          <w:szCs w:val="28"/>
        </w:rPr>
      </w:pPr>
      <w:r w:rsidRPr="006565F8">
        <w:rPr>
          <w:color w:val="000000"/>
          <w:sz w:val="28"/>
          <w:szCs w:val="28"/>
        </w:rPr>
        <w:t>Рассмотрим, как осуществляется аудит учёта нематериальных активов по соответствующим видам операций.</w:t>
      </w:r>
    </w:p>
    <w:p w:rsidR="004C6469" w:rsidRPr="006565F8" w:rsidRDefault="004C6469" w:rsidP="006565F8">
      <w:pPr>
        <w:spacing w:line="360" w:lineRule="auto"/>
        <w:ind w:firstLine="709"/>
        <w:jc w:val="both"/>
        <w:rPr>
          <w:color w:val="000000"/>
          <w:sz w:val="28"/>
          <w:szCs w:val="28"/>
        </w:rPr>
      </w:pPr>
    </w:p>
    <w:p w:rsidR="004C6469" w:rsidRPr="006565F8" w:rsidRDefault="004C6469" w:rsidP="006565F8">
      <w:pPr>
        <w:pStyle w:val="2"/>
        <w:spacing w:before="0" w:after="0" w:line="360" w:lineRule="auto"/>
        <w:ind w:firstLine="709"/>
        <w:jc w:val="both"/>
        <w:rPr>
          <w:rFonts w:ascii="Times New Roman" w:hAnsi="Times New Roman" w:cs="Times New Roman"/>
          <w:i w:val="0"/>
          <w:iCs w:val="0"/>
          <w:color w:val="000000"/>
        </w:rPr>
      </w:pPr>
      <w:bookmarkStart w:id="1" w:name="_Toc154363836"/>
      <w:r w:rsidRPr="006565F8">
        <w:rPr>
          <w:rFonts w:ascii="Times New Roman" w:hAnsi="Times New Roman" w:cs="Times New Roman"/>
          <w:i w:val="0"/>
          <w:iCs w:val="0"/>
          <w:color w:val="000000"/>
        </w:rPr>
        <w:t>2. Анализ влияния факторов «управленческие расходы»</w:t>
      </w:r>
      <w:bookmarkEnd w:id="1"/>
    </w:p>
    <w:p w:rsidR="006565F8" w:rsidRDefault="006565F8" w:rsidP="006565F8">
      <w:pPr>
        <w:spacing w:line="360" w:lineRule="auto"/>
        <w:ind w:firstLine="709"/>
        <w:jc w:val="both"/>
        <w:rPr>
          <w:color w:val="000000"/>
          <w:sz w:val="28"/>
          <w:szCs w:val="28"/>
        </w:rPr>
      </w:pPr>
    </w:p>
    <w:p w:rsidR="004C6469" w:rsidRPr="006565F8" w:rsidRDefault="004C6469" w:rsidP="006565F8">
      <w:pPr>
        <w:spacing w:line="360" w:lineRule="auto"/>
        <w:ind w:firstLine="709"/>
        <w:jc w:val="both"/>
        <w:rPr>
          <w:color w:val="000000"/>
          <w:sz w:val="28"/>
          <w:szCs w:val="28"/>
        </w:rPr>
      </w:pPr>
      <w:r w:rsidRPr="006565F8">
        <w:rPr>
          <w:color w:val="000000"/>
          <w:sz w:val="28"/>
          <w:szCs w:val="28"/>
        </w:rPr>
        <w:t>В отличие от прямых материальных затрат, прямых издержек на заработную плату или других видов издержек управленческие расходы в соответствующем бюджете не имеют привязки к объемам продаж или объемам производства, рассчитываются вне взаимосвязи с динамикой доходов компании. Большая часть накладных расходов относится не к нормируемым, а к лимитируемым затратам, для которых надлежит установить контрольный лимит на определенный период времени. Но и здесь существуют два типа расходов, различающихся по назначению и методам планирования: один так или иначе привязан к активам, которыми оперирует данный бизнес, другой связан с его развитием.</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Такие статьи бюджетов накладных и управленческих расходов, как амортизационные отчисления, расходы по содержанию и ремонту оборудования, зданий и сооружений, арендные платежи и пр., планируются исходя из стоимости и сроков службы основных фондов, занимаемых бизнесом офисных или производственных площадей по действующим в отраслях или регионах нормам и правилам. Что касается другой их части — оплаты труда менеджеров и специалистов, инженерно-технического и административно-управленческого персонала, а также их командировочных, представительских, транспортных и прочих, — то их планирование носит весьма специфический характер, поскольку эта часть управленческих расходов связана с развитием бизнеса. Заметим, что при советской власти в условиях командной экономики управление, как маркетинг и реклама, не воспринималось в качестве фактора развития производства, а сами управленческие расходы рассматривались исключительно как непроизводительные, как некое бремя для предприятий, и с ними велась упорная и настойчивая борьба.</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При планировании управленческих расходов прежде всего необходимо иметь в виду следующее важное обстоятельство: доля управленческих расходов на заработную плату всех категорий ИТР и АУП в фонде оплаты труда должна возрастать для обеспечения роста эффективности производства, повышения конкурентоспособности предприятия на основе роста ее технологического уровня. А в общем объеме продаж доля этих же расходов должна оставаться стабильной и медленно снижающейся (примерно на 1,0–1,2 % в течение 10–15 лет).</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Но это долгосрочные тенденции. В реальной же практике планирование управленческих расходов осуществляется следующими методами: 1) традиционным (советским); 2) по принципу «от достигнутого»; 3) в увязке с конечными результатами бизнеса.</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1. Традиционный подход — ограничение управленческих расходов определенным процентом от фонда оплаты труда или численности так называемого основного производственного персонала. Почему это плохо? Результатом такого планирования всегда является падение эффективности производства и, прежде всего, фондотдачи.</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В командной экономике времен советской власти было принято ограничивать долю ИТР и АУП в общей численности занятых. Так, инструкциями Госкомтруда СССР эта доля определялась на уровне не выше 12 %. СССР был единственной страной в мире, где в результате подобной политики (в сочетании с отрицанием на высшем государственном и политическом уровнях роли фактора управления в развитии производства) доля ИТР и АУП в фонде оплаты труда в промышленности снизилась за 1949–1989 гг. на 0,1 %. Одновременно СССР был единственной страной в мире (даже на Гаити или в южно-африканских бантустанах такого не было), где с 1972 по 1990 гг. (и что характерно — по настоящее время) произошло абсолютное падение уровня капиталоотдачи в промышленности (не замедление темпов роста, а именно абсолютное снижение). В процессе роста фондовооруженности труда происходит замещение труда производственных рабочих, а значит, сокращается их численность. Доля ИТР и АУП в общей численности в силу одного этого обстоятельства уже неизбежно повышается. Но это еще не все. Дело в том, что чем новее и сложнее техника, тем больше нагрузка на системы управления, а это требует увеличения численности управленческого персонала, специалистов по сравнению с их прежним уровнем. Если этого не сделать, то обеспечить эффективное использование новой техники, рост на основе ее внедрения эффективности производства и, прежде всего, фондоотдачи вряд ли возможно.</w:t>
      </w:r>
    </w:p>
    <w:p w:rsidR="006565F8" w:rsidRDefault="004C6469" w:rsidP="006565F8">
      <w:pPr>
        <w:spacing w:line="360" w:lineRule="auto"/>
        <w:ind w:firstLine="709"/>
        <w:jc w:val="both"/>
        <w:rPr>
          <w:color w:val="000000"/>
          <w:sz w:val="28"/>
          <w:szCs w:val="28"/>
        </w:rPr>
      </w:pPr>
      <w:r w:rsidRPr="006565F8">
        <w:rPr>
          <w:color w:val="000000"/>
          <w:sz w:val="28"/>
          <w:szCs w:val="28"/>
        </w:rPr>
        <w:t>В этой связи надежды наших экономистов (из числа как либералов, так и государственников) на инвестиции с целью ускорения экономического роста — чистая утопия. Сами по себе инвестиции, особенно в новую технику и технологию, могут принести больше вреда, чем пользы. Вот сравнительно свежий пример. В августе 2004 г. по сути обанкротился Краснодарский стекольный завод. Лежащей на поверхности причиной банкротства явилось его техническое перевооружение, то есть те самые инвестиции в развитие производства. Завод был переоснащен (на кредит краевого Сбербанка) новейшим итальянским оборудованием, в 10 раз более производительным, чем станки, которые были установлены на предприятии еще при советской власти. Но со старыми станками предприятие сумело более или менее благополучно пережить 12 лет так называемых радикальных экономических реформ, а с запуском новой техники рабочим прекратили платить зарплату, быстрыми темпами нарастала задолженность всем кредиторам.</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Мы упомянули о данном методе планирования расходов на ИТР и АУП еще и в связи с тем, что он является доминирующим при работе по госзаказам. Это лишний раз свидетельствует о том, что уровень управления в наших министерствах и ведомствах остался таким же совковым, как и был, если не стал еще хуже.</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2. Планирование по принципу «от достигнутого». В рамках такого подхода предполагается ежегодно увеличивать (индексировать) уровень управленческих расходов в соответствии с темпом их роста за определенный период времени. Этот подход наиболее характерен для коммерческих структур, предприятий и фирм, созданных в период так называемых радикальных экономических реформ. Но не только. Как только в стране грянула рыночная свобода, появились новые функции управления (маркетинг, операции с ценными бумагами и т.п.). Естественно, это потребовало создания новых структурных подразделений в аппарате управления, новых отделов и служб. Создать-то создали, а вот такие технологии, как организационный анализ (процесс регулярного, не реже чем 1 раз в 2 года, пересмотра и оптимизации организационных структур управления), для подавляющего большинства наших предприятий и фирм — излишняя экзотика. В результате получился крен в другую сторону — бесконтрольного роста управленческих расходов.</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3. Планирование в увязке с конечным результатом. Мы рассмотрели, как не надо планировать лимиты управленческих расходов. Теперь о том, как надо это делать. Наиболее эффективным, применяемым ведущими компаниями высокоразвитых стран, но практически отсутствующим у нас (в силу общего и все более нарастающего, особенно в последние годы, отставания российской экономики по качеству и эффективности систем управления на всех уровнях) является планирование по конечному результату.</w:t>
      </w:r>
    </w:p>
    <w:p w:rsidR="004C6469" w:rsidRPr="006565F8" w:rsidRDefault="004C6469" w:rsidP="006565F8">
      <w:pPr>
        <w:spacing w:line="360" w:lineRule="auto"/>
        <w:ind w:firstLine="709"/>
        <w:jc w:val="both"/>
        <w:rPr>
          <w:color w:val="000000"/>
          <w:sz w:val="28"/>
          <w:szCs w:val="28"/>
        </w:rPr>
      </w:pPr>
      <w:r w:rsidRPr="006565F8">
        <w:rPr>
          <w:color w:val="000000"/>
          <w:sz w:val="28"/>
          <w:szCs w:val="28"/>
        </w:rPr>
        <w:t>Оказывается, что доля управленческих расходов, варьируя по отраслям в общей численности занятых и в фонде оплаты труда, остается на удивление стабильной в условно-чистой продукции — на уровне 18–19 %. Отраслевой вариации по данному показателю нет. Мало того, доля управленческих расходов в условно-чистой продукции не меняется и в динамике, с течением времени. Если ограничивать рост управленческих расходов таким образом, это не препятствует повышению удельного веса управленческих расходов в издержках на заработную плату, а ИТР и АУП — в численности занятых. Вместе с тем, чем выше конечный результат, тем, с одной стороны, у компании больше возможностей развивать свой управленческий потенциал, увеличивать лимиты на управленческие расходы, а с другой — рост размеров условно-чистой продукции свидетельствует о растущей эффективности управленческого труда в компании.</w:t>
      </w:r>
    </w:p>
    <w:p w:rsidR="006565F8" w:rsidRDefault="004C6469" w:rsidP="006565F8">
      <w:pPr>
        <w:spacing w:line="360" w:lineRule="auto"/>
        <w:ind w:firstLine="709"/>
        <w:jc w:val="both"/>
        <w:rPr>
          <w:color w:val="000000"/>
          <w:sz w:val="28"/>
          <w:szCs w:val="28"/>
        </w:rPr>
      </w:pPr>
      <w:r w:rsidRPr="006565F8">
        <w:rPr>
          <w:color w:val="000000"/>
          <w:sz w:val="28"/>
          <w:szCs w:val="28"/>
        </w:rPr>
        <w:t>Управленческие расходы в РФ, заработная плата управленцев и специалистов большинства российских компаний никоим образом не привязаны к конечным результатам деятельности их предприятий и фирм.</w:t>
      </w:r>
    </w:p>
    <w:p w:rsidR="00194AF8" w:rsidRPr="006565F8" w:rsidRDefault="00194AF8" w:rsidP="006565F8">
      <w:pPr>
        <w:spacing w:line="360" w:lineRule="auto"/>
        <w:ind w:firstLine="709"/>
        <w:jc w:val="both"/>
        <w:rPr>
          <w:color w:val="000000"/>
          <w:sz w:val="28"/>
          <w:szCs w:val="28"/>
        </w:rPr>
      </w:pPr>
    </w:p>
    <w:p w:rsidR="006565F8" w:rsidRPr="006565F8" w:rsidRDefault="006565F8" w:rsidP="006565F8">
      <w:pPr>
        <w:spacing w:line="360" w:lineRule="auto"/>
        <w:ind w:firstLine="709"/>
        <w:jc w:val="both"/>
        <w:rPr>
          <w:b/>
          <w:bCs/>
          <w:color w:val="000000"/>
          <w:sz w:val="28"/>
          <w:szCs w:val="28"/>
        </w:rPr>
      </w:pPr>
      <w:r>
        <w:rPr>
          <w:color w:val="000000"/>
          <w:sz w:val="28"/>
          <w:szCs w:val="28"/>
        </w:rPr>
        <w:br w:type="page"/>
      </w:r>
      <w:r w:rsidRPr="006565F8">
        <w:rPr>
          <w:b/>
          <w:bCs/>
          <w:color w:val="000000"/>
          <w:sz w:val="28"/>
          <w:szCs w:val="28"/>
        </w:rPr>
        <w:t>Литература</w:t>
      </w:r>
    </w:p>
    <w:p w:rsidR="006565F8" w:rsidRPr="006565F8" w:rsidRDefault="006565F8" w:rsidP="006565F8">
      <w:pPr>
        <w:spacing w:line="360" w:lineRule="auto"/>
        <w:ind w:firstLine="709"/>
        <w:jc w:val="both"/>
        <w:rPr>
          <w:color w:val="000000"/>
          <w:sz w:val="28"/>
          <w:szCs w:val="28"/>
        </w:rPr>
      </w:pPr>
    </w:p>
    <w:p w:rsidR="006565F8" w:rsidRDefault="006565F8" w:rsidP="006565F8">
      <w:pPr>
        <w:pStyle w:val="1"/>
        <w:widowControl/>
        <w:ind w:left="0" w:firstLine="0"/>
        <w:jc w:val="left"/>
      </w:pPr>
      <w:r>
        <w:t xml:space="preserve"> Андросов А.</w:t>
      </w:r>
      <w:r w:rsidR="00024C07" w:rsidRPr="006565F8">
        <w:t>М. Бухгалтерский учет. М., 2005.</w:t>
      </w:r>
    </w:p>
    <w:p w:rsidR="00024C07" w:rsidRPr="006565F8" w:rsidRDefault="006565F8" w:rsidP="006565F8">
      <w:pPr>
        <w:numPr>
          <w:ilvl w:val="0"/>
          <w:numId w:val="4"/>
        </w:numPr>
        <w:spacing w:line="360" w:lineRule="auto"/>
        <w:ind w:left="0" w:firstLine="0"/>
        <w:rPr>
          <w:color w:val="000000"/>
          <w:sz w:val="28"/>
          <w:szCs w:val="28"/>
        </w:rPr>
      </w:pPr>
      <w:r>
        <w:rPr>
          <w:color w:val="000000"/>
          <w:sz w:val="28"/>
          <w:szCs w:val="28"/>
        </w:rPr>
        <w:t xml:space="preserve"> </w:t>
      </w:r>
      <w:r w:rsidR="00024C07" w:rsidRPr="006565F8">
        <w:rPr>
          <w:color w:val="000000"/>
          <w:sz w:val="28"/>
          <w:szCs w:val="28"/>
        </w:rPr>
        <w:t>Безруких П.С. Бухгалтерский учет М., 2003.</w:t>
      </w:r>
    </w:p>
    <w:p w:rsidR="00024C07" w:rsidRPr="006565F8" w:rsidRDefault="006565F8" w:rsidP="006565F8">
      <w:pPr>
        <w:numPr>
          <w:ilvl w:val="0"/>
          <w:numId w:val="4"/>
        </w:numPr>
        <w:spacing w:line="360" w:lineRule="auto"/>
        <w:ind w:left="0" w:firstLine="0"/>
        <w:rPr>
          <w:color w:val="000000"/>
          <w:sz w:val="28"/>
          <w:szCs w:val="28"/>
        </w:rPr>
      </w:pPr>
      <w:r>
        <w:rPr>
          <w:color w:val="000000"/>
          <w:sz w:val="28"/>
          <w:szCs w:val="28"/>
        </w:rPr>
        <w:t xml:space="preserve"> </w:t>
      </w:r>
      <w:r w:rsidR="00024C07" w:rsidRPr="006565F8">
        <w:rPr>
          <w:color w:val="000000"/>
          <w:sz w:val="28"/>
          <w:szCs w:val="28"/>
        </w:rPr>
        <w:t>Козлова Е.П. Бухгалтерский учет. М., 2001.</w:t>
      </w:r>
      <w:bookmarkStart w:id="2" w:name="_GoBack"/>
      <w:bookmarkEnd w:id="2"/>
    </w:p>
    <w:sectPr w:rsidR="00024C07" w:rsidRPr="006565F8" w:rsidSect="006565F8">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AB3" w:rsidRDefault="00642AB3">
      <w:r>
        <w:separator/>
      </w:r>
    </w:p>
  </w:endnote>
  <w:endnote w:type="continuationSeparator" w:id="0">
    <w:p w:rsidR="00642AB3" w:rsidRDefault="0064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52" w:rsidRDefault="000660E8" w:rsidP="00475252">
    <w:pPr>
      <w:pStyle w:val="a4"/>
      <w:framePr w:wrap="auto" w:vAnchor="text" w:hAnchor="margin" w:xAlign="center" w:y="1"/>
      <w:rPr>
        <w:rStyle w:val="a6"/>
      </w:rPr>
    </w:pPr>
    <w:r>
      <w:rPr>
        <w:rStyle w:val="a6"/>
        <w:noProof/>
      </w:rPr>
      <w:t>2</w:t>
    </w:r>
  </w:p>
  <w:p w:rsidR="00475252" w:rsidRDefault="004752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AB3" w:rsidRDefault="00642AB3">
      <w:r>
        <w:separator/>
      </w:r>
    </w:p>
  </w:footnote>
  <w:footnote w:type="continuationSeparator" w:id="0">
    <w:p w:rsidR="00642AB3" w:rsidRDefault="00642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3CE5"/>
    <w:multiLevelType w:val="singleLevel"/>
    <w:tmpl w:val="463E1A1E"/>
    <w:lvl w:ilvl="0">
      <w:start w:val="1"/>
      <w:numFmt w:val="decimal"/>
      <w:pStyle w:val="1"/>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1">
    <w:nsid w:val="22AF5B42"/>
    <w:multiLevelType w:val="hybridMultilevel"/>
    <w:tmpl w:val="5706EC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5D71036"/>
    <w:multiLevelType w:val="hybridMultilevel"/>
    <w:tmpl w:val="CCEE77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8350FB"/>
    <w:multiLevelType w:val="hybridMultilevel"/>
    <w:tmpl w:val="031476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99F"/>
    <w:rsid w:val="00024C07"/>
    <w:rsid w:val="000414F3"/>
    <w:rsid w:val="000660E8"/>
    <w:rsid w:val="00104C06"/>
    <w:rsid w:val="00194AF8"/>
    <w:rsid w:val="00293BA9"/>
    <w:rsid w:val="00473B77"/>
    <w:rsid w:val="00475252"/>
    <w:rsid w:val="004C6469"/>
    <w:rsid w:val="00544E9F"/>
    <w:rsid w:val="005C799F"/>
    <w:rsid w:val="00601586"/>
    <w:rsid w:val="00642AB3"/>
    <w:rsid w:val="006565F8"/>
    <w:rsid w:val="00656AFB"/>
    <w:rsid w:val="006843D0"/>
    <w:rsid w:val="00741CFC"/>
    <w:rsid w:val="007F445F"/>
    <w:rsid w:val="0091135C"/>
    <w:rsid w:val="009467D6"/>
    <w:rsid w:val="00B80F4A"/>
    <w:rsid w:val="00C6345C"/>
    <w:rsid w:val="00E2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65E9C-84C7-45D8-89CB-10AC9867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AF8"/>
    <w:rPr>
      <w:sz w:val="24"/>
      <w:szCs w:val="24"/>
    </w:rPr>
  </w:style>
  <w:style w:type="paragraph" w:styleId="2">
    <w:name w:val="heading 2"/>
    <w:basedOn w:val="a"/>
    <w:next w:val="a"/>
    <w:link w:val="20"/>
    <w:uiPriority w:val="99"/>
    <w:qFormat/>
    <w:rsid w:val="00194A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C6469"/>
    <w:rPr>
      <w:rFonts w:ascii="Arial" w:hAnsi="Arial" w:cs="Arial"/>
      <w:b/>
      <w:bCs/>
      <w:i/>
      <w:iCs/>
      <w:sz w:val="28"/>
      <w:szCs w:val="28"/>
      <w:lang w:val="ru-RU" w:eastAsia="ru-RU"/>
    </w:rPr>
  </w:style>
  <w:style w:type="paragraph" w:styleId="HTML">
    <w:name w:val="HTML Preformatted"/>
    <w:basedOn w:val="a"/>
    <w:link w:val="HTML0"/>
    <w:uiPriority w:val="99"/>
    <w:rsid w:val="004C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toc 2"/>
    <w:basedOn w:val="a"/>
    <w:next w:val="a"/>
    <w:autoRedefine/>
    <w:uiPriority w:val="99"/>
    <w:semiHidden/>
    <w:rsid w:val="007F445F"/>
    <w:pPr>
      <w:tabs>
        <w:tab w:val="right" w:leader="dot" w:pos="9345"/>
      </w:tabs>
      <w:spacing w:line="360" w:lineRule="auto"/>
      <w:ind w:left="240"/>
      <w:jc w:val="center"/>
    </w:pPr>
    <w:rPr>
      <w:noProof/>
      <w:color w:val="000000"/>
      <w:sz w:val="28"/>
      <w:szCs w:val="28"/>
    </w:rPr>
  </w:style>
  <w:style w:type="character" w:styleId="a3">
    <w:name w:val="Hyperlink"/>
    <w:uiPriority w:val="99"/>
    <w:rsid w:val="007F445F"/>
    <w:rPr>
      <w:color w:val="0000FF"/>
      <w:u w:val="single"/>
    </w:rPr>
  </w:style>
  <w:style w:type="paragraph" w:styleId="a4">
    <w:name w:val="footer"/>
    <w:basedOn w:val="a"/>
    <w:link w:val="a5"/>
    <w:uiPriority w:val="99"/>
    <w:rsid w:val="0047525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75252"/>
  </w:style>
  <w:style w:type="paragraph" w:customStyle="1" w:styleId="1">
    <w:name w:val="Стиль1"/>
    <w:basedOn w:val="a"/>
    <w:link w:val="13"/>
    <w:autoRedefine/>
    <w:uiPriority w:val="99"/>
    <w:rsid w:val="00024C07"/>
    <w:pPr>
      <w:widowControl w:val="0"/>
      <w:numPr>
        <w:numId w:val="4"/>
      </w:numPr>
      <w:shd w:val="clear" w:color="auto" w:fill="FFFFFF"/>
      <w:autoSpaceDE w:val="0"/>
      <w:autoSpaceDN w:val="0"/>
      <w:adjustRightInd w:val="0"/>
      <w:spacing w:line="360" w:lineRule="auto"/>
      <w:jc w:val="both"/>
    </w:pPr>
    <w:rPr>
      <w:color w:val="000000"/>
      <w:sz w:val="28"/>
      <w:szCs w:val="28"/>
    </w:rPr>
  </w:style>
  <w:style w:type="character" w:customStyle="1" w:styleId="13">
    <w:name w:val="Стиль1 Знак3"/>
    <w:link w:val="1"/>
    <w:uiPriority w:val="99"/>
    <w:locked/>
    <w:rsid w:val="00024C07"/>
    <w:rPr>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6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Согласно Программе реформирования бухгалтерского учета в со-ответствии с международными стандартами финансовой отчетнос</vt:lpstr>
    </vt:vector>
  </TitlesOfParts>
  <Company>HomeLab</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Согласно Программе реформирования бухгалтерского учета в со-ответствии с международными стандартами финансовой отчетнос</dc:title>
  <dc:subject/>
  <dc:creator>user</dc:creator>
  <cp:keywords/>
  <dc:description/>
  <cp:lastModifiedBy>admin</cp:lastModifiedBy>
  <cp:revision>2</cp:revision>
  <dcterms:created xsi:type="dcterms:W3CDTF">2014-03-04T04:10:00Z</dcterms:created>
  <dcterms:modified xsi:type="dcterms:W3CDTF">2014-03-04T04:10:00Z</dcterms:modified>
</cp:coreProperties>
</file>