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AD" w:rsidRPr="00252F2A" w:rsidRDefault="007365AD" w:rsidP="007365AD">
      <w:pPr>
        <w:spacing w:before="120"/>
        <w:jc w:val="center"/>
        <w:rPr>
          <w:b/>
          <w:bCs/>
          <w:sz w:val="32"/>
          <w:szCs w:val="32"/>
        </w:rPr>
      </w:pPr>
      <w:r w:rsidRPr="00252F2A">
        <w:rPr>
          <w:b/>
          <w:bCs/>
          <w:sz w:val="32"/>
          <w:szCs w:val="32"/>
        </w:rPr>
        <w:t>Учет по договору проката</w:t>
      </w:r>
    </w:p>
    <w:p w:rsidR="007365AD" w:rsidRPr="007365AD" w:rsidRDefault="007365AD" w:rsidP="007365AD">
      <w:pPr>
        <w:spacing w:before="120"/>
        <w:jc w:val="center"/>
        <w:rPr>
          <w:sz w:val="28"/>
          <w:szCs w:val="28"/>
        </w:rPr>
      </w:pPr>
      <w:r w:rsidRPr="007365AD">
        <w:rPr>
          <w:sz w:val="28"/>
          <w:szCs w:val="28"/>
        </w:rPr>
        <w:t xml:space="preserve">Т.М. Панченко, аудитор Аудиторская фирма «АУДИТ А»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Правовые основы предоставления имущества в прокат установлены параграфом 2 гл.34 Гражданского кодекса Российской Федерации (ст.ст. 626- 631 ГК РФ).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Статьей 626 ГК РФ определено, что по договору проката арендодатель, осуществляющий сдачу имущества в аренду в качестве постоянной предпринимательской деятельности, обязуется предоставить арендатору движимое имущество за плату во временное владение и пользование.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Имущество, предоставляемое по договору проката, используется для потребительских целей, если иное не предусмотрено договором или не вытекает из существа обязательства.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Движимым имуществом в соответствии со ст.130 ГК РФ признаются вещи (включая деньги и ценные бумаги), не относящиеся к недвижимости, то есть к объектам, перемещение которых без несоразмерного ущерба их назначению невозможно.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Договор заключается в письменной форме и является публичным договором.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Согласно ст.627 ГК РФ договор проката заключается на срок до одного года.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Предметом договора проката может быть любое движимое имущество, предоставляемое арендатору для использования в потребительских либо иных предусмотренных договором (вытекающих из существа обязательства) целях, независимо от места, а также особенностей и условий его использования (аренды) (почасовая аренда, использование арендованного имущества по месту нахождения арендодателя и т.п.).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Примечание.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Статьей 607 ГК РФ установлено, что недвижимое имущество может быть объектом договора аренды. В то же время п.1 ст.626 ГК РФ исключает возможность передачи по договору проката, который является разновидностью договора аренды, недвижимого имущества. Исходя из закрепленного в ст.625 ГК РФ принципа приоритетного значения специальной нормы, применительно к договору проката будет действовать ст.626 ГК РФ. Иными словами, недвижимое имущество в прокат передать нельзя.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В рамках отношений по договору проката не допускается сдача в субаренду имущества, предоставленного арендатору, передача им своих прав и обязанностей по договору, предоставление в безвозмездное пользование, залог арендных прав и внесение их в качестве имущественного вклада в хозяйственные общества и товарищества или паевого взноса в производственные кооперативы (п.2 ст.631 ГК РФ).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По договору проката капитальный и текущий ремонт имущества, сданного в аренду по договору проката, всегда является обязанностью арендодателя (ст.631 ГК РФ). Данное правило не может быть изменено по соглашению сторон.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Перечень услуг по прокату определен Общероссийским классификатором услуг населению ОК 002-93, утвержденным Постановлением Госстандарта России от 28.06.1993 № 163. Услугам предприятий по прокату присвоен код подгруппы 019400.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По договору проката стороны арендную плату за пользование имуществом могут </w:t>
      </w:r>
      <w:r>
        <w:t xml:space="preserve"> </w:t>
      </w:r>
      <w:r w:rsidRPr="000A7F32">
        <w:t xml:space="preserve"> установить только в виде определенных в твердой сумме платежей, вносимых периодически или единовременно (ст.630 ГК РФ). Эта норма является императивной и не может быть изменена сторонами договора.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Предметы, предназначенные для сдачи в прокат, относятся к доходным вложениям в материальные ценности. В соответствии с п.п.1, 2 Положения по бухгалтерскому учету "Учет основных средств" ПБУ 6/01, утвержденного Приказом Минфина России от 30.03.2001 № 26н, установленные данным ПБУ правила формирования в бухгалтерском учете информации об основных средствах организации применяются также в отношении доходных вложений в материальные ценности.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Предметы проката принимаются к бухгалтерскому учету по первоначальной стоимости, которой при приобретении за плату признается сумма фактических затрат организации на приобретение, за исключением налога на добавленную стоимость и иных возмещаемых налогов (кроме случаев, предусмотренных законодательством Российской Федерации) (п.п.7, 8 ПБУ 6/01). Фактическими затратами на приобретение предметов проката является сумма, уплачиваемая в соответствии с договором поставщику (продавцу).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НДС, уплаченный при приобретении предметов проката, может быть принят к вычету в соответствии с п.2 ст.171 и п.1 ст.172 Налогового кодекса РФ на основании счета - фактуры, выставленного поставщиком, и документов, подтверждающих уплату НДС, после принятия на учет предметов проката.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Согласно Плану счетов бухгалтерского учета финансово - хозяйственной деятельности организаций и Инструкции по его применению, утвержденным Приказом Минфина России от 31.10.2000 № 94н, материальные ценности, предоставляемые организацией за плату во временное пользование (в том числе по договору проката) с целью получения дохода, учитываются на счете 03 "Доходные вложения в материальные ценности".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Материальные ценности, поступившие в организацию и предназначенные для предоставления в прокат, принимаются к бухгалтерскому учету по дебету счета 03 "Доходные вложения в материальные ценности" в корреспонденции со счетом 08 "Вложения во внеоборотные активы".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Специальные унифицированные формы первичной учетной документации для учета предметов проката в настоящее время отсутствуют. В данной ситуации </w:t>
      </w:r>
      <w:r>
        <w:t xml:space="preserve"> </w:t>
      </w:r>
      <w:r w:rsidRPr="000A7F32">
        <w:t xml:space="preserve"> возможно использование унифицированных форм, предназначенных для оформления операций с основными средствами, поскольку правила формирования в бухгалтерском учете информации об основных средствах организации применяются также в отношении доходных вложений в материальные ценности.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Таким образом, зачисление в состав основных средств отдельных объектов, предназначенных для сдачи в прокат, оформляется актом о </w:t>
      </w:r>
      <w:r>
        <w:t xml:space="preserve"> </w:t>
      </w:r>
      <w:r w:rsidRPr="000A7F32">
        <w:t xml:space="preserve"> приеме-передаче объектов основных средств, унифицированной формы № ОС-1, утвержденной Постановлением Госкомстата РФ от 21.01.2003 № 7, которая вводится в действие с 12 января 2003 года взамен акта формы № ОС-1, утвержденной Постановлением Госкомстата России от 30.10.1997 № 71а.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Для учета всех видов основных средств, а также для группового учета однотипных объектов основных средств, поступивших в эксплуатацию в одном календарном месяце и имеющих одно и то же производственно - хозяйственное назначение, техническую характеристику и стоимость, применяется Инвентарная карточка группового учета объектов основных средств (форма № ОС-6а, утв. Постановлением № 7). Инвентарная карточка ведется в бухгалтерии на группу объектов ОС, заполняется путем позиционных записей отдельных объектов основных средств.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На основании п.18 ПБУ 6/01 предметы проката стоимостью не более 10 000 руб. за единицу (или иного лимита, установленного в учетной политике исходя из технологических особенностей) разрешается списывать на затраты на производство (расходы на продажу) по мере отпуска их в производство или эксплуатацию. При этом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Расходы, осуществляемые в связи с постоянной предпринимательской деятельностью по предоставлению имущества в прокат, являются для организации расходами по обычным видам деятельности (п.5 Положения по бухгалтерскому учету "Расходы организации" ПБУ 10/99, утвержденного Приказом Минфина России от 06.05.1999 N 33н).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Таким образом, при передаче спортинвентаря в эксплуатацию организация может в соответствии с учетной политикой списать его стоимость с кредита счета 03 в дебет счета 20 "Основное производство".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Для целей налогообложения прибыли для организаций, предоставляющих на постоянной основе за плату во временное пользование и (или) временное владение и пользование имущество по договору проката, доходы от этой деятельности считаются доходами от реализации (п.1 ст.249, п.4 ст.250 НК РФ, а также п. 2 раздела 4 </w:t>
      </w:r>
      <w:r>
        <w:t xml:space="preserve"> </w:t>
      </w:r>
      <w:r w:rsidRPr="000A7F32">
        <w:t xml:space="preserve"> Методических рекомендаций по применению главы 25 "Налог на прибыль организаций" части второй Налогового кодекса Российской Федерации, утвержденных Приказом МНС России от 20.12.2002 № БГ-3-02/729).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В целях исчисления налогооблагаемой прибыли имущество первоначальной стоимостью не более 10 000 руб. не признается амортизируемым имуществом (п.1 ст.256 НК РФ). Стоимость такого имущества включаются в состав материальных расходов в полной сумме по мере ввода его в эксплуатацию (пп.3 п.1 ст.254 НК РФ).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Согласно пп.1 п.1 ст.265 НК РФ для организаций, предоставляющих на систематической основе за плату во временное пользование и (или) временное владение и пользование свое имущество, расходы, связанные с этой деятельностью, считаются расходами, связанными с производством и реализацией.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Аналитический учет по счету 03 "Доходные вложения в материальные ценности" ведется по </w:t>
      </w:r>
      <w:r>
        <w:t xml:space="preserve"> </w:t>
      </w:r>
      <w:r w:rsidRPr="000A7F32">
        <w:t xml:space="preserve"> каждому предмету проката и по арендаторам.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Рассмотрим хозяйственные опе</w:t>
      </w:r>
      <w:r w:rsidRPr="000A7F32">
        <w:softHyphen/>
        <w:t xml:space="preserve">рации по приобретению для сдачи в прокат материальных </w:t>
      </w:r>
      <w:r>
        <w:t xml:space="preserve"> </w:t>
      </w:r>
      <w:r w:rsidRPr="000A7F32">
        <w:t xml:space="preserve"> ценностей на примере 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Пример.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Организация в апреле приобрела автомобиль по цене 139500 руб., в том числе НДС- 23250 руб. Автомобиль предназначен для сдачи в прокат. </w:t>
      </w:r>
      <w:r>
        <w:t xml:space="preserve"> </w:t>
      </w:r>
      <w:r w:rsidRPr="000A7F32">
        <w:t xml:space="preserve"> Организация оплатила посреднику услуги по приобретению автомобиля в раз</w:t>
      </w:r>
      <w:r w:rsidRPr="000A7F32">
        <w:softHyphen/>
        <w:t xml:space="preserve">мере 1500 руб., в том числе НДС - 250руб. Кроме того, произведены расходы по оформлению автомобиля (регистрационные сборы, государственные пошлины и другие аналогичные платежи, произведенные в связи с получением прав на автомобиль) </w:t>
      </w:r>
      <w:r>
        <w:t xml:space="preserve"> </w:t>
      </w:r>
      <w:r w:rsidRPr="000A7F32">
        <w:t xml:space="preserve"> в общей сумме 300 руб., в том числе НДС - 50 руб.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Сдача в прокат отнесена организацией к обычным видам деятельности.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В мае автомобиль был сдан в прокат. Согласно договора проката ежемесячная арендная плата составляет 3000 руб. в месяц с учетом НДС - 500 руб. Дополнительных расходов по сдаче автомобиля в прокат не производи</w:t>
      </w:r>
      <w:r w:rsidRPr="000A7F32">
        <w:softHyphen/>
        <w:t xml:space="preserve">лось.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В декабре организация продала автомобиль по цене 126000 руб., в том числе НДС 21000 руб.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В апреле в бухгалтерском учете организа</w:t>
      </w:r>
      <w:r w:rsidRPr="000A7F32">
        <w:softHyphen/>
        <w:t xml:space="preserve">ции </w:t>
      </w:r>
      <w:r>
        <w:t xml:space="preserve"> </w:t>
      </w:r>
      <w:r w:rsidRPr="000A7F32">
        <w:t xml:space="preserve"> сделаны следующие записи: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08 «Вложения во внеоборотные активы», субсчет 4 «Приобретение объектов основных средств» Кредит 60 - 116250 руб. - отражены затраты по приобретению автомобиля;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Дебет 19 Кредит 60 - 23250 руб. - отражен НДС из стоимо</w:t>
      </w:r>
      <w:r w:rsidRPr="000A7F32">
        <w:softHyphen/>
        <w:t xml:space="preserve">сти автомобиля;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60 Кредит 51 - 139500 руб. - оплачена стоимость автомобиля 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08-4 Кредит 76 - 1250 руб. - отражены расходы по посреднической услуге;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19 Кредит 76 - 250 руб. - отражен НДС по посреднической </w:t>
      </w:r>
      <w:r>
        <w:t xml:space="preserve"> </w:t>
      </w:r>
      <w:r w:rsidRPr="000A7F32">
        <w:t xml:space="preserve"> услуге;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Дебет 76 Кредит 51- 1500 руб. - оплачены услуги посред</w:t>
      </w:r>
      <w:r w:rsidRPr="000A7F32">
        <w:softHyphen/>
        <w:t xml:space="preserve">ника;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08-4 Кредит 76 - 250 руб. - отражены расходы по оформлению автомобиля;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19 Кредит 76 - 50 руб. - отражен НДС по оформлению автомобиля;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76 Кредит 51- 300 руб. - оплачены расходы по оформлению автомобиля;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03 субсчет «Имущество для сдачи в прокат» Кредит 08-4 - 117750 руб. - автомобиль зачислен в состав основных средств для сдачи в прокат (на основании акта по форме № ОС-1);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68, субсчет «Расчеты по НДС» </w:t>
      </w:r>
      <w:r>
        <w:t xml:space="preserve"> </w:t>
      </w:r>
      <w:r w:rsidRPr="000A7F32">
        <w:t xml:space="preserve"> Кредит 19 - 23550 руб. – отражен НДС, принятый к вычету по оприходованному автомобилю.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Сдача автомобиля в прокат в учете отражена проводкой: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03, субсчет « Имущество сданное в прокат» </w:t>
      </w:r>
      <w:r>
        <w:t xml:space="preserve"> </w:t>
      </w:r>
      <w:r w:rsidRPr="000A7F32">
        <w:t xml:space="preserve"> Кредит 03, субсчет «Имущество для сдачи в прокат» - 117750 руб. - автомобиль передан в прокат (на основании акта приема-передачи).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В соответствии со ст. 258 НК РФ и с постановлением Правительства Российской Федерации от 1 января 2002 г. № 1 «О классификации основных средств, включаемых в амортизационные группы» легковой автомобиль относится к пятой амортизационной группе. </w:t>
      </w:r>
    </w:p>
    <w:p w:rsidR="007365AD" w:rsidRPr="000A7F32" w:rsidRDefault="007365AD" w:rsidP="007365AD">
      <w:pPr>
        <w:spacing w:before="120"/>
        <w:ind w:firstLine="567"/>
        <w:jc w:val="both"/>
      </w:pPr>
      <w:r>
        <w:t xml:space="preserve"> </w:t>
      </w:r>
      <w:r w:rsidRPr="000A7F32">
        <w:t xml:space="preserve"> Организация установила срок полезного использования автомобиля </w:t>
      </w:r>
      <w:r>
        <w:t xml:space="preserve"> </w:t>
      </w:r>
      <w:r w:rsidRPr="000A7F32">
        <w:t xml:space="preserve"> 7 лет и выбрала линейный метод начисления амортизации.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Норма амортизации определена по формуле: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К = (1 : n ) х 100 % ,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где К - норма амортизации;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n - срок полезного использования, выраженный в месяцах.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Норма амортизации для автомобиля (К) составляет: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1: 84 мес. х 100% = 1,19%.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Амортизация начисляет</w:t>
      </w:r>
      <w:r w:rsidRPr="000A7F32">
        <w:softHyphen/>
        <w:t>ся с месяца, следующего за меся</w:t>
      </w:r>
      <w:r w:rsidRPr="000A7F32">
        <w:softHyphen/>
        <w:t xml:space="preserve">цем принятия к учету автомобиля. Амортизация автомобиля должна начисляться с мая 2003 года. В каждом из 84 месяцев она будет равна: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117750 руб. х 1,19% = 1401,23 руб.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Начиная с мая, </w:t>
      </w:r>
      <w:r>
        <w:t xml:space="preserve"> </w:t>
      </w:r>
      <w:r w:rsidRPr="000A7F32">
        <w:t xml:space="preserve"> ежемесячно в учете делаются бухгалтерские про</w:t>
      </w:r>
      <w:r w:rsidRPr="000A7F32">
        <w:softHyphen/>
        <w:t xml:space="preserve">водки: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Дебет 20 Кредит 02 субсчет «Аморти</w:t>
      </w:r>
      <w:r w:rsidRPr="000A7F32">
        <w:softHyphen/>
        <w:t xml:space="preserve">зация имущества, сданного в прокат» - </w:t>
      </w:r>
      <w:r>
        <w:t xml:space="preserve"> </w:t>
      </w:r>
      <w:r w:rsidRPr="000A7F32">
        <w:t xml:space="preserve"> 1401,23 руб. - начислена амортиза</w:t>
      </w:r>
      <w:r w:rsidRPr="000A7F32">
        <w:softHyphen/>
        <w:t xml:space="preserve">ция по автомобилю.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Далее в бухгалтерском учете ежемесячно, начиная с мая, бу</w:t>
      </w:r>
      <w:r w:rsidRPr="000A7F32">
        <w:softHyphen/>
        <w:t xml:space="preserve">дут производиться следующие записи: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62 Кредит 90-1 – 3000 руб. - выставлен счет за прокат автомобиля. Доход зачислен в выручку от сдачи имущества в прокат;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90-3 Кредит 68, субсчет «Расчеты по НДС» - </w:t>
      </w:r>
      <w:r>
        <w:t xml:space="preserve"> </w:t>
      </w:r>
      <w:r w:rsidRPr="000A7F32">
        <w:t xml:space="preserve"> 500 руб. - начислен НДС с выручки от сдачи автомобиля в прокат;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90-2 Кредит 20 - 1401,23 руб. - списаны затраты по сдаче автомобиля в прокат;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Дебет 90-9 Кредит 99 - 1098,77 руб. - определен финансо</w:t>
      </w:r>
      <w:r w:rsidRPr="000A7F32">
        <w:softHyphen/>
        <w:t xml:space="preserve">вый результат от сдачи автомобиля в прокат.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В декабре автомобиль был возвращен арендатором. Материальные ценности, учтенные на счете 03, списываются с баланса организации аналогично списанию основных средств, учтенных на счете 01.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03, субсчет «Имущество для сдачи в прокат» Кредит 03, субсчет «Имущество, сданное в прокат» - 117750 руб. - автомобиль возвращен в организацию;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В декабре организация приняла решение продать автомобиль по цене 126000 руб., в том числе НДС 21000 руб.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Выбытие и реализация автомобиля отражаются следующими проводками: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Дебет 03, субсчет «Выбытие матери</w:t>
      </w:r>
      <w:r w:rsidRPr="000A7F32">
        <w:softHyphen/>
        <w:t>альных ценностей» Кредит 03 субсчет «Имущество для сдачи в прокат» - 117750руб. - отражена первона</w:t>
      </w:r>
      <w:r w:rsidRPr="000A7F32">
        <w:softHyphen/>
        <w:t xml:space="preserve">чальная стоимость автомобиля;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Дебет 62 Кредит 91-1 - 126000 руб. - отражена задолжен</w:t>
      </w:r>
      <w:r w:rsidRPr="000A7F32">
        <w:softHyphen/>
        <w:t xml:space="preserve">ность покупателя;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91-3 Кредит 68, субсчет «Расчеты по НДС» - </w:t>
      </w:r>
      <w:r>
        <w:t xml:space="preserve"> </w:t>
      </w:r>
      <w:r w:rsidRPr="000A7F32">
        <w:t xml:space="preserve"> 21000 руб. - начислен НДС к упла</w:t>
      </w:r>
      <w:r w:rsidRPr="000A7F32">
        <w:softHyphen/>
        <w:t xml:space="preserve">те в бюджет;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Дебет 02 субсчет «Амортизация иму</w:t>
      </w:r>
      <w:r w:rsidRPr="000A7F32">
        <w:softHyphen/>
        <w:t xml:space="preserve">щества, сданного в прокат» Кредит 03 субсчет «Выбытие материальных ценностей» - </w:t>
      </w:r>
      <w:r>
        <w:t xml:space="preserve"> </w:t>
      </w:r>
      <w:r w:rsidRPr="000A7F32">
        <w:t xml:space="preserve"> 11209,84 руб. - списана сумма начисленной амортизации по декабрь включительно;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>Дебет 91-2 Кредит 03 субсчет «Выбытие материальных ценностей» - 106540,16 руб. - списана остаточ</w:t>
      </w:r>
      <w:r w:rsidRPr="000A7F32">
        <w:softHyphen/>
        <w:t xml:space="preserve">ная стоимость автомобиля;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Дебет 99 Кредит 91-9 - 1540,16 руб. - отражена прибыль от реализации автомобиля. </w:t>
      </w:r>
      <w:r>
        <w:t xml:space="preserve"> </w:t>
      </w:r>
      <w:r w:rsidRPr="000A7F32">
        <w:t xml:space="preserve"> Оказание услуг по прокату материальных ценностей населению </w:t>
      </w:r>
      <w:r>
        <w:t xml:space="preserve"> </w:t>
      </w:r>
      <w:r w:rsidRPr="000A7F32">
        <w:t xml:space="preserve">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При осуществлении организациями (индивидуальными предпринимателями) деятельности по оказании услуг населению по прокату материальных ценностей </w:t>
      </w:r>
      <w:r>
        <w:t xml:space="preserve"> </w:t>
      </w:r>
      <w:r w:rsidRPr="000A7F32">
        <w:t xml:space="preserve"> используются бланки строгой отчетности при оказании бытовых услуг населению по формам БО-3, БО-6, БО-9, утвержденных Минфином России Письмом от 20.04.1995 № 16-00-30-33. Эти бланки </w:t>
      </w:r>
      <w:r>
        <w:t xml:space="preserve"> </w:t>
      </w:r>
      <w:r w:rsidRPr="000A7F32">
        <w:t xml:space="preserve"> рекомендованы к применению при оказании услуг по прокату Письмом Госналогслужбы России от 31.03.1998 № ВК-6-16/210.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Порядок заполнения и применения названных форм бланков осуществляется в соответствии письмом Госналогслужбы РФ от 22.06.1995 г. № ЮУ-4-14/29н «О формах документов строгой отчетности для учета наличных денежных средств без применения контрольно - кассовых машин», содержащим «Методические указаниями по заполнению и применению форм бланков строгой отчетности, применяемых при оказании бытовых услуг предприятиями всех форм собственности, а также при индивидуальной трудовой деятельности». </w:t>
      </w:r>
    </w:p>
    <w:p w:rsidR="007365AD" w:rsidRPr="000A7F32" w:rsidRDefault="007365AD" w:rsidP="007365AD">
      <w:pPr>
        <w:spacing w:before="120"/>
        <w:ind w:firstLine="567"/>
        <w:jc w:val="both"/>
      </w:pPr>
      <w:r>
        <w:t xml:space="preserve"> </w:t>
      </w:r>
      <w:r w:rsidRPr="000A7F32">
        <w:t xml:space="preserve"> В данном случае актуальным является вопрос о применении контрольно - кассовых машин при оказании населению услуг по прокату.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В соответствии со ст.1 Закона РФ от 18.06.1993 № 5215-1 "О применении контрольно - кассовых машин при осуществлении денежных расчетов с населением" денежные расчеты с населением при оказании услуг производятся с обязательным применением контрольно - кассовых машин. </w:t>
      </w:r>
    </w:p>
    <w:p w:rsidR="007365AD" w:rsidRPr="000A7F32" w:rsidRDefault="007365AD" w:rsidP="007365AD">
      <w:pPr>
        <w:spacing w:before="120"/>
        <w:ind w:firstLine="567"/>
        <w:jc w:val="both"/>
      </w:pPr>
      <w:r w:rsidRPr="000A7F32">
        <w:t xml:space="preserve">Но из п.1 Перечня, утвержденного Постановлением Совета Министров - Правительства Российской Федерации от 30.07.1993 № 745, следует, что при оказании услуг населению применение контрольно - кассовых машин не обязательно при условии выдачи организациями (индивидуальными предпринимателями) документов строгой отчетности, приравниваемых к чекам, по формам, утвержденным Министерством финансов Российской Федерации по согласованию с Государственной межведомственной экспертной комиссией по контрольно - кассовым машинам. </w:t>
      </w:r>
    </w:p>
    <w:p w:rsidR="007365AD" w:rsidRDefault="007365AD" w:rsidP="007365AD">
      <w:pPr>
        <w:spacing w:before="120"/>
        <w:ind w:firstLine="567"/>
        <w:jc w:val="both"/>
      </w:pPr>
      <w:r w:rsidRPr="000A7F32">
        <w:t xml:space="preserve">Таким образом, при оказании услуг по прокату обязательное применение контрольно - кассовых машин не требуется, поскольку населению выдаются документы строгой отчетности по установленным формам БО-3 </w:t>
      </w:r>
      <w:r>
        <w:t xml:space="preserve"> </w:t>
      </w:r>
      <w:r w:rsidRPr="000A7F32">
        <w:t xml:space="preserve"> "Наряд - заказ", "Квитанция", "Копия квитанции"; БО-6 "Обязательство - квитанция", "Копия обязательства - квитанции"; БО-9 "Кассовая ведомость приема выручки", "Копия кассовой ведомости приема выручки". </w:t>
      </w:r>
      <w:r>
        <w:t xml:space="preserve"> </w:t>
      </w:r>
      <w:r w:rsidRPr="000A7F32">
        <w:t xml:space="preserve"> 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5AD"/>
    <w:rsid w:val="000A7F32"/>
    <w:rsid w:val="00252F2A"/>
    <w:rsid w:val="00534978"/>
    <w:rsid w:val="007365AD"/>
    <w:rsid w:val="00DF71FB"/>
    <w:rsid w:val="00E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193725-5CF2-499C-B043-A7FF1DE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A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65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10157</Words>
  <Characters>5790</Characters>
  <Application>Microsoft Office Word</Application>
  <DocSecurity>0</DocSecurity>
  <Lines>48</Lines>
  <Paragraphs>31</Paragraphs>
  <ScaleCrop>false</ScaleCrop>
  <Company>Home</Company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по договору проката</dc:title>
  <dc:subject/>
  <dc:creator>User</dc:creator>
  <cp:keywords/>
  <dc:description/>
  <cp:lastModifiedBy>admin</cp:lastModifiedBy>
  <cp:revision>2</cp:revision>
  <dcterms:created xsi:type="dcterms:W3CDTF">2014-01-25T21:07:00Z</dcterms:created>
  <dcterms:modified xsi:type="dcterms:W3CDTF">2014-01-25T21:07:00Z</dcterms:modified>
</cp:coreProperties>
</file>