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EA" w:rsidRDefault="00D305EA">
      <w:pPr>
        <w:pStyle w:val="a3"/>
        <w:spacing w:before="100" w:after="100"/>
        <w:ind w:left="142" w:firstLine="425"/>
        <w:jc w:val="center"/>
        <w:rPr>
          <w:sz w:val="28"/>
        </w:rPr>
      </w:pPr>
      <w:r>
        <w:rPr>
          <w:sz w:val="28"/>
        </w:rPr>
        <w:t>Московский Государственный Университет Сервиса</w:t>
      </w:r>
    </w:p>
    <w:p w:rsidR="00D305EA" w:rsidRDefault="00D305EA">
      <w:pPr>
        <w:pStyle w:val="a3"/>
        <w:spacing w:before="100" w:after="100"/>
        <w:ind w:left="142" w:firstLine="425"/>
        <w:jc w:val="center"/>
        <w:rPr>
          <w:sz w:val="28"/>
        </w:rPr>
      </w:pPr>
      <w:r>
        <w:rPr>
          <w:sz w:val="28"/>
        </w:rPr>
        <w:t>Поволжский Технологический Институт Сервиса</w:t>
      </w:r>
    </w:p>
    <w:p w:rsidR="00D305EA" w:rsidRDefault="00D305EA"/>
    <w:p w:rsidR="00D305EA" w:rsidRDefault="00D305EA"/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pStyle w:val="2"/>
        <w:rPr>
          <w:sz w:val="24"/>
        </w:rPr>
      </w:pPr>
      <w:r>
        <w:rPr>
          <w:sz w:val="24"/>
        </w:rPr>
        <w:t>Кафедра: «Бухгалтерский учёт и аудит»</w:t>
      </w: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pStyle w:val="3"/>
        <w:rPr>
          <w:b/>
          <w:sz w:val="56"/>
        </w:rPr>
      </w:pPr>
      <w:r>
        <w:rPr>
          <w:b/>
          <w:sz w:val="56"/>
        </w:rPr>
        <w:t>Индивидуальная работа</w:t>
      </w:r>
    </w:p>
    <w:p w:rsidR="00D305EA" w:rsidRDefault="00D305EA">
      <w:pPr>
        <w:jc w:val="center"/>
        <w:rPr>
          <w:sz w:val="28"/>
        </w:rPr>
      </w:pPr>
    </w:p>
    <w:p w:rsidR="00D305EA" w:rsidRDefault="00D305EA">
      <w:pPr>
        <w:jc w:val="center"/>
        <w:rPr>
          <w:sz w:val="28"/>
        </w:rPr>
      </w:pPr>
    </w:p>
    <w:p w:rsidR="00D305EA" w:rsidRDefault="00D305EA">
      <w:pPr>
        <w:jc w:val="center"/>
        <w:rPr>
          <w:sz w:val="28"/>
        </w:rPr>
      </w:pPr>
      <w:r>
        <w:rPr>
          <w:sz w:val="28"/>
        </w:rPr>
        <w:t>по предмету: Учёт в банках, биржах и фондах</w:t>
      </w:r>
    </w:p>
    <w:p w:rsidR="00D305EA" w:rsidRDefault="00D305EA">
      <w:pPr>
        <w:jc w:val="center"/>
        <w:rPr>
          <w:sz w:val="28"/>
        </w:rPr>
      </w:pPr>
    </w:p>
    <w:p w:rsidR="00D305EA" w:rsidRDefault="00D305EA">
      <w:pPr>
        <w:jc w:val="center"/>
        <w:rPr>
          <w:sz w:val="32"/>
        </w:rPr>
      </w:pPr>
      <w:r>
        <w:rPr>
          <w:sz w:val="28"/>
        </w:rPr>
        <w:t xml:space="preserve">на тему: </w:t>
      </w:r>
      <w:r>
        <w:rPr>
          <w:sz w:val="32"/>
        </w:rPr>
        <w:t xml:space="preserve">Учёт расходов негосударственных </w:t>
      </w:r>
    </w:p>
    <w:p w:rsidR="00D305EA" w:rsidRDefault="00D305EA">
      <w:pPr>
        <w:jc w:val="center"/>
        <w:rPr>
          <w:sz w:val="28"/>
        </w:rPr>
      </w:pPr>
      <w:r>
        <w:rPr>
          <w:sz w:val="32"/>
        </w:rPr>
        <w:t>непенсионных фондов</w:t>
      </w:r>
    </w:p>
    <w:p w:rsidR="00D305EA" w:rsidRDefault="00D305EA">
      <w:pPr>
        <w:jc w:val="center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pStyle w:val="2"/>
      </w:pPr>
      <w:r>
        <w:t>Подготовила: студентка</w:t>
      </w:r>
    </w:p>
    <w:p w:rsidR="00D305EA" w:rsidRDefault="00D305EA">
      <w:pPr>
        <w:pStyle w:val="2"/>
      </w:pPr>
      <w:r>
        <w:t xml:space="preserve"> группы Ф – 402</w:t>
      </w:r>
    </w:p>
    <w:p w:rsidR="00D305EA" w:rsidRDefault="00D305EA">
      <w:pPr>
        <w:jc w:val="right"/>
        <w:rPr>
          <w:sz w:val="28"/>
        </w:rPr>
      </w:pPr>
      <w:r>
        <w:rPr>
          <w:sz w:val="28"/>
        </w:rPr>
        <w:t>Сёмина Н.А.</w:t>
      </w:r>
    </w:p>
    <w:p w:rsidR="00D305EA" w:rsidRDefault="00D305EA">
      <w:pPr>
        <w:jc w:val="right"/>
        <w:rPr>
          <w:sz w:val="28"/>
        </w:rPr>
      </w:pPr>
      <w:r>
        <w:rPr>
          <w:sz w:val="28"/>
        </w:rPr>
        <w:t>Проверила: Келарева Е.В.</w:t>
      </w: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jc w:val="right"/>
        <w:rPr>
          <w:sz w:val="28"/>
        </w:rPr>
      </w:pPr>
    </w:p>
    <w:p w:rsidR="00D305EA" w:rsidRDefault="00D305EA">
      <w:pPr>
        <w:pStyle w:val="3"/>
      </w:pPr>
    </w:p>
    <w:p w:rsidR="00D305EA" w:rsidRDefault="00D305EA">
      <w:pPr>
        <w:pStyle w:val="3"/>
      </w:pPr>
      <w:r>
        <w:t>Тольятти 2001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b/>
          <w:sz w:val="28"/>
        </w:rPr>
      </w:pPr>
    </w:p>
    <w:p w:rsidR="00D305EA" w:rsidRDefault="00D305EA">
      <w:pPr>
        <w:pStyle w:val="4"/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D305EA" w:rsidRDefault="00D305EA">
      <w:pPr>
        <w:spacing w:line="360" w:lineRule="auto"/>
        <w:rPr>
          <w:sz w:val="28"/>
        </w:rPr>
      </w:pPr>
    </w:p>
    <w:p w:rsidR="00D305EA" w:rsidRDefault="00D305EA">
      <w:pPr>
        <w:spacing w:line="360" w:lineRule="auto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стр.</w:t>
      </w:r>
    </w:p>
    <w:p w:rsidR="00D305EA" w:rsidRDefault="00D305E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Учёт расходов негосударственных пенсионных фондов;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5</w:t>
      </w:r>
    </w:p>
    <w:p w:rsidR="00D305EA" w:rsidRDefault="00D305E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План счетов негосударственных пенсионных фондов;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9</w:t>
      </w:r>
    </w:p>
    <w:p w:rsidR="00D305EA" w:rsidRDefault="00D305E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Введение специализированных депозитариев в системы НПФ;</w:t>
      </w:r>
      <w:r>
        <w:rPr>
          <w:sz w:val="28"/>
        </w:rPr>
        <w:tab/>
      </w:r>
      <w:r>
        <w:rPr>
          <w:sz w:val="28"/>
        </w:rPr>
        <w:tab/>
        <w:t xml:space="preserve">  10</w:t>
      </w:r>
    </w:p>
    <w:p w:rsidR="00D305EA" w:rsidRDefault="00D305EA">
      <w:pPr>
        <w:spacing w:line="360" w:lineRule="auto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11</w:t>
      </w:r>
    </w:p>
    <w:p w:rsidR="00D305EA" w:rsidRDefault="00D305EA">
      <w:pPr>
        <w:spacing w:line="360" w:lineRule="auto"/>
        <w:rPr>
          <w:sz w:val="28"/>
        </w:rPr>
      </w:pPr>
      <w:r>
        <w:rPr>
          <w:sz w:val="28"/>
        </w:rPr>
        <w:t>Список использованной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12</w:t>
      </w:r>
    </w:p>
    <w:p w:rsidR="00D305EA" w:rsidRDefault="00D305EA">
      <w:pPr>
        <w:spacing w:line="360" w:lineRule="auto"/>
        <w:rPr>
          <w:sz w:val="28"/>
        </w:rPr>
      </w:pPr>
    </w:p>
    <w:p w:rsidR="00D305EA" w:rsidRDefault="00D305EA">
      <w:pPr>
        <w:spacing w:line="360" w:lineRule="auto"/>
        <w:rPr>
          <w:sz w:val="28"/>
        </w:rPr>
      </w:pPr>
    </w:p>
    <w:p w:rsidR="00D305EA" w:rsidRDefault="00D305EA">
      <w:pPr>
        <w:rPr>
          <w:sz w:val="28"/>
        </w:rPr>
      </w:pPr>
    </w:p>
    <w:p w:rsidR="00D305EA" w:rsidRDefault="00D305EA"/>
    <w:p w:rsidR="00D305EA" w:rsidRDefault="00D305EA"/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b/>
          <w:sz w:val="28"/>
        </w:rPr>
      </w:pPr>
    </w:p>
    <w:p w:rsidR="00D305EA" w:rsidRDefault="00D305EA">
      <w:pPr>
        <w:pStyle w:val="a3"/>
        <w:spacing w:before="100" w:after="100" w:line="360" w:lineRule="auto"/>
        <w:ind w:left="142" w:firstLine="425"/>
        <w:jc w:val="center"/>
        <w:rPr>
          <w:b/>
          <w:sz w:val="28"/>
        </w:rPr>
      </w:pPr>
      <w:r>
        <w:rPr>
          <w:b/>
          <w:color w:val="FF0000"/>
          <w:sz w:val="28"/>
        </w:rPr>
        <w:br w:type="page"/>
      </w:r>
      <w:r>
        <w:rPr>
          <w:b/>
          <w:sz w:val="28"/>
        </w:rPr>
        <w:t>Введение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>Пенсионная реформа в России предусматривает создание системы пенсионного обеспечения, которая основана на многоступенчатом подходе к формированию пенсии. Первую ступень будут составлять базовые пенсии, вторую – трудовые и третью – негосударственные пенсии. Негосударственное пенсионное обеспечение, согласно концепции реформы, призвана создать основу пенсионного содержания населения страны. Следовательно, пенсионное содержание будет состоять из государственных и дополнительных, государственных поступлений, формируемых за счёт различных пенсионных программ предприятий, организаций, административно-территориальных образований, личного пенсионного страхования граждан, производящих накопление денежных средств в страховых компаниях или негосударственных пенсионных фондах.</w:t>
      </w:r>
    </w:p>
    <w:p w:rsidR="00D305EA" w:rsidRDefault="00D305EA">
      <w:pPr>
        <w:pStyle w:val="30"/>
      </w:pPr>
      <w:r>
        <w:t>Негосударственный пенсионный фонд – это особое организационно-правовая форма некоммерческой организации социального обеспечения, исключительным видом деятельности которой является пенсионное обеспечение участников фонда, осуществляемая на основе договора.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Собственное имущество фонда подразделяется на имущество, предназначенное для обеспечения основной деятельности фонда, и пенсионные резервы. Имущество фонда формируется за счёт вкладов учредителей, целевых вносов вкладчиков, доходов фонда от размещения пенсионных резервов, благотворительных взносов и других поступлений. Для обеспечения платёжеспособности по обязательствам перед участниками фонд формирует страховой и пенсионные резервы. Источниками их формирования является пенсионные взносы и доходы фонда от размещения пенсионных взносов.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Размещение пенсионных резервов осуществляется на принципах надёжности, сохранности, ликвидности, доходности и диверсификации.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Соблюдение принципа надёжности в размещении пенсионных резервов предполагает инвестирование их в: </w:t>
      </w:r>
    </w:p>
    <w:p w:rsidR="00D305EA" w:rsidRDefault="00D305EA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государственные ценные бумаги;</w:t>
      </w:r>
    </w:p>
    <w:p w:rsidR="00D305EA" w:rsidRDefault="00D305EA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ценные бумаги, выпущенные в обращение органами местного самоуправления РФ;</w:t>
      </w:r>
    </w:p>
    <w:p w:rsidR="00D305EA" w:rsidRDefault="00D305EA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корпоративные ценные бумаги, при отсутствии у акционерных обществ признаков неплатёжеспособности.</w:t>
      </w:r>
    </w:p>
    <w:p w:rsidR="00D305EA" w:rsidRDefault="00D305EA">
      <w:pPr>
        <w:pStyle w:val="30"/>
      </w:pPr>
      <w:r>
        <w:t xml:space="preserve">Принцип сохранности предусматривает неизменность инвестиционного состояния пенсионных резервов с течением времени при различных экономических и финансовых процессах. 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Понятие ликвидности означает способность пенсионных резервов менять свою форму без ощутимых материальных потерь для владельца.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Доходность пенсионных резервов представляют собой свойство, характеризующее доход от размещаемых резервов в количественном выражении.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Понятие диверсификации – это необходимость вложений  средств негосударственных пенсионных фондов в разнообразные источники доходов. </w:t>
      </w:r>
    </w:p>
    <w:p w:rsidR="00D305EA" w:rsidRDefault="00D305E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данной индивидуальной работе будут подробнее рассмотрены вопросы учёта расходов негосударственных пенсионных фондов.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center"/>
        <w:rPr>
          <w:b/>
          <w:sz w:val="28"/>
        </w:rPr>
      </w:pPr>
      <w:r>
        <w:rPr>
          <w:b/>
          <w:color w:val="FF0000"/>
          <w:sz w:val="28"/>
        </w:rPr>
        <w:br w:type="page"/>
      </w:r>
      <w:r>
        <w:rPr>
          <w:b/>
          <w:sz w:val="28"/>
        </w:rPr>
        <w:t>1. Учёт расходов Негосударственных Пенсионных Фондов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С 1 ЯНВАРЯ текущего года в силу вступил Закон “О пенсионном обеспечении в РФ”, определяющий правовые и социальные основы пенсионного обеспечения граждан. Процесс развития новой пенсионной реформы оказал влияние на финансовую сферу деятельности. В первую очередь, он отразился на бухгалтериях юридических лиц. Уже сейчас работники учетно-финансовой сферы приступили к оформлению документов по пенсионным отчисления. Именно бухгалтерам одним из первых пришлось прочувствовать на себе веяния новых реформ.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Основными принципами пенсионной реформы являются переход от государственной к накопительной системе пенсионного обеспечения, эффективность инвестирования в сочетании с безопасностью пенсионных накоплений, обеспечение права наследования граждан на накопления в негосударственной пенсионной системе.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Новая система пенсионного обеспечения предусматривает наличие новых видов юридических лиц, так называемых институтов, к которым относятся Государственный центр по выплате пенсий, Национальное пенсионное агентство, Государственный накопительный пенсионный фонд. Также появляется сеть негосударственных пенсионных фондов, банки-кастодианы, компании по управлению пенсионными активами. Все эти институты необходимы для претворения в целом пенсионной реформы. Каждый из них выполняет свою функцию и имеет свою специфическую особенность в части ведения бухгалтерского учета.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В связи с этим департаментом методологии бухгалтерского учета и аудита Министерства финансов РФ разработан и утвержден СБУ 19 (стандарт бухгалтерского учета) “Учет и составление отчетности негосударственным добровольным пенсионным фондом”. К нему разработаны методические рекомендации, которые устанавливают порядок ведения бухгалтерского учета и составление отчетности негосударственным добровольным пенсионным фондом по пенсионным активам. В следующем разработанном СБУ 16 “Учет расходов на пенсионное обеспечение” определены порядок учета затрат на пенсионное обеспечение и раскрытия их в финансовой отчетности.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В предоставленном документе департаментом методологии бухучета и аудита отмечены основные положения, соответствующие ведению бухучета в пенсионной системе, которые “ДН” предлагает вниманию читателей.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В соответствии с законодательством по пенсионному обеспечению негосударственный накопительный пенсионный фонд осуществляет сбор обязательных и добровольных пенсионных взносов вкладчиков и пенсионные выплаты получателям, а также деятельность по формированию пенсионных активов и инвестирование их через компании по управлению пенсионными активами.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Фонд должен обеспечить раздельный учет движения собственных средств (фонд учредителя) и пенсионных накоплений (фонд получателя), который заключается в ведении двух комплектов регистров бухгалтерского учета. Первый регистр предназначен для ведения бухгалтерского учета по операциям движения собственных средств учредителей фонда. Второй - в части операций по движению пенсионных накоплений, складывающихся из поступающих пенсионных взносов вкладчиков и работодателей сумм инвестиционного дохода, полученного от размещения пенсионных активов в финансовые инструменты (ценные бумаги, банковские депозитные сертификаты и т.д.).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Фонд должен вести обязательный персонифицированный учет пенсионных активов, которые должны храниться обособленно в банках-кастодианах в соответствии с кастодиальным договором. Персонифицированный учет пенсионных активов заключается в открытии на каждого вкладчика (получателя) лицевого счета на основании пенсионного договора, заключенного между вкладчиком и негосударственным накопительным пенсионным фондом. При этом каждому присваивается социальный индивидуальный код, обеспечивающий контроль за своевременностью и правильностью поступлений пенсионных взносов. Причем хранящаяся информация на персонифицированном счете является конфиденциальной.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Фонд составляет финансовую отчетность в части средств фонда учредителей: бухгалтерский баланс, отчет о результатах финансово-хозяйственной деятельности, отчет о движении денежных средств и пояснительную записку к финансовой отчетности в соответствии с СБУ 2 “Бухгалтерский баланс и основные раскрытия в финансовых отчетах “, СБУ 3 “Отчет о результатах финансово-хозяйственной деятельности”, СБУ 4 “Отчет о движении денежных средств”.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Бухгалтерский баланс, полученный на основе бухгалтерского учета по операциям фонда получателя (по пенсионным активам), трансформируется в “Отчет о чистых активах” и “Отчет об изменениях в чистых активах”. Их порядок составления приведен в методических рекомендациях к СБУ 10 “Учет и составление отчетности негосударственным добровольным пенсионным фондом”. Раздельное ведение учета и составление отчетности по операциям движения собственных средств учредителей и пенсионных накоплений преследует цель не смешивать учет собственных средств и учет пенсионных активов, так как фонд несет ответственность перед вкладчиками за сохранность пенсионных накоплений.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Компания по управлению пенсионными активами осуществляет инвестиционное управление пенсионными активами негосударственных накопительных пенсионных фондов на основании договора, заключенного между ними.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Инвестиционное управление пенсионными активами заключается в размещении их в государственные ценные бумаги РК, ценные бумаги международных финансовых организаций (согласно списку, утвержденному уполномоченным органом), банковские депозитные сертификаты, а также на депозиты в банках второго уровня по перечню, определенному Национальным банком РК. Сумма инвестиционного дохода, полученного от размещения принятых в управление пенсионных активов, за минусом суммы комиссионных вознаграждений, причитающихся субъектам, работающим в пенсионной системе, распределяется между вкладчиками (получателями) пропорционально суммам на каждом лицевом счете.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Компания должна также обеспечить раздельный учет движения собственных средств и пенсионных активов, принятых в управление от негосударственных накопительных пенсионных фондов. Это проводится в целях разграничения между собственными средствами компании и пенсионными активами, принятыми в управление от негосударственных накопительных пенсионных фондов, так как согласно законодательству, компания несет ответственность за сохранность пенсионных активов, принятых в управление. В соответствии с законодательством по пенсионному обеспечению компания должна создать резервный капитал, который будет обеспечивать сохранность пенсионных активов, принятых в управление. Этот резерв создается за счет собственных средств компании в размерах, установленных уполномоченным органом. Также согласно данному законодательству установлены обязательные к соблюдению компаниями по управлению пенсионными активами пруденциальные нормативы. </w:t>
      </w:r>
    </w:p>
    <w:p w:rsidR="00D305EA" w:rsidRDefault="00D305EA">
      <w:pPr>
        <w:pStyle w:val="a3"/>
        <w:spacing w:before="100" w:after="100" w:line="360" w:lineRule="auto"/>
        <w:ind w:left="142" w:firstLine="425"/>
        <w:jc w:val="both"/>
        <w:rPr>
          <w:sz w:val="28"/>
          <w:lang w:val="en-US"/>
        </w:rPr>
      </w:pPr>
      <w:r>
        <w:rPr>
          <w:sz w:val="28"/>
        </w:rPr>
        <w:t>На сегодняшний день департаментом методологии бухучета и аудита продолжается работа по разработке нормативных правовых актов, регулирующих порядок ведения учета и составление финансовой отчетности компаниями по управлению пенсионными активами.</w:t>
      </w:r>
    </w:p>
    <w:p w:rsidR="00D305EA" w:rsidRDefault="00D305EA">
      <w:pPr>
        <w:pStyle w:val="1"/>
        <w:spacing w:line="360" w:lineRule="auto"/>
        <w:ind w:left="142" w:firstLine="425"/>
        <w:jc w:val="center"/>
        <w:rPr>
          <w:color w:val="auto"/>
        </w:rPr>
      </w:pPr>
      <w:r>
        <w:rPr>
          <w:color w:val="auto"/>
        </w:rPr>
        <w:t>2. План счетов Негосударственных Пенсионных Фондов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счета 74 - для учета расчетов по пенсионным выплатам с субсчетами: 74-1 - расчеты по негосударственным пенсиям; 74-2 - расчеты по выкупным суммам при досрочном расторжении договоров; 74-3 - расчеты по наследуемым суммам; счета 89 - для учета движения пенсионного резерва фонда с субсчетами: 89-1 - резерв будущих пенсионных выплат; 89-2 - резерв наследуемых сумм; 89-3 - резерв выкупных сумм при расторжении договоров; 89-4 - пенсионный страховой резерв;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счета 86 "Резервный капитал" (субсчет "Собственный резерв Фонда"); счетов 06, 08, 58 и 76 - для учета инвестирования активов негосударственного пенсионного фонда; счета 80 с субсчетами: 80-1 для учета полученного (начисленного) от КУАПФ инвестиционного дохода; 80-2 для учета дохода от инвестирования собственных средств и операций по самостоятельному размещению пенсионных активов фонда; счета 26 - для учета расходов на ведение дела; счета 96 - для учета целевых поступлений с субсчетами: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  <w:lang w:val="en-US"/>
        </w:rPr>
      </w:pPr>
      <w:r>
        <w:rPr>
          <w:sz w:val="28"/>
        </w:rPr>
        <w:t>96-1 для учета поступления пенсионных взносов до зачисления в пенсионный резерв; 96-2 для учета целевых средств на покрытие расходов на ведение дела. 2.2 С учетом перечисленных счетов основным операциям, сопутствующим деятельности негосударственных пенсионных фондов, будут соответствовать бухгалтерские проводки, приведенные в таблице 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  <w:lang w:val="en-US"/>
        </w:rPr>
      </w:pPr>
    </w:p>
    <w:p w:rsidR="00D305EA" w:rsidRDefault="00D305EA">
      <w:pPr>
        <w:pStyle w:val="a4"/>
      </w:pPr>
      <w:r>
        <w:t>3. Введение специализированных депозитариев в систему НПФ.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Учет за размещением средств негосударственных пенсионных фондов (НПФ) с 1 октября будет осуществляться спецдепозитариями. Такая система вводится в действие в связи с подписанным постановлением "О депозитарной деятельности", предполагающим новую систему обслуживания и осуществления контроля за негосударственными пенсионными фондами. Об этом на конференции "Негосударственное пенсионное обеспечение в 2000 году" сообщил руководитель Инспекции НПФ Владимир Мудраков.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Введение специализированных депозитариев в систему НПФ позволит существенно увеличить контроль за сохранением средств граждан, отметил В.Мудраков. В свою очередь, заместитель председателя ФКЦБ Владимир Миловидов, выступая на конференции, указал, что стоимость услуг спецдепозитариев для НПФ будет составлять около 5% дохода, полученного от размещения фондами пенсионных резервов.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Представители Инспекции НПФ в целях усиления контроля за деятельностью фондов считают также необходимым введение для НПФ новых форм отчетности, а также модернизации способов ее предоставления.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На конференции еще раз было отмечено, что система НПФ представляет собой достойную альтернативу существующей государственной пенсионной системе.</w:t>
      </w:r>
    </w:p>
    <w:p w:rsidR="00D305EA" w:rsidRDefault="00D305EA">
      <w:pPr>
        <w:spacing w:line="360" w:lineRule="auto"/>
        <w:ind w:left="142" w:firstLine="425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Заключение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В данной индивидуальной работе были рассмотрены вопросы учёта расходов негосударственных пенсионных фондов, план счетов НПФ и введение специализированных депозитариев в систему НПФ.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Негосударственные пенсионные фонды – это новая форма некоммерческих образований, основная цель функционирования которых сводится к организации социальной защиты населения путём создания системы негосударственного пенсионного обеспечения. Негосударственные пенсионные фонды имеют собственное имущество, которое подразделяется на имущество, предназначенное для обеспечения деятельности фонда, и пенсионные резервы.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Источниками образования имущества фонда является вклады учредителей, целевые взносы вкладчиков, благотворительные взносы, доходы от размещения пенсионных резервов. Учредительные документы фонда представлены уставом и учредительным договором. 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>Правила инвестирования активов негосударственных пенсионных фондов предусматривают их размещение в государственные ценные бумаги, ценные бумаги органов исполнительной власти субъектов РФ и органов местного самоуправления, банковские вклады (депозиты), корпоративные ценные бумаги, недвижимое имущество, валютные ценности и денежные средства.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r>
        <w:rPr>
          <w:sz w:val="28"/>
        </w:rPr>
        <w:t xml:space="preserve">Управляющие компании, размещая пенсионные резервы фондов, руководствуются целями их сохранения и прироста в интересах участников. Принципы размещения пенсионных резервов следующие: надёжность, ликвидность, доходность на основе диверсификации вложений. Надёжность и платёжеспособность негосударственных пенсионных фондов и компаний по управлению их активами зависит от выбора направлений размещения активов фонда. </w:t>
      </w:r>
    </w:p>
    <w:p w:rsidR="00D305EA" w:rsidRDefault="00D305EA">
      <w:pPr>
        <w:spacing w:line="360" w:lineRule="auto"/>
        <w:ind w:left="142" w:firstLine="425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</w:t>
      </w: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</w:p>
    <w:p w:rsidR="00D305EA" w:rsidRDefault="00D305EA">
      <w:pPr>
        <w:pStyle w:val="20"/>
        <w:numPr>
          <w:ilvl w:val="0"/>
          <w:numId w:val="2"/>
        </w:numPr>
      </w:pPr>
      <w:r>
        <w:t>Гражданский кодекс Российской Федерации. Часть первая;</w:t>
      </w:r>
    </w:p>
    <w:p w:rsidR="00D305EA" w:rsidRDefault="00D305EA">
      <w:pPr>
        <w:pStyle w:val="20"/>
        <w:numPr>
          <w:ilvl w:val="0"/>
          <w:numId w:val="2"/>
        </w:numPr>
      </w:pPr>
      <w:r>
        <w:t>Закон РСФСР «Об основах бюджетных прав и прав по формированию и использованию внебюджетных фондов» от 15 апреля 1993 г.           № 4807 – 1;</w:t>
      </w:r>
    </w:p>
    <w:p w:rsidR="00D305EA" w:rsidRDefault="00D305EA">
      <w:pPr>
        <w:pStyle w:val="20"/>
        <w:numPr>
          <w:ilvl w:val="0"/>
          <w:numId w:val="2"/>
        </w:numPr>
      </w:pPr>
      <w:r>
        <w:t>Обзоры СМИ: Учет за размещением средств негосударственных пенсионных фондов с 1 октября будет осуществляться спецдепозитариями; 22.06.2000 г.;</w:t>
      </w:r>
    </w:p>
    <w:p w:rsidR="00D305EA" w:rsidRDefault="00D305E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Килячков А.А., Чалдаева Л.А., Рынок ценных бумаг и биржевое дело. – М.: Юристъ, 2001. – 704 с.;</w:t>
      </w:r>
    </w:p>
    <w:p w:rsidR="00D305EA" w:rsidRDefault="00D305EA">
      <w:pPr>
        <w:spacing w:line="360" w:lineRule="auto"/>
        <w:ind w:left="142" w:firstLine="426"/>
        <w:jc w:val="both"/>
        <w:rPr>
          <w:sz w:val="28"/>
        </w:rPr>
      </w:pPr>
    </w:p>
    <w:p w:rsidR="00D305EA" w:rsidRDefault="00D305EA">
      <w:pPr>
        <w:spacing w:line="360" w:lineRule="auto"/>
        <w:ind w:left="142" w:firstLine="425"/>
        <w:jc w:val="both"/>
        <w:rPr>
          <w:sz w:val="28"/>
        </w:rPr>
      </w:pPr>
      <w:bookmarkStart w:id="0" w:name="_GoBack"/>
      <w:bookmarkEnd w:id="0"/>
    </w:p>
    <w:sectPr w:rsidR="00D305E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EA" w:rsidRDefault="00D305EA">
      <w:r>
        <w:separator/>
      </w:r>
    </w:p>
  </w:endnote>
  <w:endnote w:type="continuationSeparator" w:id="0">
    <w:p w:rsidR="00D305EA" w:rsidRDefault="00D3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EA" w:rsidRDefault="00D305E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10</w:t>
    </w:r>
  </w:p>
  <w:p w:rsidR="00D305EA" w:rsidRDefault="00D30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EA" w:rsidRDefault="00D305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EA" w:rsidRDefault="00D305EA">
      <w:r>
        <w:separator/>
      </w:r>
    </w:p>
  </w:footnote>
  <w:footnote w:type="continuationSeparator" w:id="0">
    <w:p w:rsidR="00D305EA" w:rsidRDefault="00D3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EA" w:rsidRDefault="00D305EA">
    <w:pPr>
      <w:pStyle w:val="a7"/>
      <w:framePr w:wrap="around" w:vAnchor="text" w:hAnchor="margin" w:xAlign="right" w:y="1"/>
      <w:rPr>
        <w:rStyle w:val="a6"/>
      </w:rPr>
    </w:pPr>
  </w:p>
  <w:p w:rsidR="00D305EA" w:rsidRDefault="00D305E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EA" w:rsidRDefault="00F4266F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D305EA" w:rsidRDefault="00D305E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A36BC3"/>
    <w:multiLevelType w:val="singleLevel"/>
    <w:tmpl w:val="D404504A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2">
    <w:nsid w:val="5A2927E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6F"/>
    <w:rsid w:val="00234081"/>
    <w:rsid w:val="00D305EA"/>
    <w:rsid w:val="00DD6974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FC1C-60C8-45CD-83E3-CF4FB89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FF0000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styleId="a4">
    <w:name w:val="Body Text Indent"/>
    <w:basedOn w:val="a"/>
    <w:semiHidden/>
    <w:pPr>
      <w:spacing w:line="360" w:lineRule="auto"/>
      <w:ind w:left="142" w:firstLine="425"/>
      <w:jc w:val="center"/>
    </w:pPr>
    <w:rPr>
      <w:b/>
      <w:sz w:val="28"/>
    </w:rPr>
  </w:style>
  <w:style w:type="paragraph" w:styleId="20">
    <w:name w:val="Body Text Indent 2"/>
    <w:basedOn w:val="a"/>
    <w:semiHidden/>
    <w:pPr>
      <w:spacing w:line="360" w:lineRule="auto"/>
      <w:ind w:firstLine="426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 фонда</vt:lpstr>
    </vt:vector>
  </TitlesOfParts>
  <Company>Home Sweet Home</Company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фонда</dc:title>
  <dc:subject/>
  <dc:creator>Galina</dc:creator>
  <cp:keywords/>
  <cp:lastModifiedBy>Irina</cp:lastModifiedBy>
  <cp:revision>2</cp:revision>
  <dcterms:created xsi:type="dcterms:W3CDTF">2014-08-04T13:29:00Z</dcterms:created>
  <dcterms:modified xsi:type="dcterms:W3CDTF">2014-08-04T13:29:00Z</dcterms:modified>
</cp:coreProperties>
</file>