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both"/>
        <w:rPr>
          <w:b/>
          <w:bCs/>
          <w:sz w:val="28"/>
          <w:szCs w:val="28"/>
        </w:rPr>
      </w:pPr>
    </w:p>
    <w:p w:rsidR="009101EA" w:rsidRPr="009101EA" w:rsidRDefault="009101EA" w:rsidP="009101EA">
      <w:pPr>
        <w:pStyle w:val="Default"/>
        <w:shd w:val="clear" w:color="000000" w:fill="auto"/>
        <w:spacing w:line="360" w:lineRule="auto"/>
        <w:ind w:firstLine="709"/>
        <w:jc w:val="center"/>
        <w:rPr>
          <w:b/>
          <w:bCs/>
          <w:sz w:val="28"/>
          <w:szCs w:val="28"/>
        </w:rPr>
      </w:pPr>
      <w:r w:rsidRPr="009101EA">
        <w:rPr>
          <w:b/>
          <w:bCs/>
          <w:sz w:val="28"/>
          <w:szCs w:val="28"/>
        </w:rPr>
        <w:t>Уголовная ответственность за экстремизм</w:t>
      </w:r>
    </w:p>
    <w:p w:rsidR="009101EA" w:rsidRPr="009101EA" w:rsidRDefault="009101EA" w:rsidP="009101EA">
      <w:pPr>
        <w:pStyle w:val="Default"/>
        <w:shd w:val="clear" w:color="000000" w:fill="auto"/>
        <w:spacing w:line="360" w:lineRule="auto"/>
        <w:ind w:firstLine="709"/>
        <w:jc w:val="both"/>
        <w:rPr>
          <w:b/>
          <w:bCs/>
          <w:sz w:val="28"/>
          <w:szCs w:val="28"/>
        </w:rPr>
      </w:pPr>
    </w:p>
    <w:p w:rsidR="00761482" w:rsidRPr="009101EA" w:rsidRDefault="009101EA" w:rsidP="009101EA">
      <w:pPr>
        <w:pStyle w:val="Default"/>
        <w:shd w:val="clear" w:color="000000" w:fill="auto"/>
        <w:spacing w:line="360" w:lineRule="auto"/>
        <w:ind w:firstLine="709"/>
        <w:jc w:val="both"/>
        <w:rPr>
          <w:b/>
          <w:bCs/>
          <w:sz w:val="28"/>
          <w:szCs w:val="28"/>
        </w:rPr>
      </w:pPr>
      <w:r w:rsidRPr="009101EA">
        <w:rPr>
          <w:b/>
          <w:bCs/>
          <w:sz w:val="28"/>
          <w:szCs w:val="28"/>
        </w:rPr>
        <w:br w:type="page"/>
      </w:r>
      <w:r w:rsidR="00761482" w:rsidRPr="009101EA">
        <w:rPr>
          <w:b/>
          <w:bCs/>
          <w:sz w:val="28"/>
          <w:szCs w:val="28"/>
        </w:rPr>
        <w:t>Введение</w:t>
      </w:r>
    </w:p>
    <w:p w:rsidR="009101EA" w:rsidRPr="009101EA" w:rsidRDefault="009101EA" w:rsidP="009101EA">
      <w:pPr>
        <w:pStyle w:val="Default"/>
        <w:shd w:val="clear" w:color="000000" w:fill="auto"/>
        <w:spacing w:line="360" w:lineRule="auto"/>
        <w:ind w:firstLine="709"/>
        <w:jc w:val="both"/>
        <w:rPr>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Понятие экстремизма как крайнего политического течения предполагает наличие точки отсчета, от которой оно определяется. Особая трудность в установлении критериев политического экстремизма подстерегает те общества и политические системы, в которых политический центр окончательно не оформился, не стал общепринятым и в известной степени привычным для данного общества. Этот центр может определяться с точки зрения сегодняшней системы, авторитетных систем за рубежом, системы прошлого, некой идеальной модели и т.д.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Методологически видится два основания определения политического экстремизма. Первый подход состоит в том, что центр понимается в качестве существующей сегодня политической системы и доминирующей политической идеологии, а экстремизм – это те проявления, которые не приемлют именно такой центр. Второй подход исходит из существования неприемлемых действий, которые могут признаваться в качестве экстремистских.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Последний принцип берется в большинстве случаев в качестве оснований понимания экстремизма в законодательстве многих стран, что делает более практическим отделение экстремистской деятельности от оппозиционной. Отечественный закон “О противодействии экстремистской деятельности” (</w:t>
      </w:r>
      <w:smartTag w:uri="urn:schemas-microsoft-com:office:smarttags" w:element="metricconverter">
        <w:smartTagPr>
          <w:attr w:name="ProductID" w:val="2002 г"/>
        </w:smartTagPr>
        <w:r w:rsidRPr="009101EA">
          <w:rPr>
            <w:sz w:val="28"/>
            <w:szCs w:val="28"/>
          </w:rPr>
          <w:t>2002 г</w:t>
        </w:r>
      </w:smartTag>
      <w:r w:rsidRPr="009101EA">
        <w:rPr>
          <w:sz w:val="28"/>
          <w:szCs w:val="28"/>
        </w:rPr>
        <w:t xml:space="preserve">.) использует отчасти как первое, так и второе основание, причем второе - более широко.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Поскольку само понятие “экстремизм” (возникает и вопрос о его разграничении с радикализмом) в политической науке является дискуссионным, постольку в реальной практике оно для большего усиления нередко смешивается с различного рода насильственными (уголовными) действиями – терроризмом, участием в незаконных вооруженных формированиях и др. </w:t>
      </w:r>
    </w:p>
    <w:p w:rsidR="00761482" w:rsidRPr="009101EA" w:rsidRDefault="00761482" w:rsidP="009101EA">
      <w:pPr>
        <w:pStyle w:val="Default"/>
        <w:shd w:val="clear" w:color="000000" w:fill="auto"/>
        <w:spacing w:line="360" w:lineRule="auto"/>
        <w:ind w:firstLine="709"/>
        <w:jc w:val="both"/>
        <w:rPr>
          <w:b/>
          <w:bCs/>
          <w:sz w:val="28"/>
          <w:szCs w:val="28"/>
        </w:rPr>
      </w:pPr>
    </w:p>
    <w:p w:rsidR="00077163" w:rsidRPr="009101EA" w:rsidRDefault="009101EA" w:rsidP="009101EA">
      <w:pPr>
        <w:pStyle w:val="Default"/>
        <w:shd w:val="clear" w:color="000000" w:fill="auto"/>
        <w:spacing w:line="360" w:lineRule="auto"/>
        <w:ind w:firstLine="709"/>
        <w:jc w:val="both"/>
        <w:rPr>
          <w:sz w:val="28"/>
          <w:szCs w:val="28"/>
        </w:rPr>
      </w:pPr>
      <w:r w:rsidRPr="009101EA">
        <w:rPr>
          <w:b/>
          <w:bCs/>
          <w:sz w:val="28"/>
          <w:szCs w:val="28"/>
        </w:rPr>
        <w:br w:type="page"/>
      </w:r>
      <w:r w:rsidR="00077163" w:rsidRPr="009101EA">
        <w:rPr>
          <w:b/>
          <w:bCs/>
          <w:sz w:val="28"/>
          <w:szCs w:val="28"/>
        </w:rPr>
        <w:t>Причины усиления борьбы с экстремизмом в России и мире</w:t>
      </w:r>
    </w:p>
    <w:p w:rsidR="009101EA" w:rsidRPr="009101EA" w:rsidRDefault="009101EA" w:rsidP="009101EA">
      <w:pPr>
        <w:pStyle w:val="Default"/>
        <w:shd w:val="clear" w:color="000000" w:fill="auto"/>
        <w:spacing w:line="360" w:lineRule="auto"/>
        <w:ind w:firstLine="709"/>
        <w:jc w:val="both"/>
        <w:rPr>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Обостряются так называемые межцивилизационные отношения между государствами как в борьбе за ресурсы, так и за более справедливое их перераспределение. Ослабленность или зависимость национальных государств приводит к появлению несистемных организаций, готовых добиваться соответственно понимаемой справедливости для своих народов. Не случайно экстремизм растет среди религиозных, национальных и в меньшей мере – среди партийно-политических организаций.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Тенденция утраты веры в возможности государства сделать общество более справедливым отражается и в стремлении предъявить ему счет в виде открытого или пассивного протеста.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Это приводит государство к необходимости защищаться против усиливающегося организованного давления на него и устанавливаемого им социального порядка.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Усиление борьбы с экстремизмом ведется не только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 (из Федерального закона “О противодействии экстремистской деятельности”).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Сегодняшняя борьба с экстремизмом затрагивает гораздо более тонкие сферы, которые не могут трактоваться столь однозначно: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унижение национального достоинства; а равно по мотивам ненависти либо вражды в отношении какой-либо социальной группы;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(все положения взяты из вышеупомянутого Федерального закона).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Как, например, установить, что унижает, а что не унижает национальное достоинство?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Российский закон к экстремистским материалам относит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При таком широком подходе к определению экстремистских материалов к ним можно отнести немало философской, социологической и политической литературы, ставшей как частью широкой культуры, вне зависимости от ее оценки, так и современных авторов. К этому кругу относятся как труды Гобино, Гитлера, Розенберга, так и работы многочисленных авторов, описывающих преимущества (превосходство, избранность, высшие качества и др.) своих народов перед другими народами, - от богоизбранности до проживания в месте, где наилучшим образом осуществляется контакт с космосом. Следует учитывать также, что до XIX века подавляющая часть человечества не разделяла идей правового или социального равенства людей, а в настоящее время национализм продолжает оставаться одной из самых распространенных идеологий в мире. Как известно, Аристотель был убежденным сторонником изначального неравенства народов и превосходства греков во всех отношениях перед другими народами, которые в совокупности назывались им варварами. Является ли эта публикация Аристотеля, с точки зрения закона, обосновывающей или оправдывающей национальное и (или) расовое превосходство и, следовательно, экстремистским материалом?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Грань применения или неприменения закона в такой ситуации размыта, условна и может оправдываться степенью оценки давления на государство.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Тем не менее, законодатели, и не только у нас в стране, идут на ужесточение санкций в отношении экстремизма, зачисляя в качестве экстремистских те религиозные, национальные, этнические, политические действия и основания деятельности, которые рассматриваются как угрозы для государства или его основ. Например, во многих западных странах произведения Гитлера, Муссолини и других идеологов фашизма, нацизма не являются запрещенными, а свободно продаются в книжных магазинах.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Общей же линией является стремление государства защититься от угроз со стороны экстремистов за счет расширения сферы действия запретов, применения санкций на более ранних этапах возможных противоправных действий. </w:t>
      </w:r>
    </w:p>
    <w:p w:rsidR="00761482" w:rsidRPr="009101EA" w:rsidRDefault="00761482" w:rsidP="009101EA">
      <w:pPr>
        <w:pStyle w:val="Default"/>
        <w:shd w:val="clear" w:color="000000" w:fill="auto"/>
        <w:spacing w:line="360" w:lineRule="auto"/>
        <w:ind w:firstLine="709"/>
        <w:jc w:val="both"/>
        <w:rPr>
          <w:b/>
          <w:bCs/>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b/>
          <w:bCs/>
          <w:sz w:val="28"/>
          <w:szCs w:val="28"/>
        </w:rPr>
        <w:t>Отечественное законодательство о борьбе с экстремизмом и опыт его использования</w:t>
      </w:r>
    </w:p>
    <w:p w:rsidR="003B0C64" w:rsidRDefault="003B0C64" w:rsidP="009101EA">
      <w:pPr>
        <w:pStyle w:val="Default"/>
        <w:shd w:val="clear" w:color="000000" w:fill="auto"/>
        <w:spacing w:line="360" w:lineRule="auto"/>
        <w:ind w:firstLine="709"/>
        <w:jc w:val="both"/>
        <w:rPr>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В Конституции Российской Федерации перечисляется целый ряд противоправных действий, которые могут быть причислены к экстремистским. Это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(п.5 ст.13).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Развитие законодательства в реальной практике шло как по пути раскрытия конституционных положений, так и вытекало из реальной практики конфликтов.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Характерна региональная специфика законодательства по борьбе с экстремизмом. Например, Народное Собрание Республики Дагестан 16 сентября </w:t>
      </w:r>
      <w:smartTag w:uri="urn:schemas-microsoft-com:office:smarttags" w:element="metricconverter">
        <w:smartTagPr>
          <w:attr w:name="ProductID" w:val="1999 г"/>
        </w:smartTagPr>
        <w:r w:rsidRPr="009101EA">
          <w:rPr>
            <w:sz w:val="28"/>
            <w:szCs w:val="28"/>
          </w:rPr>
          <w:t>1999 г</w:t>
        </w:r>
      </w:smartTag>
      <w:r w:rsidRPr="009101EA">
        <w:rPr>
          <w:sz w:val="28"/>
          <w:szCs w:val="28"/>
        </w:rPr>
        <w:t xml:space="preserve">. приняло Закон Республики Дагестан "О запрете ваххабитской и иной экстремистской деятельности на территории Республики Дагестан", в котором запрещается создание и функционирование ваххабитских и других экстремистских организаций. Согласно Закону, их деятельность признается противоречащей конституции республики, угрожающей ее территориальной целостности и безопасности. При этом налагается запрет на обучение в отечественных и зарубежных религиозных учебных заведениях без направления и согласия государственного органа по делам религий Республики Дагестан, устанавливается государственный контроль за программами обучения в религиозных республиканских учреждениях. </w:t>
      </w:r>
    </w:p>
    <w:p w:rsidR="00761482"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Наибольшее число претензий и опасений вызывает действующая редакция Федерального закона “О противодействии экстремистской деятельности”. Применение отдельных статей закона породило волну его критики, причем правоприменители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Вместе с тем, тревожные примеры использования Федерального закона существуют, так недавно в Ставропольском крае судили этноконфликтолога В.А.Авксентьева по обвинению в разжигании межнациональной розни за приведение в научной работе примеров мнений отдельных людей. В результате ученый был оправдан.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Формально наиболее уязвимыми с точки зрения закона, становятся средства массовой информации, ученые, религиозные организации, сторонники последних априори считают нормальным превосходство по признаку принадлежности к определенной религии, свою религию и ее последователей лучше другой. Однако пока полноценное применение этого Федерального закона не происходит.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С нашей точки зрения, требуется серьезная доработка закона “О противодействии экстремистской деятельности”, в первую очередь, в направлении более четкого и операционального выделения экстремистских действий, особенно тех, которые не связаны с насилием. Иначе создается ситуация, когда закон в отношении одних может быть применен, а в отношении других - не применяться. А если так, то получается, что именно законодатель создает двусмысленные ситуации, провоцирующие правоохранительные органы на самостоятельное толкование норм закона и принятие решений по их применению или неприменению. </w:t>
      </w:r>
    </w:p>
    <w:p w:rsidR="00761482" w:rsidRPr="009101EA" w:rsidRDefault="00761482" w:rsidP="009101EA">
      <w:pPr>
        <w:pStyle w:val="Default"/>
        <w:shd w:val="clear" w:color="000000" w:fill="auto"/>
        <w:spacing w:line="360" w:lineRule="auto"/>
        <w:ind w:firstLine="709"/>
        <w:jc w:val="both"/>
        <w:rPr>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b/>
          <w:bCs/>
          <w:sz w:val="28"/>
          <w:szCs w:val="28"/>
        </w:rPr>
        <w:t xml:space="preserve">Признаки незаконного вооруженного формирования как вида преступного объединения </w:t>
      </w:r>
    </w:p>
    <w:p w:rsidR="009101EA" w:rsidRPr="009101EA" w:rsidRDefault="009101EA" w:rsidP="009101EA">
      <w:pPr>
        <w:pStyle w:val="Default"/>
        <w:shd w:val="clear" w:color="000000" w:fill="auto"/>
        <w:spacing w:line="360" w:lineRule="auto"/>
        <w:ind w:firstLine="709"/>
        <w:jc w:val="both"/>
        <w:rPr>
          <w:sz w:val="28"/>
          <w:szCs w:val="28"/>
        </w:rPr>
      </w:pP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УК под незаконным вооруженным формированием понимает объединение, отряд, дружину или иную группу, не предусмотренную федеральным законом. Соответственно у данного преступного объединения есть три признака, на основании которых мы можем отделять его от всех остальных: 1) формирование; 2) вооруженность; 3) незаконность. </w:t>
      </w:r>
    </w:p>
    <w:p w:rsidR="00761482"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Уголовный закон раскрывает содержание термина «формирование» через перечисление тех социальных институтов, которые являются его видами: объединение, отряд, дружина или иная группа. Как справедливо отмечает профессор В.С. Комиссаров, «диапазон численности формирования может быть достаточно широким и различаться в десятки раз». Иными словами, формирование – прежде всего, группа, состоящая, согласно ст. 35 УК, из двух и более человек.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Второй признак незаконного вооруженного формирования – незаконность. УК расшифровывает эту черту довольно спорно – как не предусмотренность федеральным законом, то есть отсутствие усмотрения о нем хотя бы в одном из действующих федеральных законов. Возникает вопрос: считать ли незаконным формирование, не предусмотренное в федеральных законах, но осуществляющее свою деятельность на основе иных нормативно-правовых актов? Понятно, что незаконное вооруженное формирование имеет место быть в том случае, если основано исключительно на подзаконном акте (как имеющем меньшую юридическую силу) или законодательстве субъектов РФ (в соответствии с п. «м» ст. 71 Конституции РФ оборона и безопасность относятся к исключительному ведению РФ). Как быть тогда, когда такое формирование будет основано лишь на федеральном конституционном законе или же только на федеральной Конституции? В настоящее время подобных формирований не существует, однако, этот факт не может служить гарантией того, что ничего похожего в будущем не произойдет.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Кроме того, еще одной проблемой здесь является то, что в действительности ни одно из существующих на законных основаниях воинских формирований прямо не предусмотрено ни в одном из федеральных законов. Даже ФЗ «Об обороне» содержит указание единственно на общий состав Вооруженных сил РФ, состоящих «из центральных органов военного управления, объединений, соединений, воинских частей и организаций…». Не представляется возможным также рассматривать Вооруженные силы в качестве единого вооруженного формирования, предусмотренного названным законом, так как не все входящие в его состав структурные подразделения имеют какое-либо вооружение.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Сказанное в значительной степени относится и к различным войсковым казачьим обществам. ФЗ «О государственной службе российского казачества» вообще не предусматривает возможность вооружения этих некоммерческих организаций. Следовательно, буквально трактуя нормы закона, презюмируется незаконность вооруженных казачьих обществ.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Видимо, стоит иначе сформулировать данный признак в уголовном законе. Считаем, в диспозиции ст. 208 УК следует заменить слова «не предусмотренного федеральным законом» на «незаконного», а в примечании указать, что «в качестве незаконного необходимо рассматривать формирование, созданное и (или) функционирующее в нарушение Конституции РФ, федеральных конституционных законов, федеральных законов или подзаконных нормативных актов».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Третий признак незаконного вооруженного формирования состоит в вооруженности такого преступного объединения. Дискуссионными по сей день остаются вопросы определения перечня предметов вооружения и их минимального количества в расчете на одно незаконное вооруженное формирование или его члена. Полагаем, к вооружению следует относить выделяемые законодательством виды оружия43 (в том числе «обычное» и оружие массового поражения, а также средства его доставки), взрывчатые вещества и взрывные устройства, боеприпасы, военную технику, иное вооружение (например, средства связи, десантирования, навигационные приборы и радиолокационная аппаратура военного назначения, средства защиты от боевых отравляющих веществ и т.д.). </w:t>
      </w:r>
    </w:p>
    <w:p w:rsidR="00077163" w:rsidRPr="009101EA" w:rsidRDefault="00077163" w:rsidP="009101EA">
      <w:pPr>
        <w:pStyle w:val="Default"/>
        <w:shd w:val="clear" w:color="000000" w:fill="auto"/>
        <w:spacing w:line="360" w:lineRule="auto"/>
        <w:ind w:firstLine="709"/>
        <w:jc w:val="both"/>
        <w:rPr>
          <w:sz w:val="28"/>
          <w:szCs w:val="28"/>
        </w:rPr>
      </w:pPr>
      <w:r w:rsidRPr="009101EA">
        <w:rPr>
          <w:sz w:val="28"/>
          <w:szCs w:val="28"/>
        </w:rPr>
        <w:t xml:space="preserve">«Количественную» проблему, очевидно, следует решать, исходя из сущностных особенностей того или иного предмета вооружения. Если формирование относится к «пехотному» типу, то каждый, кто в нем состоит, должен иметь на вооружении хотя бы один указанный выше предмет, иначе это лицо не вооружено и в состав незаконного вооруженного формирования не входит. При этом такое формирование из десяти «пехотинцев» имеет не меньше десяти единиц вооружения – минимум по одному у каждого. Если присутствует незаконный артиллерийский расчет или экипаж танка, то любой из его членов и все формирование в целом вооружены. </w:t>
      </w:r>
    </w:p>
    <w:p w:rsidR="00224BC1" w:rsidRPr="009101EA" w:rsidRDefault="00077163" w:rsidP="009101EA">
      <w:pPr>
        <w:shd w:val="clear" w:color="000000" w:fill="auto"/>
        <w:spacing w:line="360" w:lineRule="auto"/>
        <w:ind w:firstLine="709"/>
        <w:jc w:val="both"/>
        <w:rPr>
          <w:sz w:val="28"/>
          <w:szCs w:val="28"/>
        </w:rPr>
      </w:pPr>
      <w:r w:rsidRPr="009101EA">
        <w:rPr>
          <w:sz w:val="28"/>
          <w:szCs w:val="28"/>
        </w:rPr>
        <w:t xml:space="preserve">Стоит обратить внимание, что неприменимым в отношении незаконных вооруженных формирований в «количественной» части вооруженности является п. 5 Постановления Пленума Верховного Суда РФ от 17 января </w:t>
      </w:r>
      <w:smartTag w:uri="urn:schemas-microsoft-com:office:smarttags" w:element="metricconverter">
        <w:smartTagPr>
          <w:attr w:name="ProductID" w:val="1997 г"/>
        </w:smartTagPr>
        <w:r w:rsidRPr="009101EA">
          <w:rPr>
            <w:sz w:val="28"/>
            <w:szCs w:val="28"/>
          </w:rPr>
          <w:t>1997 г</w:t>
        </w:r>
      </w:smartTag>
      <w:r w:rsidRPr="009101EA">
        <w:rPr>
          <w:sz w:val="28"/>
          <w:szCs w:val="28"/>
        </w:rPr>
        <w:t>. № 1 «О практике применения судами законодательства об ответственности за бандитизм», в котором определяется, что «банда признается вооруженной при наличии оружия хотя бы у одного из ее членов и осведомленности об этом других членов банды». В нем речь идет именно о вооруженности банды, а не вооруженности группы и, тем более, не о вооруженности незаконного вооруженного формирования.</w:t>
      </w:r>
    </w:p>
    <w:p w:rsidR="00077163" w:rsidRPr="009101EA" w:rsidRDefault="00077163" w:rsidP="009101EA">
      <w:pPr>
        <w:shd w:val="clear" w:color="000000" w:fill="auto"/>
        <w:spacing w:line="360" w:lineRule="auto"/>
        <w:ind w:firstLine="709"/>
        <w:jc w:val="both"/>
        <w:rPr>
          <w:sz w:val="28"/>
          <w:szCs w:val="28"/>
        </w:rPr>
      </w:pP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b/>
          <w:bCs/>
          <w:color w:val="000000"/>
          <w:sz w:val="28"/>
          <w:szCs w:val="28"/>
        </w:rPr>
        <w:t xml:space="preserve">Проблемы привлечения к уголовной ответственности при осуществлении экстремистской деятельности в сети Интернет </w:t>
      </w:r>
    </w:p>
    <w:p w:rsidR="009101EA" w:rsidRPr="009101EA" w:rsidRDefault="009101EA" w:rsidP="009101EA">
      <w:pPr>
        <w:shd w:val="clear" w:color="000000" w:fill="auto"/>
        <w:autoSpaceDE w:val="0"/>
        <w:autoSpaceDN w:val="0"/>
        <w:adjustRightInd w:val="0"/>
        <w:spacing w:line="360" w:lineRule="auto"/>
        <w:ind w:firstLine="709"/>
        <w:jc w:val="both"/>
        <w:rPr>
          <w:color w:val="000000"/>
          <w:sz w:val="28"/>
          <w:szCs w:val="28"/>
        </w:rPr>
      </w:pP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Сегодня невозможно отрицать тот факт, что Интернет с каждым днем играет все большую роль в нашей жизни. Однако столь широкая популярность данных коммуникационных сетей привела и к негативным последствиям, одним из таких можно назвать использование экстремистскими организациями Интернета в качестве своеобразной трибуны для пропаганды своих идей и вербовки новых сторонников.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Развернутое определение экстремизма (экстремистской деятельности) в национальном праве дано в ст.1 Федерального Закона «О противодействии экстремистской деятельности»57. Необходимо обратить внимание на те его элементы, реализация которых может быть осуществлена с использованием сети Интернет.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Во-первых, это размещение программных документов различных групп, содержащих информацию, побуждающую к насильственному изменению конституционного строя и нарушению целостности России,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и т.п.</w:t>
      </w:r>
      <w:r w:rsidR="00761482" w:rsidRPr="009101EA">
        <w:rPr>
          <w:color w:val="000000"/>
          <w:sz w:val="28"/>
          <w:szCs w:val="28"/>
        </w:rPr>
        <w:t xml:space="preserve"> </w:t>
      </w:r>
      <w:r w:rsidRPr="009101EA">
        <w:rPr>
          <w:color w:val="000000"/>
          <w:sz w:val="28"/>
          <w:szCs w:val="28"/>
        </w:rPr>
        <w:t xml:space="preserve">Интернет позволяет «легко, безопасно, дешево и без цензуры» распространять любую идеологию по всему миру (в том числе демонстрирование нацистской атрибутики или символики), что способствует формированию ранее не существовавшего единого неонацистского, расистского сообщества, которое вдохновляет своих членов на совершение актов насилия.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Во-вторых, активно используются участниками террористических и экстремистских организаций информационные ресурсы Интернета, позволяющие быстро и без дополнительных затрат найти разнообразные данные о способах изготовления самодельных взрывных устройств, методах осуществления преступлений террористического характера.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В-третьих, экстремистские группы используют Интернет для финансирования своей деятельности (финансирование сайтов через рекламу, трафики захождения на сайт и т.п.) либо иного содействия в планировании, организации, подготовке и совершении указанных действий (координация действий).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Именно поэтому особую актуальность приобретает вопрос наличия в российском законодательстве необходимых средств для борьбы с проявлениями экстремизма в Интернете. Уголовное законодательство позволяет привлекать к ответственности физических лиц за распространение некоторых видов «опасной» информации с использованием компьютерных сетей, в том числе Интернета. Публичность в качестве признака объективной стороны указана в диспозициях статей 205.2, 280,282 УК РФ. Определение ее содержания до недавнего времени не вызывало затруднений на практике. В большинстве работ под публичностью понимается открытое, гласное, предназначенное для широкого круга лиц выражение своего мнения в устной (выступлениях) или письменной (в непериодических печатных изданиях </w:t>
      </w:r>
      <w:r w:rsidR="00761482" w:rsidRPr="009101EA">
        <w:rPr>
          <w:color w:val="000000"/>
          <w:sz w:val="28"/>
          <w:szCs w:val="28"/>
        </w:rPr>
        <w:t>-</w:t>
      </w:r>
      <w:r w:rsidRPr="009101EA">
        <w:rPr>
          <w:color w:val="000000"/>
          <w:sz w:val="28"/>
          <w:szCs w:val="28"/>
        </w:rPr>
        <w:t xml:space="preserve"> книгах, плакатах, листовках, надписях и т. д.) форме. Однако на сегодняшний не окончательно решен вопрос, можно ли считать публичными призывы к осуществлению экстремистской, в том числе террористической, деятельности либо информацию, возбуждающую ненависть или вражду, или оправдывающие терроризм, распространенные в Интернете? По общему правилу, размещение информации в сети Интернет является публичным, т.к. данная информация адресована неопределенному кругу лиц. Но как рассматривать случаи, когда опубликование данных происходит в закрытых чатах, на страницах, к которым доступ имеет только строго ограниченное количество людей, или рассылка экстремистских писем определенным адресатам? Будет ли здесь присутствовать элемент публичности, либо подобные действия можно расценить как аспект свободы слова, или публичность либо ее отсутствие вообще не будет играть роли при квалификации?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Кроме того, одной из основных проблем, возникающих в связи с расследованием уголовных дел о преступлениях, совершенных с использованием сети Интернет, является определение субъекта преступления. Если экстремистская деятельность осуществляется при использовании домашнего «персонального» компьютера, то согласно положениям ст. 53 ФЗ «О связи»58, можно использовать информацию, подлежащую включению в базы данных об абонентах операторов связи. Однако таких данных попросту нет, в случае, если, например, информация была размещена при использовании компьютера в так называемых «Интернет-кафе» и «Интернет-клубах». Как в этом случае идентифицировать лицо, которое необходимо привлечь к ответственности? В различных странах принимаются специальные законы, регламентирующие порядок обязательной идентификации пользователей.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Ещё одним немаловажном вопросом при рассмотрении дел, связанных с распространением экстремистских материалов в сети Интернет, является вопрос ответственности модераторов. Например, в Швеции установлено, что модераторы форумов могут нести ответственность за размещенную на форумах информацию, более того, они обязаны осуществлять мониторинг поступающих сообщений. Что касается экстремистских сообщений, они должны быть своевременно удалены. Неисполнение обязанности по их изъятию считается преступлением, и наказываются тюремным заключением на срок от 2 до 6 месяцев. Что касается законодательства РФ – самостоятельного состава не существует и модераторы могут быть привлечены к уголовной ответственности, только в рамках института соучастия, однако, подобной практики в наших судах фактически не существует.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Обращаясь к проблеме ответственности модераторов, стоит также затронуть вопрос уголовной ответственности операторов связи и провайдеров. Во-первых, возникает вопрос, можно ли считать деятельность Интернет-провайдеров «предоставлением для осуществления экстремистской деятельности иных видов связи, материально-технических средств», как это указано в ст. 1 ФЗ «О противодействии экстремистской деятельности».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 xml:space="preserve">Во-вторых, необходимо определить критерии вменения им ответственности. В мировой практике данный вопрос решен не однозначно, однако, превалирует субъективное вменение: провайдер, предоставляющий хостинг знал о содержании информации либо не знал, но по обстоятельствам дела должен был или мог знать об этом. Кроме того, вторым критерием привлечения к ответственности является наличие технических возможностей у провайдеров блокировать передачу незаконной информации. Следует, однако, отметить, что для России данный вариант вменения невозможен, потому что юридические лица к уголовной ответственности не привлекаются, следовательно, для привлечения к уголовной ответственности необходимо искать иные механизмы. </w:t>
      </w:r>
    </w:p>
    <w:p w:rsidR="00077163" w:rsidRPr="009101EA" w:rsidRDefault="00077163" w:rsidP="009101EA">
      <w:pPr>
        <w:shd w:val="clear" w:color="000000" w:fill="auto"/>
        <w:autoSpaceDE w:val="0"/>
        <w:autoSpaceDN w:val="0"/>
        <w:adjustRightInd w:val="0"/>
        <w:spacing w:line="360" w:lineRule="auto"/>
        <w:ind w:firstLine="709"/>
        <w:jc w:val="both"/>
        <w:rPr>
          <w:color w:val="000000"/>
          <w:sz w:val="28"/>
          <w:szCs w:val="28"/>
        </w:rPr>
      </w:pPr>
      <w:r w:rsidRPr="009101EA">
        <w:rPr>
          <w:color w:val="000000"/>
          <w:sz w:val="28"/>
          <w:szCs w:val="28"/>
        </w:rPr>
        <w:t>Таким образом, фрагментарность и недостаточность законодательства стран</w:t>
      </w:r>
      <w:r w:rsidR="00761482" w:rsidRPr="009101EA">
        <w:rPr>
          <w:color w:val="000000"/>
          <w:sz w:val="28"/>
          <w:szCs w:val="28"/>
        </w:rPr>
        <w:t>-</w:t>
      </w:r>
      <w:r w:rsidRPr="009101EA">
        <w:rPr>
          <w:color w:val="000000"/>
          <w:sz w:val="28"/>
          <w:szCs w:val="28"/>
        </w:rPr>
        <w:t xml:space="preserve">участниц СНГ в сфере развития и использования глобальных технологий создают препятствия для реализации превентивного потенциала нормативных предписаний, направленных на борьбу с экстремизмом. </w:t>
      </w:r>
    </w:p>
    <w:p w:rsidR="00761482" w:rsidRPr="009101EA" w:rsidRDefault="00761482" w:rsidP="009101EA">
      <w:pPr>
        <w:shd w:val="clear" w:color="000000" w:fill="auto"/>
        <w:autoSpaceDE w:val="0"/>
        <w:autoSpaceDN w:val="0"/>
        <w:adjustRightInd w:val="0"/>
        <w:spacing w:line="360" w:lineRule="auto"/>
        <w:ind w:firstLine="709"/>
        <w:jc w:val="both"/>
        <w:rPr>
          <w:color w:val="000000"/>
          <w:sz w:val="28"/>
          <w:szCs w:val="28"/>
        </w:rPr>
      </w:pPr>
    </w:p>
    <w:p w:rsidR="00761482" w:rsidRPr="009101EA" w:rsidRDefault="00355BAC" w:rsidP="009101EA">
      <w:pPr>
        <w:shd w:val="clear" w:color="000000" w:fill="auto"/>
        <w:autoSpaceDE w:val="0"/>
        <w:autoSpaceDN w:val="0"/>
        <w:adjustRightInd w:val="0"/>
        <w:spacing w:line="360" w:lineRule="auto"/>
        <w:ind w:firstLine="709"/>
        <w:jc w:val="both"/>
        <w:rPr>
          <w:b/>
          <w:color w:val="000000"/>
          <w:sz w:val="28"/>
          <w:szCs w:val="28"/>
        </w:rPr>
      </w:pPr>
      <w:r w:rsidRPr="009101EA">
        <w:rPr>
          <w:b/>
          <w:color w:val="000000"/>
          <w:sz w:val="28"/>
          <w:szCs w:val="28"/>
        </w:rPr>
        <w:br w:type="page"/>
      </w:r>
      <w:r w:rsidR="00761482" w:rsidRPr="009101EA">
        <w:rPr>
          <w:b/>
          <w:color w:val="000000"/>
          <w:sz w:val="28"/>
          <w:szCs w:val="28"/>
        </w:rPr>
        <w:t>Заключение</w:t>
      </w:r>
    </w:p>
    <w:p w:rsidR="00355BAC" w:rsidRPr="009101EA" w:rsidRDefault="00355BAC" w:rsidP="009101EA">
      <w:pPr>
        <w:pStyle w:val="Default"/>
        <w:shd w:val="clear" w:color="000000" w:fill="auto"/>
        <w:spacing w:line="360" w:lineRule="auto"/>
        <w:ind w:firstLine="709"/>
        <w:jc w:val="both"/>
        <w:rPr>
          <w:sz w:val="28"/>
          <w:szCs w:val="28"/>
        </w:rPr>
      </w:pPr>
    </w:p>
    <w:p w:rsidR="00761482" w:rsidRPr="009101EA" w:rsidRDefault="00761482" w:rsidP="009101EA">
      <w:pPr>
        <w:pStyle w:val="Default"/>
        <w:shd w:val="clear" w:color="000000" w:fill="auto"/>
        <w:spacing w:line="360" w:lineRule="auto"/>
        <w:ind w:firstLine="709"/>
        <w:jc w:val="both"/>
        <w:rPr>
          <w:sz w:val="28"/>
          <w:szCs w:val="28"/>
        </w:rPr>
      </w:pPr>
      <w:r w:rsidRPr="009101EA">
        <w:rPr>
          <w:sz w:val="28"/>
          <w:szCs w:val="28"/>
        </w:rPr>
        <w:t xml:space="preserve">Возникновение и развитие новых противоречий в мире усилили тенденции к росту ослабленных государственных образований. Повсеместно в мире возросли претензии к государству, которое нередко рассматривается, как неспособное решить социальные задачи всего населения ни сегодня, ни в перспективе. Эта тенденция проявляется даже в западных странах, которые замещают свой собственный “пролетариат”, получивший доступ к “государству благосостояния”, на иноэтнических мигрантов, которые такого доступа не имеют. Определенное пренебрежение к государству проявляется не только среди отдельных групп населения, но и в политике элит. “Антигосударственный подход проявляется не только в неприятии роли государства в перераспределении благ, но и в негативном отношении к уровню налогообложения, а также к эффективности и мотивации блюстителей правопорядка. Он проявляется и в возросшем недоверии к бюрократам и экспертам… Он отражается и в растущем открытом пренебрежении к юридической практике и даже криминализации, возникающей как форма протеста… Сегодня, впервые со времен формирования системы модернити, мы переживаем период резкого снижения власти государства, причем в самых разных странах”. </w:t>
      </w:r>
    </w:p>
    <w:p w:rsidR="00761482" w:rsidRPr="009101EA" w:rsidRDefault="00761482" w:rsidP="009101EA">
      <w:pPr>
        <w:shd w:val="clear" w:color="000000" w:fill="auto"/>
        <w:autoSpaceDE w:val="0"/>
        <w:autoSpaceDN w:val="0"/>
        <w:adjustRightInd w:val="0"/>
        <w:spacing w:line="360" w:lineRule="auto"/>
        <w:ind w:firstLine="709"/>
        <w:jc w:val="both"/>
        <w:rPr>
          <w:color w:val="000000"/>
          <w:sz w:val="28"/>
          <w:szCs w:val="28"/>
        </w:rPr>
      </w:pPr>
    </w:p>
    <w:p w:rsidR="00761482" w:rsidRPr="009101EA" w:rsidRDefault="00355BAC" w:rsidP="009101EA">
      <w:pPr>
        <w:shd w:val="clear" w:color="000000" w:fill="auto"/>
        <w:autoSpaceDE w:val="0"/>
        <w:autoSpaceDN w:val="0"/>
        <w:adjustRightInd w:val="0"/>
        <w:spacing w:line="360" w:lineRule="auto"/>
        <w:ind w:firstLine="709"/>
        <w:jc w:val="both"/>
        <w:rPr>
          <w:b/>
          <w:color w:val="000000"/>
          <w:sz w:val="28"/>
          <w:szCs w:val="28"/>
        </w:rPr>
      </w:pPr>
      <w:r w:rsidRPr="009101EA">
        <w:rPr>
          <w:b/>
          <w:color w:val="000000"/>
          <w:sz w:val="28"/>
          <w:szCs w:val="28"/>
        </w:rPr>
        <w:br w:type="page"/>
      </w:r>
      <w:r w:rsidR="00761482" w:rsidRPr="009101EA">
        <w:rPr>
          <w:b/>
          <w:color w:val="000000"/>
          <w:sz w:val="28"/>
          <w:szCs w:val="28"/>
        </w:rPr>
        <w:t>Список литературы</w:t>
      </w:r>
    </w:p>
    <w:p w:rsidR="009101EA" w:rsidRPr="009101EA" w:rsidRDefault="009101EA" w:rsidP="009101EA">
      <w:pPr>
        <w:shd w:val="clear" w:color="000000" w:fill="auto"/>
        <w:autoSpaceDE w:val="0"/>
        <w:autoSpaceDN w:val="0"/>
        <w:adjustRightInd w:val="0"/>
        <w:spacing w:line="360" w:lineRule="auto"/>
        <w:ind w:firstLine="709"/>
        <w:jc w:val="both"/>
        <w:rPr>
          <w:b/>
          <w:color w:val="000000"/>
          <w:sz w:val="28"/>
          <w:szCs w:val="28"/>
        </w:rPr>
      </w:pPr>
    </w:p>
    <w:p w:rsidR="00761482" w:rsidRPr="009101EA" w:rsidRDefault="00761482" w:rsidP="009101EA">
      <w:pPr>
        <w:pStyle w:val="Default"/>
        <w:numPr>
          <w:ilvl w:val="0"/>
          <w:numId w:val="3"/>
        </w:numPr>
        <w:shd w:val="clear" w:color="000000" w:fill="auto"/>
        <w:tabs>
          <w:tab w:val="clear" w:pos="720"/>
          <w:tab w:val="num" w:pos="480"/>
        </w:tabs>
        <w:spacing w:line="360" w:lineRule="auto"/>
        <w:ind w:left="0" w:firstLine="0"/>
        <w:jc w:val="both"/>
        <w:rPr>
          <w:sz w:val="28"/>
          <w:szCs w:val="28"/>
        </w:rPr>
      </w:pPr>
      <w:r w:rsidRPr="009101EA">
        <w:rPr>
          <w:sz w:val="28"/>
          <w:szCs w:val="28"/>
        </w:rPr>
        <w:t>Курс уголовного права. Том 4. Особенная часть / Под ред. Г.Н. Борзенкова и В.С. Комиссарова. – М.: ИКД «Зерцало-М», 2006.</w:t>
      </w:r>
    </w:p>
    <w:p w:rsidR="00761482" w:rsidRPr="009101EA" w:rsidRDefault="00761482" w:rsidP="009101EA">
      <w:pPr>
        <w:numPr>
          <w:ilvl w:val="0"/>
          <w:numId w:val="3"/>
        </w:numPr>
        <w:shd w:val="clear" w:color="000000" w:fill="auto"/>
        <w:tabs>
          <w:tab w:val="clear" w:pos="720"/>
          <w:tab w:val="num" w:pos="480"/>
        </w:tabs>
        <w:autoSpaceDE w:val="0"/>
        <w:autoSpaceDN w:val="0"/>
        <w:adjustRightInd w:val="0"/>
        <w:spacing w:line="360" w:lineRule="auto"/>
        <w:ind w:left="0" w:firstLine="0"/>
        <w:jc w:val="both"/>
        <w:rPr>
          <w:color w:val="000000"/>
          <w:sz w:val="28"/>
          <w:szCs w:val="28"/>
        </w:rPr>
      </w:pPr>
      <w:r w:rsidRPr="009101EA">
        <w:rPr>
          <w:color w:val="000000"/>
          <w:sz w:val="28"/>
          <w:szCs w:val="28"/>
        </w:rPr>
        <w:t xml:space="preserve">Номоконов В.А. Терроризм с помощью Интернета// Терроризм в России и проблемы системного реагирования. Сб.-М. 2008. </w:t>
      </w:r>
    </w:p>
    <w:p w:rsidR="00761482" w:rsidRPr="009101EA" w:rsidRDefault="00761482" w:rsidP="009101EA">
      <w:pPr>
        <w:numPr>
          <w:ilvl w:val="0"/>
          <w:numId w:val="3"/>
        </w:numPr>
        <w:shd w:val="clear" w:color="000000" w:fill="auto"/>
        <w:tabs>
          <w:tab w:val="clear" w:pos="720"/>
          <w:tab w:val="num" w:pos="480"/>
        </w:tabs>
        <w:autoSpaceDE w:val="0"/>
        <w:autoSpaceDN w:val="0"/>
        <w:adjustRightInd w:val="0"/>
        <w:spacing w:line="360" w:lineRule="auto"/>
        <w:ind w:left="0" w:firstLine="0"/>
        <w:jc w:val="both"/>
        <w:rPr>
          <w:color w:val="000000"/>
          <w:sz w:val="28"/>
          <w:szCs w:val="28"/>
        </w:rPr>
      </w:pPr>
      <w:r w:rsidRPr="009101EA">
        <w:rPr>
          <w:color w:val="000000"/>
          <w:sz w:val="28"/>
          <w:szCs w:val="28"/>
        </w:rPr>
        <w:t>Демьянчук Е.В. Интернет как объект оперативно-розыскной деятельности// Информатизация и Информационная безопасность правоохранительных органов: Сб.-М.2007.</w:t>
      </w:r>
    </w:p>
    <w:p w:rsidR="00761482" w:rsidRPr="009101EA" w:rsidRDefault="00761482" w:rsidP="009101EA">
      <w:pPr>
        <w:numPr>
          <w:ilvl w:val="0"/>
          <w:numId w:val="3"/>
        </w:numPr>
        <w:shd w:val="clear" w:color="000000" w:fill="auto"/>
        <w:tabs>
          <w:tab w:val="clear" w:pos="720"/>
          <w:tab w:val="num" w:pos="480"/>
        </w:tabs>
        <w:autoSpaceDE w:val="0"/>
        <w:autoSpaceDN w:val="0"/>
        <w:adjustRightInd w:val="0"/>
        <w:spacing w:line="360" w:lineRule="auto"/>
        <w:ind w:left="0" w:firstLine="0"/>
        <w:jc w:val="both"/>
        <w:rPr>
          <w:color w:val="000000"/>
          <w:sz w:val="28"/>
          <w:szCs w:val="28"/>
        </w:rPr>
      </w:pPr>
      <w:r w:rsidRPr="009101EA">
        <w:rPr>
          <w:color w:val="000000"/>
          <w:sz w:val="28"/>
          <w:szCs w:val="28"/>
        </w:rPr>
        <w:t>Бурковская В.А. Правовое обеспечение борьбы с распространением экстремистских материалов в Интернете//Современное право. 2007., №76.</w:t>
      </w:r>
      <w:bookmarkStart w:id="0" w:name="_GoBack"/>
      <w:bookmarkEnd w:id="0"/>
    </w:p>
    <w:sectPr w:rsidR="00761482" w:rsidRPr="009101EA" w:rsidSect="009101E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5D" w:rsidRDefault="007B045D">
      <w:r>
        <w:separator/>
      </w:r>
    </w:p>
  </w:endnote>
  <w:endnote w:type="continuationSeparator" w:id="0">
    <w:p w:rsidR="007B045D" w:rsidRDefault="007B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EA" w:rsidRDefault="009101EA" w:rsidP="008F5B24">
    <w:pPr>
      <w:pStyle w:val="a6"/>
      <w:framePr w:wrap="around" w:vAnchor="text" w:hAnchor="margin" w:xAlign="right" w:y="1"/>
      <w:rPr>
        <w:rStyle w:val="a5"/>
      </w:rPr>
    </w:pPr>
  </w:p>
  <w:p w:rsidR="009101EA" w:rsidRDefault="009101EA" w:rsidP="009101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EA" w:rsidRDefault="00A807E8" w:rsidP="008F5B24">
    <w:pPr>
      <w:pStyle w:val="a6"/>
      <w:framePr w:wrap="around" w:vAnchor="text" w:hAnchor="margin" w:xAlign="right" w:y="1"/>
      <w:rPr>
        <w:rStyle w:val="a5"/>
      </w:rPr>
    </w:pPr>
    <w:r>
      <w:rPr>
        <w:rStyle w:val="a5"/>
        <w:noProof/>
      </w:rPr>
      <w:t>2</w:t>
    </w:r>
  </w:p>
  <w:p w:rsidR="009101EA" w:rsidRDefault="009101EA" w:rsidP="009101E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EA" w:rsidRDefault="009101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5D" w:rsidRDefault="007B045D">
      <w:r>
        <w:separator/>
      </w:r>
    </w:p>
  </w:footnote>
  <w:footnote w:type="continuationSeparator" w:id="0">
    <w:p w:rsidR="007B045D" w:rsidRDefault="007B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CF" w:rsidRDefault="003177CF" w:rsidP="00520C77">
    <w:pPr>
      <w:pStyle w:val="a3"/>
      <w:framePr w:wrap="around" w:vAnchor="text" w:hAnchor="margin" w:xAlign="right" w:y="1"/>
      <w:rPr>
        <w:rStyle w:val="a5"/>
      </w:rPr>
    </w:pPr>
  </w:p>
  <w:p w:rsidR="003177CF" w:rsidRDefault="003177CF" w:rsidP="007614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CF" w:rsidRDefault="00A807E8" w:rsidP="00520C77">
    <w:pPr>
      <w:pStyle w:val="a3"/>
      <w:framePr w:wrap="around" w:vAnchor="text" w:hAnchor="margin" w:xAlign="right" w:y="1"/>
      <w:rPr>
        <w:rStyle w:val="a5"/>
      </w:rPr>
    </w:pPr>
    <w:r>
      <w:rPr>
        <w:rStyle w:val="a5"/>
        <w:noProof/>
      </w:rPr>
      <w:t>2</w:t>
    </w:r>
  </w:p>
  <w:p w:rsidR="003177CF" w:rsidRDefault="003177CF" w:rsidP="0076148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EA" w:rsidRDefault="009101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3454A"/>
    <w:multiLevelType w:val="hybridMultilevel"/>
    <w:tmpl w:val="F65E9E1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EA78F07"/>
    <w:multiLevelType w:val="hybridMultilevel"/>
    <w:tmpl w:val="47ED8F8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3DB13E1"/>
    <w:multiLevelType w:val="hybridMultilevel"/>
    <w:tmpl w:val="8F94A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163"/>
    <w:rsid w:val="00077163"/>
    <w:rsid w:val="001C2175"/>
    <w:rsid w:val="00224BC1"/>
    <w:rsid w:val="002F3AF2"/>
    <w:rsid w:val="003177CF"/>
    <w:rsid w:val="00355BAC"/>
    <w:rsid w:val="003B0C64"/>
    <w:rsid w:val="00520C77"/>
    <w:rsid w:val="00637269"/>
    <w:rsid w:val="00761482"/>
    <w:rsid w:val="007B045D"/>
    <w:rsid w:val="008F5B24"/>
    <w:rsid w:val="009101EA"/>
    <w:rsid w:val="009775FD"/>
    <w:rsid w:val="00A807E8"/>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7A416A-CF9A-4A56-B8A8-53D263F9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77163"/>
    <w:pPr>
      <w:autoSpaceDE w:val="0"/>
      <w:autoSpaceDN w:val="0"/>
      <w:adjustRightInd w:val="0"/>
    </w:pPr>
    <w:rPr>
      <w:color w:val="000000"/>
      <w:sz w:val="24"/>
      <w:szCs w:val="24"/>
    </w:rPr>
  </w:style>
  <w:style w:type="paragraph" w:styleId="a3">
    <w:name w:val="header"/>
    <w:basedOn w:val="a"/>
    <w:link w:val="a4"/>
    <w:uiPriority w:val="99"/>
    <w:rsid w:val="0076148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61482"/>
    <w:rPr>
      <w:rFonts w:cs="Times New Roman"/>
    </w:rPr>
  </w:style>
  <w:style w:type="paragraph" w:styleId="a6">
    <w:name w:val="footer"/>
    <w:basedOn w:val="a"/>
    <w:link w:val="a7"/>
    <w:uiPriority w:val="99"/>
    <w:rsid w:val="009101EA"/>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Методологические подходы к определению экстремизма </vt:lpstr>
    </vt:vector>
  </TitlesOfParts>
  <Company>ussr</Company>
  <LinksUpToDate>false</LinksUpToDate>
  <CharactersWithSpaces>22996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подходы к определению экстремизма </dc:title>
  <dc:subject/>
  <dc:creator>user</dc:creator>
  <cp:keywords/>
  <dc:description/>
  <cp:lastModifiedBy>admin</cp:lastModifiedBy>
  <cp:revision>2</cp:revision>
  <dcterms:created xsi:type="dcterms:W3CDTF">2014-03-07T11:12:00Z</dcterms:created>
  <dcterms:modified xsi:type="dcterms:W3CDTF">2014-03-07T11:12:00Z</dcterms:modified>
</cp:coreProperties>
</file>