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Default="00C96A91" w:rsidP="00C96A91">
      <w:pPr>
        <w:pStyle w:val="a3"/>
        <w:shd w:val="clear" w:color="000000" w:fill="auto"/>
        <w:ind w:firstLine="709"/>
        <w:rPr>
          <w:b/>
        </w:rPr>
      </w:pPr>
    </w:p>
    <w:p w:rsidR="00C96A91" w:rsidRPr="00C96A91" w:rsidRDefault="00C96A91" w:rsidP="00C96A91">
      <w:pPr>
        <w:pStyle w:val="a3"/>
        <w:shd w:val="clear" w:color="000000" w:fill="auto"/>
        <w:ind w:firstLine="709"/>
        <w:rPr>
          <w:b/>
        </w:rPr>
      </w:pPr>
      <w:r w:rsidRPr="00C96A91">
        <w:rPr>
          <w:b/>
        </w:rPr>
        <w:t>Уход за плодоносящим садом</w:t>
      </w:r>
    </w:p>
    <w:p w:rsidR="00C96A91" w:rsidRDefault="00C96A91" w:rsidP="00C96A91">
      <w:pPr>
        <w:pStyle w:val="a3"/>
        <w:shd w:val="clear" w:color="000000" w:fill="auto"/>
        <w:ind w:firstLine="709"/>
        <w:jc w:val="both"/>
        <w:rPr>
          <w:b/>
        </w:rPr>
      </w:pPr>
    </w:p>
    <w:p w:rsidR="00D64443" w:rsidRPr="00C96A91" w:rsidRDefault="00C96A91" w:rsidP="00C96A91">
      <w:pPr>
        <w:pStyle w:val="a3"/>
        <w:shd w:val="clear" w:color="000000" w:fill="auto"/>
        <w:ind w:firstLine="709"/>
        <w:jc w:val="both"/>
        <w:rPr>
          <w:b/>
        </w:rPr>
      </w:pPr>
      <w:r>
        <w:rPr>
          <w:b/>
        </w:rPr>
        <w:br w:type="page"/>
      </w:r>
      <w:r w:rsidRPr="00C96A91">
        <w:rPr>
          <w:b/>
        </w:rPr>
        <w:t>План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E83590">
      <w:pPr>
        <w:pStyle w:val="1"/>
        <w:keepNext w:val="0"/>
        <w:widowControl w:val="0"/>
        <w:shd w:val="clear" w:color="000000" w:fill="auto"/>
        <w:tabs>
          <w:tab w:val="left" w:pos="400"/>
          <w:tab w:val="left" w:pos="700"/>
        </w:tabs>
        <w:ind w:firstLine="0"/>
      </w:pPr>
      <w:r w:rsidRPr="00C96A91">
        <w:t>Введение</w:t>
      </w:r>
    </w:p>
    <w:p w:rsidR="00D64443" w:rsidRPr="00C96A91" w:rsidRDefault="00C96A91" w:rsidP="00E83590">
      <w:pPr>
        <w:widowControl w:val="0"/>
        <w:numPr>
          <w:ilvl w:val="0"/>
          <w:numId w:val="1"/>
        </w:numPr>
        <w:shd w:val="clear" w:color="000000" w:fill="auto"/>
        <w:tabs>
          <w:tab w:val="left" w:pos="400"/>
          <w:tab w:val="left" w:pos="7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Мероприятия по уходу за плодоносящим садом</w:t>
      </w:r>
    </w:p>
    <w:p w:rsidR="00D64443" w:rsidRPr="00C96A91" w:rsidRDefault="00C96A91" w:rsidP="00E83590">
      <w:pPr>
        <w:widowControl w:val="0"/>
        <w:numPr>
          <w:ilvl w:val="0"/>
          <w:numId w:val="1"/>
        </w:numPr>
        <w:shd w:val="clear" w:color="000000" w:fill="auto"/>
        <w:tabs>
          <w:tab w:val="left" w:pos="400"/>
          <w:tab w:val="left" w:pos="7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Применение удобрений в плодоносящем саду</w:t>
      </w:r>
    </w:p>
    <w:p w:rsidR="00D64443" w:rsidRPr="00C96A91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Роль отдельных элементов питания в жизни плодовых растений</w:t>
      </w:r>
    </w:p>
    <w:p w:rsidR="00D64443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Минеральные удобрения</w:t>
      </w:r>
    </w:p>
    <w:p w:rsidR="00E83590" w:rsidRPr="00E83590" w:rsidRDefault="00E83590" w:rsidP="00E83590">
      <w:pPr>
        <w:pStyle w:val="21"/>
        <w:widowControl w:val="0"/>
        <w:shd w:val="clear" w:color="000000" w:fill="auto"/>
        <w:ind w:firstLine="0"/>
      </w:pPr>
      <w:r w:rsidRPr="00E83590">
        <w:t>2.2.1 Азотные удобрения</w:t>
      </w:r>
    </w:p>
    <w:p w:rsidR="00E83590" w:rsidRPr="00E83590" w:rsidRDefault="00E83590" w:rsidP="00E83590">
      <w:pPr>
        <w:pStyle w:val="2"/>
        <w:keepNext w:val="0"/>
        <w:widowControl w:val="0"/>
        <w:shd w:val="clear" w:color="000000" w:fill="auto"/>
        <w:ind w:left="0"/>
        <w:jc w:val="both"/>
      </w:pPr>
      <w:r w:rsidRPr="00E83590">
        <w:t>2.2.2 Фосфорные удобрения</w:t>
      </w:r>
    </w:p>
    <w:p w:rsidR="00E83590" w:rsidRPr="00E83590" w:rsidRDefault="00E83590" w:rsidP="00E83590">
      <w:pPr>
        <w:pStyle w:val="3"/>
        <w:keepNext w:val="0"/>
        <w:widowControl w:val="0"/>
        <w:shd w:val="clear" w:color="000000" w:fill="auto"/>
        <w:ind w:left="0" w:firstLine="0"/>
        <w:jc w:val="both"/>
      </w:pPr>
      <w:r w:rsidRPr="00E83590">
        <w:t>2.2.4 Сложные удобрения</w:t>
      </w:r>
    </w:p>
    <w:p w:rsidR="00E83590" w:rsidRPr="00E83590" w:rsidRDefault="00E83590" w:rsidP="00E83590">
      <w:pPr>
        <w:pStyle w:val="3"/>
        <w:keepNext w:val="0"/>
        <w:widowControl w:val="0"/>
        <w:shd w:val="clear" w:color="000000" w:fill="auto"/>
        <w:ind w:left="0" w:firstLine="0"/>
        <w:jc w:val="both"/>
      </w:pPr>
      <w:r w:rsidRPr="00E83590">
        <w:t>2.2.3 Калийные удобрения</w:t>
      </w:r>
    </w:p>
    <w:p w:rsidR="00D64443" w:rsidRPr="00C96A91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Органические удобрения</w:t>
      </w:r>
    </w:p>
    <w:p w:rsidR="00D64443" w:rsidRPr="00C96A91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Микроудобрения</w:t>
      </w:r>
    </w:p>
    <w:p w:rsidR="00D64443" w:rsidRPr="00C96A91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Системы удобрений</w:t>
      </w:r>
    </w:p>
    <w:p w:rsidR="00D64443" w:rsidRPr="00C96A91" w:rsidRDefault="00D64443" w:rsidP="00E83590">
      <w:pPr>
        <w:widowControl w:val="0"/>
        <w:numPr>
          <w:ilvl w:val="1"/>
          <w:numId w:val="1"/>
        </w:numPr>
        <w:shd w:val="clear" w:color="000000" w:fill="auto"/>
        <w:tabs>
          <w:tab w:val="clear" w:pos="1080"/>
          <w:tab w:val="left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Способы и сроки внесения удобрений</w:t>
      </w:r>
    </w:p>
    <w:p w:rsidR="00D64443" w:rsidRPr="00C96A91" w:rsidRDefault="00C96A91" w:rsidP="00E83590">
      <w:pPr>
        <w:widowControl w:val="0"/>
        <w:shd w:val="clear" w:color="000000" w:fill="auto"/>
        <w:tabs>
          <w:tab w:val="left" w:pos="400"/>
          <w:tab w:val="left" w:pos="700"/>
        </w:tabs>
        <w:spacing w:line="360" w:lineRule="auto"/>
        <w:jc w:val="both"/>
        <w:rPr>
          <w:sz w:val="28"/>
        </w:rPr>
      </w:pPr>
      <w:r w:rsidRPr="00C96A91">
        <w:rPr>
          <w:sz w:val="28"/>
        </w:rPr>
        <w:t>Заключение</w:t>
      </w:r>
    </w:p>
    <w:p w:rsidR="00D64443" w:rsidRPr="00C96A91" w:rsidRDefault="00C96A91" w:rsidP="00E83590">
      <w:pPr>
        <w:widowControl w:val="0"/>
        <w:shd w:val="clear" w:color="000000" w:fill="auto"/>
        <w:tabs>
          <w:tab w:val="left" w:pos="400"/>
          <w:tab w:val="left" w:pos="700"/>
        </w:tabs>
        <w:spacing w:line="360" w:lineRule="auto"/>
        <w:jc w:val="both"/>
        <w:rPr>
          <w:sz w:val="28"/>
        </w:rPr>
      </w:pPr>
      <w:r w:rsidRPr="00C96A91">
        <w:rPr>
          <w:sz w:val="28"/>
        </w:rPr>
        <w:t>Список использованной литературы</w:t>
      </w:r>
    </w:p>
    <w:p w:rsidR="00D64443" w:rsidRPr="00C96A91" w:rsidRDefault="00E83590" w:rsidP="00E83590">
      <w:pPr>
        <w:widowControl w:val="0"/>
        <w:shd w:val="clear" w:color="000000" w:fill="auto"/>
        <w:tabs>
          <w:tab w:val="left" w:pos="400"/>
          <w:tab w:val="left" w:pos="7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Приложение </w:t>
      </w:r>
      <w:r w:rsidR="00C96A91" w:rsidRPr="00C96A91">
        <w:rPr>
          <w:sz w:val="28"/>
        </w:rPr>
        <w:t>Схема применения удобрений под яблоню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Pr="00C96A91">
        <w:rPr>
          <w:b/>
          <w:sz w:val="28"/>
          <w:szCs w:val="28"/>
        </w:rPr>
        <w:t>Введение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t>Применение удобрений в садах – один из наиболее важных приемов улучшения корневого питания плодовых деревьев, повышения их урожайности и устойчивости к неблагоприятным условиям.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Роль удобрений особенно возрастает при интенсивном ведении садоводства, использованием скороплодных сортов и высокопродуктивных подвоев и высоком уровне агротехники.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 xml:space="preserve">Наиболее эффективной является система органо-минеральных удобрений. Такое сочетание обеспечивает увеличение содержания в почве основных элементов питания в доступной для растений форме и способствует улучшению физических, физико-химических и агрохимических свойств почвы. 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В качестве органических удобрений применяют навоз, торфонавозные и другие компосты, сидеральные культуры на зеленое удобрение.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Неправильное применение удобрений оказывает отрицательное влияние на развитие и плодоношение деревьев, устойчивость их к неблагоприятным условиям, а чрезмерно высокие дозы могут быть причиной гибели насаждений.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numPr>
          <w:ilvl w:val="2"/>
          <w:numId w:val="5"/>
        </w:numPr>
        <w:shd w:val="clear" w:color="000000" w:fill="auto"/>
        <w:tabs>
          <w:tab w:val="clear" w:pos="1080"/>
          <w:tab w:val="num" w:pos="1100"/>
        </w:tabs>
        <w:spacing w:line="360" w:lineRule="auto"/>
        <w:ind w:left="0" w:firstLine="700"/>
        <w:jc w:val="both"/>
        <w:rPr>
          <w:b/>
          <w:sz w:val="28"/>
        </w:rPr>
      </w:pPr>
      <w:r>
        <w:rPr>
          <w:sz w:val="28"/>
        </w:rPr>
        <w:br w:type="page"/>
      </w:r>
      <w:r w:rsidRPr="00C96A91">
        <w:rPr>
          <w:b/>
          <w:sz w:val="28"/>
        </w:rPr>
        <w:t>Мероприятия по уходу за плодоносящим садом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Основные мероприятия по уходу в саду зависят от породно-сортового состава, применяемых подвоев, возраста и типа насаждений, почвенно-климатических условий зоны, назначения выращиваемой продукции и других факторов.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Агротехнические мероприятия выполняют комплексно. Один агроприем нельзя заменить другим. Чем интенсивнее сад, тем выше должен быть уровень агротехники и качество выполняемых мероприятий. В северных районах страны больше заботятся о повышении зимостойкости плодовых деревьев, на юге – о повышении засухоустойчивости и о водоснабжении.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Основная задача при уходе за плодоносящим садом – поддержание хорошего роста деревьев и ежегодное получение максимально возможных в данных условиях урожаев плодов высокого качества с наименьшими затратами труда и средств на единицу продукции.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Необходимо как можно больше продлить продуктивный период жизни плодовых деревьев, защитить их от неблагоприятных факторов внешней среды.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Ориентировочно нормальным принято считать для плодоносящих деревьев годичный прирост ветвей длиной 30-40 см. Нельзя допускать и перерастания взрослых деревьев в высоту и ширину, а также оголения сучьев и чрезмерного загущения кроны.</w:t>
      </w:r>
    </w:p>
    <w:p w:rsidR="00D64443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В комплексе агротехнических мероприятий по уходу за плодоносящим садом входят: обработка почвы, удобрение, орошение, формирование и обрезка деревьев, уход за урожаем, ремонт и реконструкция сада, защита насаждений от вредителей и болезней.</w:t>
      </w:r>
    </w:p>
    <w:p w:rsidR="00C96A91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numPr>
          <w:ilvl w:val="2"/>
          <w:numId w:val="5"/>
        </w:numPr>
        <w:shd w:val="clear" w:color="000000" w:fill="auto"/>
        <w:spacing w:line="360" w:lineRule="auto"/>
        <w:ind w:left="0" w:firstLine="70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Pr="00C96A91">
        <w:rPr>
          <w:b/>
          <w:sz w:val="28"/>
        </w:rPr>
        <w:t>Применение удобрений в плодоносящем саду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 w:rsidRPr="00C96A91">
        <w:rPr>
          <w:b/>
          <w:sz w:val="28"/>
        </w:rPr>
        <w:t>Роль отдельных элементов питания в жизни плодовых растений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rPr>
          <w:i/>
        </w:rPr>
        <w:t>Макроэлементы</w:t>
      </w:r>
      <w:r w:rsidRPr="00C96A91">
        <w:t xml:space="preserve"> – азот, фосфор, калий, кальций, железо, магний, сера – потребляются плодовыми растениями в больших количествах, микроэлементы -–бор, марганец, медь, молибден, кобальт, цинк – в небольших.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Азот</w:t>
      </w:r>
      <w:r w:rsidRPr="00C96A91">
        <w:rPr>
          <w:sz w:val="28"/>
        </w:rPr>
        <w:t xml:space="preserve"> входит в состав аминокислот, из которых построены молекулы белка, алкалоидов, витаминов, хлорофилла и др. Ему принадлежит главная роль в ростовых процессах и повышении урожайности.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Недостаток азота вызывает уменьшение хлорофилла, листья становятся мелкими, бледно-зелеными, а более старые – оранжевыми, раньше осыпаются, плоды мельчают и преждевременно осыпаются, приобретают нетипичную окраску и вкус. При большом недостатке азота ослабевает рост деревьев, побеги становятся короткими и тонкими, наблюдается осыпание цветков и завязи.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Избыток азота приводит к затягиванию роста, невызреванию древесины и в связи</w:t>
      </w:r>
      <w:r w:rsidR="00C96A91">
        <w:rPr>
          <w:sz w:val="28"/>
        </w:rPr>
        <w:t xml:space="preserve"> </w:t>
      </w:r>
      <w:r w:rsidRPr="00C96A91">
        <w:rPr>
          <w:sz w:val="28"/>
        </w:rPr>
        <w:t>с этим – к повреждению деревьев низкими температурами, ухудшает качество плодов, снижает их лежкость.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Фосфор</w:t>
      </w:r>
      <w:r w:rsidRPr="00C96A91">
        <w:rPr>
          <w:sz w:val="28"/>
        </w:rPr>
        <w:t xml:space="preserve"> входит в состав нуклеиновых кислот и нуклеопротеидов и белков, участвует в энергетическом обмене веществ. Он способствует образованию цветковых почек, усилению роста корневой системы, вызреванию тканей, улучшает условия питания растений. Нормальное фосфорное питание обеспечивает раннее вступление деревьев в пору плодоношения, улучшает качество плодов и их лежкость. Фосфор усиливает способность растительных клеток удерживать воду, что повышает устойчивость плодовых деревьев к засухе и морозоустойчивости.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При недостатке фосфора у яблони образуются тонкие слабоветвящиеся приросты с листьями бронзово-пурпурного оттенка и мелкими плодами.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Калий</w:t>
      </w:r>
      <w:r w:rsidRPr="00C96A91">
        <w:rPr>
          <w:sz w:val="28"/>
        </w:rPr>
        <w:t xml:space="preserve"> играет важную роль в обмене веществ и накоплении белков и углеводов, способствует росту и делению клеток молодых тканей. Он активизирует деятельность ферментов и передвижение углеводов, благотворно влияет на водный режим растений и физико-химические свойства протоплазмы, что повышает засухоустойчивость и зимостойкость плодовых деревьев.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 xml:space="preserve">При калийной недостаточности листья буреют, их края отмирают, закручиваются кверху, задерживается осенний листопад. Плоды мелкие и плохо окрашены. 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 xml:space="preserve">Кальций </w:t>
      </w:r>
      <w:r w:rsidRPr="00C96A91">
        <w:rPr>
          <w:sz w:val="28"/>
        </w:rPr>
        <w:t>участвует в обмене веществ, уравновешивает соотношения других элементов, нейтрализует органические кислоты в растениях, входит в состав клеточных стенок. Большую потребность в нем испытывают точки роста корней и побегов. Особенно нуждаются в кальции косточковые культуры. При его недостатке плоды хуже хранятся.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Недостаток кальция в почве вызывает точечное пожелтение листьев, на них появляются буроватые пятна, края заворачиваются кверху.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При избытке кальция в почве у растений развивается хлороз.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Железо</w:t>
      </w:r>
      <w:r w:rsidRPr="00C96A91">
        <w:rPr>
          <w:sz w:val="28"/>
        </w:rPr>
        <w:t xml:space="preserve"> содержится в почве в виде окисных и закисных соединений, участвует в окислительно-восстановительных процессах, входит в состав некоторых дыхательных ферментов.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При слабом недостатке железа листья приобретают бледную окраску, при среднем – развивается межжилковый хлороз, при большом – в листьях исчезает хлорофилл и они опадают.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Магний</w:t>
      </w:r>
      <w:r w:rsidRPr="00C96A91">
        <w:rPr>
          <w:sz w:val="28"/>
        </w:rPr>
        <w:t xml:space="preserve"> играет важную роль в образовании хлорофилла, является стимулятором многих ферментов. При его недостатке в почве на листьях яблони появляются светло-зеленые пятна, затем они приобретают желтовато-коричневый и темно-коричневый цвет. 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Сера</w:t>
      </w:r>
      <w:r w:rsidRPr="00C96A91">
        <w:rPr>
          <w:sz w:val="28"/>
        </w:rPr>
        <w:t xml:space="preserve"> является составной частью белков, играет важную роль в окислительно-восстановительных процессах. Ее недостаток в почве задерживает рост и развитие растений, затрудняет синтез белков.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При недостатке серы в почве у растений появляются такие же симптомы, как при нехватке азота.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Цинк</w:t>
      </w:r>
      <w:r w:rsidRPr="00C96A91">
        <w:rPr>
          <w:sz w:val="28"/>
        </w:rPr>
        <w:t xml:space="preserve"> содействует фотосинтезу, он входит в состав хлоропластов и ферментов, способствует обмену белков и образованию стимуляторов роста. При его недостатке в почве плодовые растения заболевают розеточностью.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Медь</w:t>
      </w:r>
      <w:r w:rsidRPr="00C96A91">
        <w:rPr>
          <w:sz w:val="28"/>
        </w:rPr>
        <w:t xml:space="preserve"> входит в состав ферментов, способствует углеводному и белковому обмену. При ее недостатке в почве у яблони на концевых листьях появляются коричневые некротические пятна, затем отмирают верхушки побегов. Развивается медное голодание – хлороз листьев.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Бор</w:t>
      </w:r>
      <w:r w:rsidRPr="00C96A91">
        <w:rPr>
          <w:sz w:val="28"/>
        </w:rPr>
        <w:t xml:space="preserve"> участвует в синтезе нуклеиновых кислот, содействует образованию завязи плодов. При его недостатке листья желтеют, жилки на них краснеют, их верхушки и края отмирают. Завязь осыпается, а на оставшихся плодах появляется пятнистость.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Молибден</w:t>
      </w:r>
      <w:r w:rsidRPr="00C96A91">
        <w:rPr>
          <w:sz w:val="28"/>
        </w:rPr>
        <w:t xml:space="preserve"> способствует усвоению азота из воздуха клубеньковыми свободноживущими бактериями. Недостаток молибдена наблюдается на кислых почвах.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 xml:space="preserve">Кобальт </w:t>
      </w:r>
      <w:r w:rsidRPr="00C96A91">
        <w:rPr>
          <w:sz w:val="28"/>
        </w:rPr>
        <w:t>является активатором многих ферментов. Он способствует увеличению содержания хлорофилла в листьях, активизации биосинтеза, повышению содержания белкового азота в растениях.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 w:rsidRPr="00C96A91">
        <w:rPr>
          <w:b/>
          <w:sz w:val="28"/>
        </w:rPr>
        <w:t>Минеральные удобрения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pStyle w:val="21"/>
        <w:shd w:val="clear" w:color="000000" w:fill="auto"/>
        <w:ind w:firstLine="709"/>
        <w:rPr>
          <w:b/>
        </w:rPr>
      </w:pPr>
      <w:r w:rsidRPr="00C96A91">
        <w:rPr>
          <w:b/>
        </w:rPr>
        <w:t xml:space="preserve">2.2.1 </w:t>
      </w:r>
      <w:r w:rsidR="00D64443" w:rsidRPr="00C96A91">
        <w:rPr>
          <w:b/>
        </w:rPr>
        <w:t>Азотные удобрения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rPr>
          <w:i/>
        </w:rPr>
        <w:t>Азотнокислый аммоний (аммиачная селитра</w:t>
      </w:r>
      <w:r w:rsidRPr="00C96A91">
        <w:t>) содержит 34-35% аммиачного и нитратного азота. Выпускают в гранулированном или мелкокристаллическом виде, белого или светло-желтого цвета, обладает высокой гигроскопичностью. Легко растворяется, хорошо усваивается корневой системой.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Мочевина (карбамид</w:t>
      </w:r>
      <w:r w:rsidRPr="00C96A91">
        <w:rPr>
          <w:sz w:val="28"/>
        </w:rPr>
        <w:t>) содержит 46% азота. Белый кристаллический порошок, хорошо растворяющийся в воде. Физиологически нейтральное удобрение. При внесении заделывают в почву во избежание потерь азота.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pStyle w:val="2"/>
        <w:shd w:val="clear" w:color="000000" w:fill="auto"/>
        <w:ind w:left="0" w:firstLine="709"/>
        <w:jc w:val="both"/>
        <w:rPr>
          <w:b/>
        </w:rPr>
      </w:pPr>
      <w:r w:rsidRPr="00C96A91">
        <w:rPr>
          <w:b/>
        </w:rPr>
        <w:t xml:space="preserve">2.2.2 </w:t>
      </w:r>
      <w:r w:rsidR="00D64443" w:rsidRPr="00C96A91">
        <w:rPr>
          <w:b/>
        </w:rPr>
        <w:t>Фосфорные удобрения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rPr>
          <w:i/>
        </w:rPr>
        <w:t>Суперфосфат двойной гранулированный</w:t>
      </w:r>
      <w:r w:rsidRPr="00C96A91">
        <w:t xml:space="preserve"> содержит 42-49% фосфора. Гранулированный суперфосфат значительно медленнее переходит в почве в труднорастворимые соединения, больше доступен растениям. Хорошо растворяется в воде. Менее гигроскопичен, меньше слеживается.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Фосфоритная мука</w:t>
      </w:r>
      <w:r w:rsidRPr="00C96A91">
        <w:rPr>
          <w:sz w:val="28"/>
        </w:rPr>
        <w:t>. В ее состав входит 14-30% фосфорной кислоты. Применяют на кислых почвах.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pStyle w:val="3"/>
        <w:shd w:val="clear" w:color="000000" w:fill="auto"/>
        <w:ind w:left="0" w:firstLine="709"/>
        <w:jc w:val="both"/>
        <w:rPr>
          <w:b/>
        </w:rPr>
      </w:pPr>
      <w:r w:rsidRPr="00C96A91">
        <w:rPr>
          <w:b/>
        </w:rPr>
        <w:t xml:space="preserve">2.2.3 </w:t>
      </w:r>
      <w:r w:rsidR="00D64443" w:rsidRPr="00C96A91">
        <w:rPr>
          <w:b/>
        </w:rPr>
        <w:t>Калийные удобрения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rPr>
          <w:i/>
        </w:rPr>
        <w:t>Калий хлористый</w:t>
      </w:r>
      <w:r w:rsidRPr="00C96A91">
        <w:t xml:space="preserve"> – крупнозернистая соль белого или розового цвета, содержит 56-60% калия.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Калий на средних и тяжелых почвах поглощается почвой и не передвигается вниз, поэтому эти удобрения следует вносить в зону размещения корней на глубину 20-40 см.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pStyle w:val="3"/>
        <w:shd w:val="clear" w:color="000000" w:fill="auto"/>
        <w:ind w:left="0" w:firstLine="709"/>
        <w:jc w:val="both"/>
        <w:rPr>
          <w:b/>
        </w:rPr>
      </w:pPr>
      <w:r w:rsidRPr="00C96A91">
        <w:rPr>
          <w:b/>
        </w:rPr>
        <w:t xml:space="preserve">2.2.4 </w:t>
      </w:r>
      <w:r w:rsidR="00D64443" w:rsidRPr="00C96A91">
        <w:rPr>
          <w:b/>
        </w:rPr>
        <w:t>Сложные удобрения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rPr>
          <w:i/>
        </w:rPr>
        <w:t>Нитрофос</w:t>
      </w:r>
      <w:r w:rsidRPr="00C96A91">
        <w:t xml:space="preserve"> содержит 17% фосфора и 23,5% азота.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rPr>
          <w:i/>
        </w:rPr>
        <w:t>Нитроаммофоска</w:t>
      </w:r>
      <w:r w:rsidRPr="00C96A91">
        <w:t xml:space="preserve"> включает 16% азота, 16% фосфора, 18% калия.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Нитрофоска</w:t>
      </w:r>
      <w:r w:rsidRPr="00C96A91">
        <w:rPr>
          <w:sz w:val="28"/>
        </w:rPr>
        <w:t xml:space="preserve"> азотно-сульфатная содержит 17% азота, 17% фосфора, 17% калия.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Аммофос гранулированный и порошкообразный</w:t>
      </w:r>
      <w:r w:rsidRPr="00C96A91">
        <w:rPr>
          <w:sz w:val="28"/>
        </w:rPr>
        <w:t>. В его состав входит 11% азота, 50% фосфора.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D64443" w:rsidRPr="00C96A91">
        <w:rPr>
          <w:b/>
          <w:sz w:val="28"/>
        </w:rPr>
        <w:t>Органические удобрения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Органические удобрения – навоз, навозная жижа, торфонавозные и другие виды компостов, куриный помет и т.п. – содержат почти все необходимые для плодовых насаждений элементы питания.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Навоз</w:t>
      </w:r>
      <w:r w:rsidRPr="00C96A91">
        <w:rPr>
          <w:sz w:val="28"/>
        </w:rPr>
        <w:t xml:space="preserve"> – основное органическое удобрение. В его состав входит до 1% микроорганизмов от общей массы, которые, разлагая органические вещества, переводят их в хорошо доступные для растений соединения. Улучшает физическое состояние почвы.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Навоз – медленно действующее</w:t>
      </w:r>
      <w:r w:rsidR="00C96A91">
        <w:rPr>
          <w:sz w:val="28"/>
        </w:rPr>
        <w:t xml:space="preserve"> </w:t>
      </w:r>
      <w:r w:rsidRPr="00C96A91">
        <w:rPr>
          <w:sz w:val="28"/>
        </w:rPr>
        <w:t>удобрение: имеющиеся в нем питательные вещества переходят в доступные формы в течение 3-4-х лет и более.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В среднем навоз крупного рогатого скота (КРС) содержит 0,4-0,6% общего азота, 0,2-0,3% фосфора, 0,6-0,7% калия.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Навоз лучше хранить плотным (холодным) способом. При этом способе хранения теряется меньше питательных веществ.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Перепревший навоз (перегной) содержит почти в 2 раза больше азота и в 2-3 раза больше фосфора и калия, чем свежий.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Навоз после внесения быстро заделывается в почву во избежание потерь питательных веществ. В первый год применения содержащийся в навозе азот используется примерно на 20-30%, фосфор – 40-50%, калий – 60-80%. Одновременно с навозом рекомендуется вносить минеральные удобрения.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rPr>
          <w:i/>
        </w:rPr>
        <w:t>Птичий помет</w:t>
      </w:r>
      <w:r w:rsidRPr="00C96A91">
        <w:t xml:space="preserve"> – более концентрированное органическое соединение. Куриный помет содержит 0,7-1,9% азота, 1,5-2% фосфора и 0,8-1% калия.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Хорошие результаты дает использование птичьего помета в виде жидких удобрений (подкормок), в этом случае одну часть помета разбавляют в восьми-десяти частях воды.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Торф</w:t>
      </w:r>
      <w:r w:rsidRPr="00C96A91">
        <w:rPr>
          <w:sz w:val="28"/>
        </w:rPr>
        <w:t xml:space="preserve"> подразделяют на верховой и низинный, а по содержанию золы – на нормально-зольный (до 12% золы) и высокозольный (более 12% золы). В среднем торф содержит: верховой – 1,5% азота, 0,06% фосфора, 0,08% калия, низинный – 2,8% азота, 0,1% фосфора, 0,12% калия.</w:t>
      </w: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t>Торф на удобрение широко применяют в Нечерноземной зоне России, его лучше использовать в виде торфонавозных компостов.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Сапропель (ил</w:t>
      </w:r>
      <w:r w:rsidRPr="00C96A91">
        <w:rPr>
          <w:sz w:val="28"/>
        </w:rPr>
        <w:t>), добываемый при очистке пресноводных водоемов, по содержанию питательных веществ и микроэлементов не уступает навозу.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i/>
          <w:sz w:val="28"/>
        </w:rPr>
      </w:pPr>
    </w:p>
    <w:p w:rsidR="00D64443" w:rsidRPr="00C96A91" w:rsidRDefault="00D64443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 w:rsidRPr="00C96A91">
        <w:rPr>
          <w:b/>
          <w:sz w:val="28"/>
        </w:rPr>
        <w:t>Микроудобрения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 xml:space="preserve">Удобрение </w:t>
      </w:r>
      <w:r w:rsidRPr="00C96A91">
        <w:rPr>
          <w:i/>
        </w:rPr>
        <w:t>бормагниевое</w:t>
      </w:r>
      <w:r w:rsidRPr="00C96A91">
        <w:t xml:space="preserve"> содержит 13% борной кислоты. 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В состав марганцевых микроудобрений входит не менее 9% марганца.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В качестве микроудобрений используются также порошки, содержащие бор (борная кислота – 14-16%), медь (сульфат меди – 14-16%), молибден (окись молибдена – 14-16%), цинк (сульфат цинка – 16-22%).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Аммоний молибденовокислый</w:t>
      </w:r>
      <w:r w:rsidRPr="00C96A91">
        <w:rPr>
          <w:sz w:val="28"/>
        </w:rPr>
        <w:t xml:space="preserve"> – 52% молибдена.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i/>
          <w:sz w:val="28"/>
        </w:rPr>
        <w:t>Зола</w:t>
      </w:r>
      <w:r w:rsidRPr="00C96A91">
        <w:rPr>
          <w:sz w:val="28"/>
        </w:rPr>
        <w:t xml:space="preserve"> – фосфорно-калийное и известковое удобрение, содержащее многие микроэлементы.</w:t>
      </w:r>
    </w:p>
    <w:p w:rsidR="00C96A91" w:rsidRDefault="00C96A91" w:rsidP="00C96A91">
      <w:pPr>
        <w:pStyle w:val="3"/>
        <w:shd w:val="clear" w:color="000000" w:fill="auto"/>
        <w:ind w:left="0" w:firstLine="709"/>
        <w:jc w:val="both"/>
      </w:pPr>
    </w:p>
    <w:p w:rsidR="00D64443" w:rsidRPr="00C96A91" w:rsidRDefault="00D64443" w:rsidP="00C96A91">
      <w:pPr>
        <w:pStyle w:val="3"/>
        <w:shd w:val="clear" w:color="000000" w:fill="auto"/>
        <w:ind w:left="0" w:firstLine="709"/>
        <w:jc w:val="both"/>
      </w:pPr>
      <w:r w:rsidRPr="00C96A91">
        <w:t>Состав золы, %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8"/>
        <w:gridCol w:w="1800"/>
        <w:gridCol w:w="1700"/>
        <w:gridCol w:w="1500"/>
      </w:tblGrid>
      <w:tr w:rsidR="00D64443" w:rsidRPr="00C96A91" w:rsidTr="00C96A91">
        <w:tc>
          <w:tcPr>
            <w:tcW w:w="1808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Зола</w:t>
            </w:r>
          </w:p>
        </w:tc>
        <w:tc>
          <w:tcPr>
            <w:tcW w:w="18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Фосфор</w:t>
            </w:r>
          </w:p>
        </w:tc>
        <w:tc>
          <w:tcPr>
            <w:tcW w:w="17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Калий</w:t>
            </w:r>
          </w:p>
        </w:tc>
        <w:tc>
          <w:tcPr>
            <w:tcW w:w="15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Кальций</w:t>
            </w:r>
          </w:p>
        </w:tc>
      </w:tr>
      <w:tr w:rsidR="00D64443" w:rsidRPr="00C96A91" w:rsidTr="00C96A91">
        <w:tc>
          <w:tcPr>
            <w:tcW w:w="1808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Солома: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Пшеницы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Ржи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Дрова: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Березовые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Еловые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Сосновые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</w:tc>
        <w:tc>
          <w:tcPr>
            <w:tcW w:w="18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6,4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4,7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7,1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2,4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2,0</w:t>
            </w:r>
          </w:p>
        </w:tc>
        <w:tc>
          <w:tcPr>
            <w:tcW w:w="17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13,6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16,2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13,8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3,2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6,9</w:t>
            </w:r>
          </w:p>
        </w:tc>
        <w:tc>
          <w:tcPr>
            <w:tcW w:w="1500" w:type="dxa"/>
          </w:tcPr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5,9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8,5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36,3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25,3</w:t>
            </w:r>
          </w:p>
          <w:p w:rsidR="00D64443" w:rsidRPr="00C96A91" w:rsidRDefault="00D64443" w:rsidP="00C96A91">
            <w:pPr>
              <w:shd w:val="clear" w:color="000000" w:fill="auto"/>
              <w:spacing w:line="360" w:lineRule="auto"/>
              <w:jc w:val="both"/>
            </w:pPr>
            <w:r w:rsidRPr="00C96A91">
              <w:t>31,8</w:t>
            </w:r>
          </w:p>
        </w:tc>
      </w:tr>
    </w:tbl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D64443" w:rsidRPr="00C96A91">
        <w:rPr>
          <w:b/>
          <w:sz w:val="28"/>
        </w:rPr>
        <w:t>Системы удобрений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Система удобрений в саду – это многолетний план по рациональному применению органических и минеральных удобрений с учетом физико-химических особенностей и плодородия почвы, биологических особенностей пород, сортов и подвоев, потребности растений в элементах питания, конструкции и возрастного состояния насаждений, размещения в почве основной массы поглощающих корней, проектируемой технологии с целью получения стабильных высоких урожаев и качества плодов при минимальных затратах труда и средств на единицу продукции и реализация его на практике.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Основная задача системы удобрения плодовых растений в комплексе с другими агроприемами – обеспечить уравновешенное соотношение вегетативного и генеративного развития растений.</w:t>
      </w:r>
      <w:r>
        <w:t xml:space="preserve"> </w:t>
      </w:r>
      <w:r w:rsidRPr="00C96A91">
        <w:t>В плодоводстве удобрение вносят до посадки, при посадке и после посадки растений, причем первый способ лучше применять в садах с очень плотным размещением деревьев.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Минеральные удобрения вносят по линии рядов деревьев на глубину 20-50 см.</w:t>
      </w:r>
      <w:r>
        <w:t xml:space="preserve"> </w:t>
      </w:r>
      <w:r w:rsidRPr="00C96A91">
        <w:t>При внесении навоза и фосфорно-калийных удобрений добавляют небольшое количество азота (примерно 1/3 дозы фосфора и калия), чтобы компенсировать слабую доступность азота навоза.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Дозы внесения удобрений до посадки зависят от содержания подвижных элементов питания в почве (таблица).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Средние дозы удобрений в интенсивном саду до посадки растений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1266"/>
        <w:gridCol w:w="1417"/>
        <w:gridCol w:w="1701"/>
        <w:gridCol w:w="1806"/>
      </w:tblGrid>
      <w:tr w:rsidR="00D64443" w:rsidRPr="00C96A91">
        <w:trPr>
          <w:cantSplit/>
          <w:trHeight w:val="240"/>
        </w:trPr>
        <w:tc>
          <w:tcPr>
            <w:tcW w:w="2845" w:type="dxa"/>
            <w:vMerge w:val="restart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Уровень подвижных элементов питания в почве</w:t>
            </w:r>
          </w:p>
        </w:tc>
        <w:tc>
          <w:tcPr>
            <w:tcW w:w="1266" w:type="dxa"/>
            <w:vMerge w:val="restart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Органические, т/га</w:t>
            </w:r>
          </w:p>
        </w:tc>
        <w:tc>
          <w:tcPr>
            <w:tcW w:w="4924" w:type="dxa"/>
            <w:gridSpan w:val="3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Минеральные, кг д.в. /га</w:t>
            </w:r>
          </w:p>
        </w:tc>
      </w:tr>
      <w:tr w:rsidR="00D64443" w:rsidRPr="00C96A91" w:rsidTr="00C96A91">
        <w:trPr>
          <w:cantSplit/>
          <w:trHeight w:val="240"/>
        </w:trPr>
        <w:tc>
          <w:tcPr>
            <w:tcW w:w="2845" w:type="dxa"/>
            <w:vMerge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</w:tc>
        <w:tc>
          <w:tcPr>
            <w:tcW w:w="1266" w:type="dxa"/>
            <w:vMerge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</w:tc>
        <w:tc>
          <w:tcPr>
            <w:tcW w:w="1417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Азот</w:t>
            </w:r>
          </w:p>
        </w:tc>
        <w:tc>
          <w:tcPr>
            <w:tcW w:w="1701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Фосфор</w:t>
            </w:r>
          </w:p>
        </w:tc>
        <w:tc>
          <w:tcPr>
            <w:tcW w:w="1806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Калий</w:t>
            </w:r>
          </w:p>
        </w:tc>
      </w:tr>
      <w:tr w:rsidR="00D64443" w:rsidRPr="00C96A91">
        <w:trPr>
          <w:cantSplit/>
        </w:trPr>
        <w:tc>
          <w:tcPr>
            <w:tcW w:w="2845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Низкий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Средний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Высокий</w:t>
            </w:r>
          </w:p>
        </w:tc>
        <w:tc>
          <w:tcPr>
            <w:tcW w:w="1266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20</w:t>
            </w:r>
          </w:p>
        </w:tc>
        <w:tc>
          <w:tcPr>
            <w:tcW w:w="1417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20</w:t>
            </w:r>
          </w:p>
        </w:tc>
        <w:tc>
          <w:tcPr>
            <w:tcW w:w="1701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180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</w:tc>
        <w:tc>
          <w:tcPr>
            <w:tcW w:w="1806" w:type="dxa"/>
          </w:tcPr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180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D64443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</w:tc>
      </w:tr>
    </w:tbl>
    <w:p w:rsidR="00D64443" w:rsidRPr="00C96A91" w:rsidRDefault="00D64443" w:rsidP="00C96A91">
      <w:pPr>
        <w:pStyle w:val="21"/>
        <w:shd w:val="clear" w:color="000000" w:fill="auto"/>
        <w:ind w:firstLine="709"/>
      </w:pP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При внесении органических удобрений (навоз, перегной, компост) дозы минеральных удобрений уменьшают вдвое.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Плодовые растения растут значительно лучше без внесения удобрений в посадочную яму. Для успешной приживаемости и хорошего начального роста плодовым деревьям достаточно питания, содержащегося в верхнем слое почвы, удобренной до посадки.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Применение удобрений после посадки включает основное ежегодное внесение в период покоя (с октября по апрель) в первую очередь тех удобрений, от которых ожидается длительный эффект, и подкормки.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  <w:r w:rsidRPr="00C96A91">
        <w:t>Как правило, в качестве основного осенью вносят органические удобрения, что связано с их постепенной минерализацией, слабой подвижностью и продолжительным действием. При внесении фосфорно-калийных удобрений должна быть учтена потребность плодовых в магнии и цинке.</w:t>
      </w:r>
    </w:p>
    <w:p w:rsidR="00D64443" w:rsidRPr="00C96A91" w:rsidRDefault="00D64443" w:rsidP="00C96A91">
      <w:pPr>
        <w:pStyle w:val="21"/>
        <w:shd w:val="clear" w:color="000000" w:fill="auto"/>
        <w:ind w:firstLine="709"/>
      </w:pPr>
    </w:p>
    <w:p w:rsidR="00D64443" w:rsidRPr="00C96A91" w:rsidRDefault="00D64443" w:rsidP="00C96A91">
      <w:pPr>
        <w:numPr>
          <w:ilvl w:val="1"/>
          <w:numId w:val="2"/>
        </w:numPr>
        <w:shd w:val="clear" w:color="000000" w:fill="auto"/>
        <w:tabs>
          <w:tab w:val="clear" w:pos="1080"/>
          <w:tab w:val="num" w:pos="1200"/>
        </w:tabs>
        <w:spacing w:line="360" w:lineRule="auto"/>
        <w:ind w:left="0" w:firstLine="700"/>
        <w:jc w:val="both"/>
        <w:rPr>
          <w:b/>
          <w:sz w:val="28"/>
        </w:rPr>
      </w:pPr>
      <w:r w:rsidRPr="00C96A91">
        <w:rPr>
          <w:b/>
          <w:sz w:val="28"/>
        </w:rPr>
        <w:t>Способы и сроки внесения удобрений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Способы, сроки и оптимальная глубина внесения удобрений в садах зависят от развития, глубины залегания корней на разных почвах, перемещения питательных веществ в плодовом дереве, растворимости питательных веществ удобрений и свойств почвы, породно-сортового, подвойного состава и целевого назначения.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Азот препятствует завершению вегетативного роста молодых растений осенью, вызывает ухудшение окраски, водянистость плодов, его обычно вносят в один прием рано весной в расчете, что он будет использован в течение лета.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Ранневесеннее применение азотных удобрений в годы с чрезмерно большим количеством цветковых почек и цветков в семечковых садах может стимулировать процесс излишне большого завязывания плодов, что затрудняет дифференциацию цветковых почек. Поэтому азотные удобрения вносят поверхностно под культивацию и заделывают на глубину 8-12 см.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Органические удобрения вносят один раз в 3-4 года: полуперепревший навоз – под основную обработку осенью вместе с фосфорными, калийными и частью азотных удобрений. Хорошо перепревший навоз можно вносить и весной. На легких почвах навоз заделывают глубже, на тяжелых – на небольшую глубину.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Для поверхностного внесения органических удобрений под кроны и межствольные полосы используют навозоразбрасыватели садовые РОУ, минеральные удобрения вносят разбрасывателями 1РМГ и РУМ.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C96A91">
        <w:rPr>
          <w:b/>
          <w:sz w:val="28"/>
        </w:rPr>
        <w:t>Заключение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a8"/>
        <w:shd w:val="clear" w:color="000000" w:fill="auto"/>
        <w:ind w:left="0" w:firstLine="709"/>
      </w:pPr>
      <w:r w:rsidRPr="00C96A91">
        <w:t>В настоящее время благодаря уплотненной посадке садов, внедрению сортов, способных ежегодно плодоносить, использованию слаборослых подвоев получают урожаи плодов в среднем до 30-60 т/га и более. Кроме того, плодовое дерево живет на одном месте в течение 30 лет и более. Все это приводит к истощению почвы, недостаток питательных веществ сказывается на урожайности, морозостойкости и долговечности плодовых деревьев.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Многолетние опыты Всесоюзного научно-исследовательского института садоводства им. И.В.Мичурина свидетельствуют о том, что применение в садах полного минерального удобрения и подкормок повышает урожай плодов на 55% и увеличивает количество ежегодно плодоносящих деревьев яблони.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C96A91">
        <w:rPr>
          <w:b/>
          <w:sz w:val="28"/>
        </w:rPr>
        <w:t>Список использованной литературы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D64443" w:rsidP="00C96A91">
      <w:pPr>
        <w:pStyle w:val="a8"/>
        <w:numPr>
          <w:ilvl w:val="0"/>
          <w:numId w:val="3"/>
        </w:numPr>
        <w:shd w:val="clear" w:color="000000" w:fill="auto"/>
        <w:tabs>
          <w:tab w:val="clear" w:pos="1080"/>
          <w:tab w:val="num" w:pos="400"/>
        </w:tabs>
        <w:ind w:left="0" w:firstLine="0"/>
      </w:pPr>
      <w:r w:rsidRPr="00C96A91">
        <w:t>Плодоводство/ Под ред. В.А.Колесникова. – М.: Колос, 1979. – 415 с.</w:t>
      </w:r>
    </w:p>
    <w:p w:rsidR="00D64443" w:rsidRPr="00C96A91" w:rsidRDefault="00D64443" w:rsidP="00C96A91">
      <w:pPr>
        <w:numPr>
          <w:ilvl w:val="0"/>
          <w:numId w:val="3"/>
        </w:numPr>
        <w:shd w:val="clear" w:color="000000" w:fill="auto"/>
        <w:tabs>
          <w:tab w:val="clear" w:pos="1080"/>
          <w:tab w:val="num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Якушев В.И., Шевченко В.В. Плодоводство с основами декоративного садоводства. – 2-е изд., перераб. И доп. – М.: Агропромиздат, 1987. – 336 с.</w:t>
      </w:r>
    </w:p>
    <w:p w:rsidR="00D64443" w:rsidRPr="00C96A91" w:rsidRDefault="00D64443" w:rsidP="00C96A91">
      <w:pPr>
        <w:numPr>
          <w:ilvl w:val="0"/>
          <w:numId w:val="3"/>
        </w:numPr>
        <w:shd w:val="clear" w:color="000000" w:fill="auto"/>
        <w:tabs>
          <w:tab w:val="clear" w:pos="1080"/>
          <w:tab w:val="num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Овощеводство и плодоводство/ Е.И.Глебова, А.И.Воронина, Н.И.Калашникова и др. – Л.: Колос, Ленинградское отделение, 1978. – 448 с.</w:t>
      </w:r>
    </w:p>
    <w:p w:rsidR="00D64443" w:rsidRPr="00C96A91" w:rsidRDefault="00D64443" w:rsidP="00C96A91">
      <w:pPr>
        <w:numPr>
          <w:ilvl w:val="0"/>
          <w:numId w:val="3"/>
        </w:numPr>
        <w:shd w:val="clear" w:color="000000" w:fill="auto"/>
        <w:tabs>
          <w:tab w:val="clear" w:pos="1080"/>
          <w:tab w:val="num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Куренной Н.М., Колтунов В.Ф., Черепахин В.И. Плодоводство. – 1-е изд. – М.: Агропромиздат, 1985. – 399 с.</w:t>
      </w:r>
    </w:p>
    <w:p w:rsidR="00D64443" w:rsidRPr="00C96A91" w:rsidRDefault="00D64443" w:rsidP="00C96A91">
      <w:pPr>
        <w:numPr>
          <w:ilvl w:val="0"/>
          <w:numId w:val="3"/>
        </w:numPr>
        <w:shd w:val="clear" w:color="000000" w:fill="auto"/>
        <w:tabs>
          <w:tab w:val="clear" w:pos="1080"/>
          <w:tab w:val="num" w:pos="400"/>
        </w:tabs>
        <w:spacing w:line="360" w:lineRule="auto"/>
        <w:ind w:left="0" w:firstLine="0"/>
        <w:jc w:val="both"/>
        <w:rPr>
          <w:sz w:val="28"/>
        </w:rPr>
      </w:pPr>
      <w:r w:rsidRPr="00C96A91">
        <w:rPr>
          <w:sz w:val="28"/>
        </w:rPr>
        <w:t>Овощеводство и плодоводство/ А.С.Симонов, В.К.Родионов, Ю.В.Крысанов и др., Под ред. А.С.Симонова. – М.: Агропромиздат, 1986. – 398 с.</w:t>
      </w:r>
    </w:p>
    <w:p w:rsidR="00D64443" w:rsidRPr="00C96A91" w:rsidRDefault="00D64443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C96A91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C96A91">
        <w:rPr>
          <w:b/>
          <w:sz w:val="28"/>
        </w:rPr>
        <w:t>Приложение</w:t>
      </w:r>
    </w:p>
    <w:p w:rsid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D64443" w:rsidRPr="00C96A91" w:rsidRDefault="00C96A91" w:rsidP="00C96A91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C96A91">
        <w:rPr>
          <w:sz w:val="28"/>
        </w:rPr>
        <w:t>Схема применения удобрений под яблоню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1413"/>
        <w:gridCol w:w="1100"/>
        <w:gridCol w:w="1200"/>
        <w:gridCol w:w="1100"/>
      </w:tblGrid>
      <w:tr w:rsidR="00D64443" w:rsidRPr="00C96A91" w:rsidTr="00D64443">
        <w:trPr>
          <w:cantSplit/>
          <w:trHeight w:val="345"/>
        </w:trPr>
        <w:tc>
          <w:tcPr>
            <w:tcW w:w="3095" w:type="dxa"/>
            <w:vMerge w:val="restart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Зона, система содержания почвы</w:t>
            </w:r>
          </w:p>
        </w:tc>
        <w:tc>
          <w:tcPr>
            <w:tcW w:w="1413" w:type="dxa"/>
            <w:vMerge w:val="restart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Органическое удобрение, т/га</w:t>
            </w:r>
          </w:p>
        </w:tc>
        <w:tc>
          <w:tcPr>
            <w:tcW w:w="3400" w:type="dxa"/>
            <w:gridSpan w:val="3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Минеральные удобрения, кг д.в. /га</w:t>
            </w:r>
          </w:p>
        </w:tc>
      </w:tr>
      <w:tr w:rsidR="00D64443" w:rsidRPr="00C96A91" w:rsidTr="00D64443">
        <w:trPr>
          <w:cantSplit/>
          <w:trHeight w:val="521"/>
        </w:trPr>
        <w:tc>
          <w:tcPr>
            <w:tcW w:w="3095" w:type="dxa"/>
            <w:vMerge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</w:tc>
        <w:tc>
          <w:tcPr>
            <w:tcW w:w="1413" w:type="dxa"/>
            <w:vMerge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</w:tc>
        <w:tc>
          <w:tcPr>
            <w:tcW w:w="11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азотные</w:t>
            </w:r>
          </w:p>
        </w:tc>
        <w:tc>
          <w:tcPr>
            <w:tcW w:w="12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фосфорные</w:t>
            </w:r>
          </w:p>
        </w:tc>
        <w:tc>
          <w:tcPr>
            <w:tcW w:w="11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калийные</w:t>
            </w:r>
          </w:p>
        </w:tc>
      </w:tr>
      <w:tr w:rsidR="00D64443" w:rsidRPr="00C96A91" w:rsidTr="00D64443">
        <w:trPr>
          <w:cantSplit/>
        </w:trPr>
        <w:tc>
          <w:tcPr>
            <w:tcW w:w="3095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i/>
                <w:sz w:val="20"/>
              </w:rPr>
            </w:pPr>
            <w:r w:rsidRPr="00C96A91">
              <w:rPr>
                <w:i/>
                <w:sz w:val="20"/>
              </w:rPr>
              <w:t>Лесостепь: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Без орошения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При орошении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i/>
                <w:sz w:val="20"/>
              </w:rPr>
            </w:pPr>
            <w:r w:rsidRPr="00C96A91">
              <w:rPr>
                <w:i/>
                <w:sz w:val="20"/>
              </w:rPr>
              <w:t>Степь: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Без орошения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При орошении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i/>
                <w:sz w:val="20"/>
              </w:rPr>
            </w:pPr>
            <w:r w:rsidRPr="00C96A91">
              <w:rPr>
                <w:i/>
                <w:sz w:val="20"/>
              </w:rPr>
              <w:t>Центрально-Нечерноземная зона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i/>
                <w:sz w:val="20"/>
              </w:rPr>
            </w:pPr>
            <w:r w:rsidRPr="00C96A91">
              <w:rPr>
                <w:i/>
                <w:sz w:val="20"/>
              </w:rPr>
              <w:t>Центрально-Черноземная зона</w:t>
            </w:r>
          </w:p>
        </w:tc>
        <w:tc>
          <w:tcPr>
            <w:tcW w:w="1413" w:type="dxa"/>
          </w:tcPr>
          <w:p w:rsidR="00D64443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30-40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30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30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30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50-60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40-50</w:t>
            </w:r>
          </w:p>
        </w:tc>
        <w:tc>
          <w:tcPr>
            <w:tcW w:w="11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90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90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180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</w:tc>
        <w:tc>
          <w:tcPr>
            <w:tcW w:w="12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45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45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</w:tc>
        <w:tc>
          <w:tcPr>
            <w:tcW w:w="1100" w:type="dxa"/>
          </w:tcPr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90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120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45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45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180</w:t>
            </w:r>
          </w:p>
          <w:p w:rsidR="00D64443" w:rsidRPr="00C96A91" w:rsidRDefault="00D64443" w:rsidP="00C96A91">
            <w:pPr>
              <w:pStyle w:val="21"/>
              <w:shd w:val="clear" w:color="000000" w:fill="auto"/>
              <w:ind w:firstLine="0"/>
              <w:rPr>
                <w:sz w:val="20"/>
              </w:rPr>
            </w:pPr>
            <w:r w:rsidRPr="00C96A91">
              <w:rPr>
                <w:sz w:val="20"/>
              </w:rPr>
              <w:t>60</w:t>
            </w:r>
          </w:p>
        </w:tc>
      </w:tr>
    </w:tbl>
    <w:p w:rsidR="00D64443" w:rsidRPr="00C96A91" w:rsidRDefault="00D64443" w:rsidP="00C96A91">
      <w:pPr>
        <w:pStyle w:val="21"/>
        <w:shd w:val="clear" w:color="000000" w:fill="auto"/>
        <w:ind w:firstLine="709"/>
      </w:pPr>
      <w:bookmarkStart w:id="0" w:name="_GoBack"/>
      <w:bookmarkEnd w:id="0"/>
    </w:p>
    <w:sectPr w:rsidR="00D64443" w:rsidRPr="00C96A91" w:rsidSect="00C96A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DCD" w:rsidRDefault="00A04DCD">
      <w:r>
        <w:separator/>
      </w:r>
    </w:p>
  </w:endnote>
  <w:endnote w:type="continuationSeparator" w:id="0">
    <w:p w:rsidR="00A04DCD" w:rsidRDefault="00A0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91" w:rsidRDefault="00C96A91" w:rsidP="00A54857">
    <w:pPr>
      <w:pStyle w:val="aa"/>
      <w:framePr w:wrap="around" w:vAnchor="text" w:hAnchor="margin" w:xAlign="right" w:y="1"/>
      <w:rPr>
        <w:rStyle w:val="a7"/>
      </w:rPr>
    </w:pPr>
  </w:p>
  <w:p w:rsidR="00C96A91" w:rsidRDefault="00C96A91" w:rsidP="00C96A91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91" w:rsidRDefault="00511AB1" w:rsidP="00A54857">
    <w:pPr>
      <w:pStyle w:val="aa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96A91" w:rsidRDefault="00C96A91" w:rsidP="00C96A91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91" w:rsidRDefault="00C96A9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DCD" w:rsidRDefault="00A04DCD">
      <w:r>
        <w:separator/>
      </w:r>
    </w:p>
  </w:footnote>
  <w:footnote w:type="continuationSeparator" w:id="0">
    <w:p w:rsidR="00A04DCD" w:rsidRDefault="00A04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43" w:rsidRDefault="00D64443">
    <w:pPr>
      <w:pStyle w:val="a5"/>
      <w:framePr w:wrap="around" w:vAnchor="text" w:hAnchor="margin" w:xAlign="right" w:y="1"/>
      <w:rPr>
        <w:rStyle w:val="a7"/>
      </w:rPr>
    </w:pPr>
  </w:p>
  <w:p w:rsidR="00D64443" w:rsidRDefault="00D6444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43" w:rsidRDefault="00511AB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D64443" w:rsidRDefault="00D6444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91" w:rsidRDefault="00C96A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882"/>
    <w:multiLevelType w:val="multilevel"/>
    <w:tmpl w:val="D57C80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EBF6A8C"/>
    <w:multiLevelType w:val="multilevel"/>
    <w:tmpl w:val="5102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2B395DEC"/>
    <w:multiLevelType w:val="multilevel"/>
    <w:tmpl w:val="F0F80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3">
    <w:nsid w:val="37810049"/>
    <w:multiLevelType w:val="multilevel"/>
    <w:tmpl w:val="D91E023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4254504B"/>
    <w:multiLevelType w:val="multilevel"/>
    <w:tmpl w:val="F0F80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5A2221F8"/>
    <w:multiLevelType w:val="multilevel"/>
    <w:tmpl w:val="4CD88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708C073E"/>
    <w:multiLevelType w:val="multilevel"/>
    <w:tmpl w:val="D2581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70A00AEC"/>
    <w:multiLevelType w:val="singleLevel"/>
    <w:tmpl w:val="52AE47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A91"/>
    <w:rsid w:val="002B6E8A"/>
    <w:rsid w:val="00511AB1"/>
    <w:rsid w:val="006B3772"/>
    <w:rsid w:val="00A04DCD"/>
    <w:rsid w:val="00A54857"/>
    <w:rsid w:val="00C96A91"/>
    <w:rsid w:val="00D64443"/>
    <w:rsid w:val="00D92A41"/>
    <w:rsid w:val="00E8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DABDB5-9376-42D7-884F-640ECFF5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36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357"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spacing w:line="360" w:lineRule="auto"/>
      <w:ind w:firstLine="720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left="357"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a">
    <w:name w:val="footer"/>
    <w:basedOn w:val="a"/>
    <w:link w:val="ab"/>
    <w:uiPriority w:val="99"/>
    <w:rsid w:val="00C96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2531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 </Company>
  <LinksUpToDate>false</LinksUpToDate>
  <CharactersWithSpaces>16925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1</dc:creator>
  <cp:keywords/>
  <dc:description/>
  <cp:lastModifiedBy>admin</cp:lastModifiedBy>
  <cp:revision>2</cp:revision>
  <dcterms:created xsi:type="dcterms:W3CDTF">2014-03-07T18:53:00Z</dcterms:created>
  <dcterms:modified xsi:type="dcterms:W3CDTF">2014-03-07T18:53:00Z</dcterms:modified>
</cp:coreProperties>
</file>