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Управление маркетингом 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В разделе рассматриваются экономические аспекты проекта, затраты на реализацию, ожидаемая эффективность предлагаемых методов маркетинга.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 маркетингового анализа. Целевые установки</w:t>
      </w:r>
    </w:p>
    <w:p w:rsidR="004207F4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Чтобы располагать желаемой суммой прибыли, предприятие должно заработать ее путем продажи изделий конкретным потребителям, выполнения для них работ и оказания требуемых услуг. Высококачественным и устойчивым является такой финансовый результат, который получен не вследствие экстраординарных условий, а заработан стабильной производственной деятельностью. Данное обстоятельство требует изучения и активного формирования предприятием того рыночного пространства, в рамках которого оно действует.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Для осуществления анализа эффективности внедрения маркетинговых программ необходимо организовать сбор следующих данных о существующем положении предприятия:</w:t>
      </w:r>
    </w:p>
    <w:p w:rsidR="004207F4" w:rsidRPr="005C5DEA" w:rsidRDefault="004207F4" w:rsidP="005C5DEA">
      <w:pPr>
        <w:numPr>
          <w:ilvl w:val="0"/>
          <w:numId w:val="2"/>
        </w:numPr>
        <w:shd w:val="clear" w:color="auto" w:fill="FFFFFF"/>
        <w:tabs>
          <w:tab w:val="left" w:pos="32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бухгалтерская (финансовая) отчетность предприятия - балансовая отчетность о движении фондов, счета прибылей и убытков;</w:t>
      </w:r>
    </w:p>
    <w:p w:rsidR="004207F4" w:rsidRPr="005C5DEA" w:rsidRDefault="004207F4" w:rsidP="005C5DEA">
      <w:pPr>
        <w:numPr>
          <w:ilvl w:val="0"/>
          <w:numId w:val="2"/>
        </w:numPr>
        <w:shd w:val="clear" w:color="auto" w:fill="FFFFFF"/>
        <w:tabs>
          <w:tab w:val="left" w:pos="32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статистическая отчетность предприятия;</w:t>
      </w:r>
    </w:p>
    <w:p w:rsidR="004207F4" w:rsidRPr="005C5DEA" w:rsidRDefault="004207F4" w:rsidP="005C5DEA">
      <w:pPr>
        <w:numPr>
          <w:ilvl w:val="0"/>
          <w:numId w:val="2"/>
        </w:numPr>
        <w:shd w:val="clear" w:color="auto" w:fill="FFFFFF"/>
        <w:tabs>
          <w:tab w:val="left" w:pos="32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данные единовременных обследований (анкетирование, интервьюирование, котировки акций, рейтинговые оценки);</w:t>
      </w:r>
    </w:p>
    <w:p w:rsidR="004207F4" w:rsidRPr="005C5DEA" w:rsidRDefault="004207F4" w:rsidP="005C5DEA">
      <w:pPr>
        <w:numPr>
          <w:ilvl w:val="0"/>
          <w:numId w:val="2"/>
        </w:numPr>
        <w:shd w:val="clear" w:color="auto" w:fill="FFFFFF"/>
        <w:tabs>
          <w:tab w:val="left" w:pos="32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данные периодической печати.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При проведении расчетов необходимо исходить из следующих групп факторов.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1. Специфические факторы предприятия:</w:t>
      </w:r>
    </w:p>
    <w:p w:rsidR="004207F4" w:rsidRPr="005C5DEA" w:rsidRDefault="004207F4" w:rsidP="005C5DEA">
      <w:pPr>
        <w:numPr>
          <w:ilvl w:val="0"/>
          <w:numId w:val="2"/>
        </w:numPr>
        <w:shd w:val="clear" w:color="auto" w:fill="FFFFFF"/>
        <w:tabs>
          <w:tab w:val="left" w:pos="32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финансовая стратегия предприятия;</w:t>
      </w:r>
    </w:p>
    <w:p w:rsidR="004207F4" w:rsidRPr="005C5DEA" w:rsidRDefault="004207F4" w:rsidP="005C5DEA">
      <w:pPr>
        <w:numPr>
          <w:ilvl w:val="0"/>
          <w:numId w:val="2"/>
        </w:numPr>
        <w:shd w:val="clear" w:color="auto" w:fill="FFFFFF"/>
        <w:tabs>
          <w:tab w:val="left" w:pos="32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доходообразующий потенциал и его стабильность;</w:t>
      </w:r>
    </w:p>
    <w:p w:rsidR="004207F4" w:rsidRPr="005C5DEA" w:rsidRDefault="004207F4" w:rsidP="005C5DEA">
      <w:pPr>
        <w:numPr>
          <w:ilvl w:val="0"/>
          <w:numId w:val="2"/>
        </w:numPr>
        <w:shd w:val="clear" w:color="auto" w:fill="FFFFFF"/>
        <w:tabs>
          <w:tab w:val="left" w:pos="32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маркетинговые стратегии предприятия;</w:t>
      </w:r>
    </w:p>
    <w:p w:rsidR="004207F4" w:rsidRPr="005C5DEA" w:rsidRDefault="004207F4" w:rsidP="005C5DEA">
      <w:pPr>
        <w:numPr>
          <w:ilvl w:val="0"/>
          <w:numId w:val="2"/>
        </w:numPr>
        <w:shd w:val="clear" w:color="auto" w:fill="FFFFFF"/>
        <w:tabs>
          <w:tab w:val="left" w:pos="32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финансовые стимулы и рычаги.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2. Сведения о маркетинговой деятельности предприятия:</w:t>
      </w:r>
    </w:p>
    <w:p w:rsidR="004207F4" w:rsidRPr="005C5DEA" w:rsidRDefault="004207F4" w:rsidP="005C5DEA">
      <w:pPr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объем и сегментация рынка;</w:t>
      </w:r>
    </w:p>
    <w:p w:rsidR="004207F4" w:rsidRPr="005C5DEA" w:rsidRDefault="004207F4" w:rsidP="005C5DEA">
      <w:pPr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количество и состав клиентов;</w:t>
      </w:r>
    </w:p>
    <w:p w:rsidR="004207F4" w:rsidRPr="005C5DEA" w:rsidRDefault="004207F4" w:rsidP="005C5DEA">
      <w:pPr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коммерческая мощь конкурентов и степень их организованности;</w:t>
      </w:r>
    </w:p>
    <w:p w:rsidR="004207F4" w:rsidRPr="005C5DEA" w:rsidRDefault="004207F4" w:rsidP="005C5DEA">
      <w:pPr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возможности рынка товаров-заменителей;</w:t>
      </w:r>
    </w:p>
    <w:p w:rsidR="004207F4" w:rsidRPr="005C5DEA" w:rsidRDefault="004207F4" w:rsidP="005C5DEA">
      <w:pPr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регламентирующая сила государственных структур;</w:t>
      </w:r>
    </w:p>
    <w:p w:rsidR="004207F4" w:rsidRPr="005C5DEA" w:rsidRDefault="004207F4" w:rsidP="005C5DEA">
      <w:pPr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жизненные циклы продуктов;</w:t>
      </w:r>
    </w:p>
    <w:p w:rsidR="004207F4" w:rsidRPr="005C5DEA" w:rsidRDefault="004207F4" w:rsidP="005C5DEA">
      <w:pPr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реальность угрозы потери, сокращения рынка;</w:t>
      </w:r>
    </w:p>
    <w:p w:rsidR="004207F4" w:rsidRPr="005C5DEA" w:rsidRDefault="004207F4" w:rsidP="005C5DEA">
      <w:pPr>
        <w:numPr>
          <w:ilvl w:val="0"/>
          <w:numId w:val="3"/>
        </w:numPr>
        <w:shd w:val="clear" w:color="auto" w:fill="FFFFFF"/>
        <w:tabs>
          <w:tab w:val="left" w:pos="408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возможность для расширения рынка.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5C5D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Экономическое обоснование бюджета маркетинга</w:t>
      </w:r>
    </w:p>
    <w:bookmarkEnd w:id="0"/>
    <w:bookmarkEnd w:id="1"/>
    <w:p w:rsidR="004207F4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Бюджет маркетинга — это расходы на исследование рынков, на обеспечение конкурентоспособности товара, на информационную связь с покупателями (реклама, участие в выставках, ярмарках и т.д.), на организацию товародвижения и сбытовой сети.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Выделение средств на маркетинг — это решение оптимизационной задачи с большим количеством переменных, влияние которых обычно не поддается точному учету. Влияние переменных к тому же нелинейно и часто определяется только эмпирическим путем.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В определении бюджета основную часть занимают установление глобальных и маркетинговых стратегий фирмы, сопоставление целей и задач в долго- и краткосрочном периодах, учет финансовых возможностей.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Чтобы оценить порядок величины расходов на маркетинг, можно использовать уравнение прибыли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П=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Ц-[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т+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уд)+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п+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м]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П - прибыль;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</w:t>
      </w: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объем продаж, шт.;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Ц — прейскурантная цена;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т - транспортные, комиссионные или иные расходы на продажу 1 ед. товара; 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уд - затраты на производство 1 ед. товара, не связанные с маркетингом, но зависящие от объема производства;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п - постоянные затраты на производство, не связанные с маркетингом и не зависящие от объема производства и продажи;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м - затраты на маркетинг: исследования и разработки; организация каналов сбыта; реклама; управление персоналом сферы маркетинга.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м =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Ц-[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т+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уд)+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п] - П</w:t>
      </w:r>
    </w:p>
    <w:p w:rsidR="005C5DEA" w:rsidRP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При определении бюджета маркетинга можно предположить, что возможная прибыль в зависимости от доли рынка может составлять от 10 до 30% инвестированного капитала. Сейчас уже стал общепризнанным тот факт, что одним из главных определяющих факторов рентабельности бизнеса является доля на рынке:</w:t>
      </w:r>
    </w:p>
    <w:p w:rsidR="004207F4" w:rsidRPr="005C5DEA" w:rsidRDefault="004207F4" w:rsidP="005C5DE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206"/>
      </w:tblGrid>
      <w:tr w:rsidR="004207F4" w:rsidRPr="005C5DEA">
        <w:trPr>
          <w:trHeight w:hRule="exact" w:val="365"/>
          <w:jc w:val="center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  <w:color w:val="000000"/>
              </w:rPr>
              <w:t>Доля рынка, %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  <w:color w:val="000000"/>
              </w:rPr>
              <w:t>Норма прибыли, %</w:t>
            </w:r>
          </w:p>
        </w:tc>
      </w:tr>
      <w:tr w:rsidR="004207F4" w:rsidRPr="005C5DEA">
        <w:trPr>
          <w:trHeight w:hRule="exact" w:val="269"/>
          <w:jc w:val="center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  <w:color w:val="000000"/>
              </w:rPr>
              <w:t>5-12</w:t>
            </w:r>
          </w:p>
        </w:tc>
      </w:tr>
      <w:tr w:rsidR="004207F4" w:rsidRPr="005C5DEA">
        <w:trPr>
          <w:trHeight w:hRule="exact" w:val="288"/>
          <w:jc w:val="center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  <w:color w:val="000000"/>
              </w:rPr>
              <w:t>20—30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  <w:color w:val="000000"/>
              </w:rPr>
              <w:t>16—22</w:t>
            </w:r>
          </w:p>
        </w:tc>
      </w:tr>
      <w:tr w:rsidR="004207F4" w:rsidRPr="005C5DEA">
        <w:trPr>
          <w:trHeight w:hRule="exact" w:val="278"/>
          <w:jc w:val="center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  <w:color w:val="000000"/>
              </w:rPr>
              <w:t>27—25</w:t>
            </w:r>
          </w:p>
        </w:tc>
      </w:tr>
      <w:tr w:rsidR="004207F4" w:rsidRPr="005C5DEA">
        <w:trPr>
          <w:trHeight w:hRule="exact" w:val="346"/>
          <w:jc w:val="center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  <w:color w:val="000000"/>
              </w:rPr>
              <w:t>Более 40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</w:tbl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Исследования показывают, что завоевание доли рынка — одна из важнейших маркетинговых целей предприятий. Однако при планировании бюджета необходимо помнить, что в краткосрочном плане расходы на завоевание доли рынка ведут к снижению прибыли. Наибольшие трудности у руководителей фирмы и маркетинговых служб возникают при решении следующих вопросов:</w:t>
      </w:r>
    </w:p>
    <w:p w:rsidR="004207F4" w:rsidRPr="005C5DEA" w:rsidRDefault="004207F4" w:rsidP="005C5DEA">
      <w:pPr>
        <w:numPr>
          <w:ilvl w:val="0"/>
          <w:numId w:val="4"/>
        </w:numPr>
        <w:shd w:val="clear" w:color="auto" w:fill="FFFFFF"/>
        <w:tabs>
          <w:tab w:val="left" w:pos="547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Имеет ли компания необходимые ресурсы для ведения рыночной кампании?</w:t>
      </w:r>
    </w:p>
    <w:p w:rsidR="004207F4" w:rsidRPr="005C5DEA" w:rsidRDefault="004207F4" w:rsidP="005C5DEA">
      <w:pPr>
        <w:numPr>
          <w:ilvl w:val="0"/>
          <w:numId w:val="4"/>
        </w:numPr>
        <w:shd w:val="clear" w:color="auto" w:fill="FFFFFF"/>
        <w:tabs>
          <w:tab w:val="left" w:pos="547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Окажется ли фирма жизнеспособной в том случае, если ее движение к расширению доли на рынке столкнется с препятствиями до того, как она достигнет поставленных целей?</w:t>
      </w:r>
    </w:p>
    <w:p w:rsidR="004207F4" w:rsidRPr="005C5DEA" w:rsidRDefault="004207F4" w:rsidP="005C5DEA">
      <w:pPr>
        <w:numPr>
          <w:ilvl w:val="0"/>
          <w:numId w:val="4"/>
        </w:numPr>
        <w:shd w:val="clear" w:color="auto" w:fill="FFFFFF"/>
        <w:tabs>
          <w:tab w:val="left" w:pos="547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Не является ли для фирмы более предпочтительной консервативная стратегия или стратегия, допускающая снижение доли на рынке?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 и оценка конкурентоспособности товара</w:t>
      </w:r>
    </w:p>
    <w:p w:rsidR="004207F4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Конкурентоспособность оценивается по показателю конкурентоспособности:</w:t>
      </w:r>
    </w:p>
    <w:p w:rsidR="005C5DEA" w:rsidRPr="004207F4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sz w:val="28"/>
          <w:szCs w:val="28"/>
        </w:rPr>
        <w:t xml:space="preserve">К = </w:t>
      </w:r>
      <w:r w:rsidRPr="005C5DE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C5DEA">
        <w:rPr>
          <w:rFonts w:ascii="Times New Roman" w:hAnsi="Times New Roman" w:cs="Times New Roman"/>
          <w:sz w:val="28"/>
          <w:szCs w:val="28"/>
        </w:rPr>
        <w:t xml:space="preserve">т.п. / </w:t>
      </w:r>
      <w:r w:rsidRPr="005C5DE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C5DEA">
        <w:rPr>
          <w:rFonts w:ascii="Times New Roman" w:hAnsi="Times New Roman" w:cs="Times New Roman"/>
          <w:sz w:val="28"/>
          <w:szCs w:val="28"/>
        </w:rPr>
        <w:t>э.п.</w:t>
      </w:r>
    </w:p>
    <w:p w:rsidR="005C5DEA" w:rsidRPr="004207F4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5C5DE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C5DEA">
        <w:rPr>
          <w:rFonts w:ascii="Times New Roman" w:hAnsi="Times New Roman" w:cs="Times New Roman"/>
          <w:sz w:val="28"/>
          <w:szCs w:val="28"/>
        </w:rPr>
        <w:t>т.п. -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индекс технических параметров</w:t>
      </w:r>
      <w:r w:rsidRPr="005C5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C5DEA">
        <w:rPr>
          <w:rFonts w:ascii="Times New Roman" w:hAnsi="Times New Roman" w:cs="Times New Roman"/>
          <w:sz w:val="28"/>
          <w:szCs w:val="28"/>
        </w:rPr>
        <w:t xml:space="preserve">э.п. -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индекс экономических параметров,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т.е. К = Индекс качества/Индекс цен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07F4" w:rsidRPr="005C5DEA" w:rsidRDefault="004207F4" w:rsidP="005C5DEA">
      <w:pPr>
        <w:pStyle w:val="1"/>
        <w:suppressAutoHyphens/>
        <w:spacing w:line="360" w:lineRule="auto"/>
        <w:ind w:firstLine="720"/>
        <w:rPr>
          <w:spacing w:val="0"/>
          <w:sz w:val="28"/>
        </w:rPr>
      </w:pPr>
      <w:r w:rsidRPr="005C5DEA">
        <w:rPr>
          <w:spacing w:val="0"/>
          <w:sz w:val="28"/>
        </w:rPr>
        <w:t>Индекс технических параметров определяется по формуле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C5DEA">
        <w:rPr>
          <w:rFonts w:ascii="Times New Roman" w:hAnsi="Times New Roman" w:cs="Times New Roman"/>
          <w:sz w:val="28"/>
          <w:szCs w:val="28"/>
        </w:rPr>
        <w:t>т.н = ∑</w:t>
      </w:r>
      <w:r w:rsidRPr="005C5DEA">
        <w:rPr>
          <w:rFonts w:ascii="Times New Roman" w:hAnsi="Times New Roman" w:cs="Times New Roman"/>
          <w:sz w:val="28"/>
          <w:szCs w:val="28"/>
          <w:lang w:val="en-US"/>
        </w:rPr>
        <w:t>DiGi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Di - коэффициент значимости параметра;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Gi - относительный параметр качества, определяемый по</w:t>
      </w:r>
      <w:r w:rsidR="005C5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. формуле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Gi = Pоцен/Pконк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Pоцен - значение параметра оцениваемого товара;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Pконк - значение параметра товара конкурирующей фирмы. Индекс экономических параметров определяется по формуле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Jэ.п. = Sоцен.потр/Sконк.потр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Sоцен.потр - цена потребления оцениваемого товара;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Sконк.потр – цена потребления товара конкурирующей фирмы. 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Цена потребления определяется суммой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Sпотр = Sпрод + М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Sпрод — продажная цена в условной валюте;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М - суммарные расходы потребителя за весь срок службы товара в условной валюте.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Экономическая оценка стратегии принятия инвестиционного решения</w:t>
      </w:r>
    </w:p>
    <w:p w:rsidR="004207F4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В мировой и отечественной практике подобные расчеты называют дисконтированием будущего дохода, а искомую первоначальную сумму, которую необходимо заплатить в настоящее время за оборудование, чтобы получить доход в будущем, — дисконтированной или текущей стоимостью (Dc).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Dc = x/(1+y)t(степень)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х— исходная сумма; .у—процентная ставка;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t - период времени, в течение которого ожидаются ежегодные доходы от вложений.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При t=1 год (допущение, что срок эксплуатации товара равен одному году, при этом х — чистый доход)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Dc = x/(1+y)t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Инвестиционное решение предприятия сводится к сравнению цены спроса и цены предложения.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Здесь Пс является ценой спроса, а в условиях равновесия цена спроса равна цене предложения (Цс= Цп):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Цс=х/(1+у),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Цс(1+у)=х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отсюда (1 +у) = х/Цп,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у = (х/Цп) - 1 = (х - ЦП)/Цп = (Чистый доход - Цп)/Цп,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х— чистый доход;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Цп — продажная цена (цена предложения). 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Вычисленная таким образом величина называется нормой отдачи от инвестиций.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Экономическая оценка качества товаров</w:t>
      </w:r>
    </w:p>
    <w:p w:rsidR="004207F4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Один из способов получения данных об изменении качества товаров состоит в том, чтобы экспертным способом создать номенклатурный перечень признаков качества, ранжировать их по значимости для потребителей в рамках определенной шкалы весов и сравнить фактически достигнутые уровни показателей с показателями, принятыми за базу сравнения (эталон, стандарт, требования технических условий и т.п.). Расчетная формула сводного индекса качества товаров имеет вид: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И = ∑∑Кф/Кб*CiCj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И — сводный индекс качества;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∑∑- суммирование взвешенных коэффициентов качества по набору товаров с учетом нескольких признаков полезности;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Кф, К6 — соответственно фактический и базовый уровень качества;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Сi - весовой коэффициент значимости соответствующего признака качества;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Сj - коэффициент весомости товарной группы в общем объеме продаж.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Изменение качества проданных товаров можно оценивать путем косвенных расчетов — через динамику цен реализации товаров, так как качественные товары продаются по сравнительно высоким ценам.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Э = Цп-Цс,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Э — эффект от изменения качества товаров;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Цп - фактическая стоимость продаж товаров по ценам соответствующего качества; 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Цс - фактическая стоимость продаж товаров по средним ценам реализации в базисном периоде.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Таким образом, трудность подготовки этого раздела в дипломном проекте по данной проблематике заключается в том, что не всегда маркетинговую деятельность удается точно выразить количественными показателями.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Для выбранной маркетинговой проблемы следует оценить вероятность успеха на краткосрочную и долговременную перспективу и определить степень риска реализации предлагаемых в дипломном проекте маркетинговых программ.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Методика анализа конкурентоспособности маркетинговой деятельности</w:t>
      </w:r>
    </w:p>
    <w:p w:rsidR="004207F4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В данном разделе для анализа конкурентоспособности фирмы предлагается следующая методика.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В целом по совокупности деятельности на всех рынках или относительно отдельных рынков и их секторов критерии конкурентоспособности группируются по отдельным элементам комплекса маркетинга:</w:t>
      </w:r>
    </w:p>
    <w:p w:rsidR="004207F4" w:rsidRPr="005C5DEA" w:rsidRDefault="004207F4" w:rsidP="005C5DEA">
      <w:pPr>
        <w:numPr>
          <w:ilvl w:val="0"/>
          <w:numId w:val="5"/>
        </w:numPr>
        <w:shd w:val="clear" w:color="auto" w:fill="FFFFFF"/>
        <w:tabs>
          <w:tab w:val="left" w:pos="6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продукт;</w:t>
      </w:r>
    </w:p>
    <w:p w:rsidR="004207F4" w:rsidRPr="005C5DEA" w:rsidRDefault="004207F4" w:rsidP="005C5DEA">
      <w:pPr>
        <w:numPr>
          <w:ilvl w:val="0"/>
          <w:numId w:val="5"/>
        </w:numPr>
        <w:shd w:val="clear" w:color="auto" w:fill="FFFFFF"/>
        <w:tabs>
          <w:tab w:val="left" w:pos="6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цена;</w:t>
      </w:r>
    </w:p>
    <w:p w:rsidR="004207F4" w:rsidRPr="005C5DEA" w:rsidRDefault="004207F4" w:rsidP="005C5DEA">
      <w:pPr>
        <w:numPr>
          <w:ilvl w:val="0"/>
          <w:numId w:val="5"/>
        </w:numPr>
        <w:shd w:val="clear" w:color="auto" w:fill="FFFFFF"/>
        <w:tabs>
          <w:tab w:val="left" w:pos="6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доведение продукта до потребителя;</w:t>
      </w:r>
    </w:p>
    <w:p w:rsidR="004207F4" w:rsidRPr="005C5DEA" w:rsidRDefault="004207F4" w:rsidP="005C5DEA">
      <w:pPr>
        <w:shd w:val="clear" w:color="auto" w:fill="FFFFFF"/>
        <w:tabs>
          <w:tab w:val="left" w:pos="6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4) продвижение продукта (маркетинговые коммуникации). Для подсчетов используется система показателей деловой активности и эффективности деятельности фирмы.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Применим принципы основных теоретических подходов к расчету конкурентоспособности фирмы для анализа конкурентоспособности ее маркетинговой деятельности.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С учетом изложенного предлагается следующая система показателей.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C5D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продукту.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Коэффициент рыночной доли (КРД):</w:t>
      </w:r>
    </w:p>
    <w:p w:rsidR="005C5DEA" w:rsidRPr="005C5DEA" w:rsidRDefault="005C5DEA" w:rsidP="005C5DEA">
      <w:pPr>
        <w:shd w:val="clear" w:color="auto" w:fill="FFFFFF"/>
        <w:tabs>
          <w:tab w:val="left" w:pos="5875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tabs>
          <w:tab w:val="left" w:pos="5875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КРД = ОП/ООПР,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ОП — объем продаж продукта фирмой;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ООПР — общий объем продаж продукта на рынке. Коэффициент показывает долю, занимаемую фирмой на рынке. 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Коэффициент предпродажной подготовки (КПП):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КПП = ЗПП/ЗПОП,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где ЗПП - сумма затрат на предпродажную подготовку; 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ЗПОП - сумма затрат на производство (приобретение) продукта и организацию его продаж.</w:t>
      </w:r>
      <w:r w:rsidR="005C5DEA"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Этот показатель характеризует усилие фирмы к росту конкурентоспособности за счет улучшения предпродажной подготовки. В случае если продукт не требовал предпродажной подготовки в отчетный период, то принимается, что КПП = 1. 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Коэффициент изменения объема продаж (КИОП):</w:t>
      </w:r>
    </w:p>
    <w:p w:rsidR="005C5DEA" w:rsidRDefault="005C5DEA" w:rsidP="005C5DEA">
      <w:pPr>
        <w:shd w:val="clear" w:color="auto" w:fill="FFFFFF"/>
        <w:tabs>
          <w:tab w:val="left" w:pos="5899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tabs>
          <w:tab w:val="left" w:pos="5899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КИОП = ОПКОП/ОПНОП,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ОПКОП, ОПНОП — объем продаж соответственно на конец и на начало отчетного периода.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Показывает рост или снижение конкурентоспособности фирмы за счет роста объема продаж.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EA">
        <w:rPr>
          <w:rFonts w:ascii="Times New Roman" w:hAnsi="Times New Roman" w:cs="Times New Roman"/>
          <w:b/>
          <w:color w:val="000000"/>
          <w:sz w:val="28"/>
          <w:szCs w:val="28"/>
        </w:rPr>
        <w:t>2. По цене.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Коэффициент уровня цен (КУЦ):</w:t>
      </w:r>
    </w:p>
    <w:p w:rsidR="005C5DEA" w:rsidRDefault="005C5DEA" w:rsidP="005C5DEA">
      <w:pPr>
        <w:shd w:val="clear" w:color="auto" w:fill="FFFFFF"/>
        <w:tabs>
          <w:tab w:val="left" w:pos="588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tabs>
          <w:tab w:val="left" w:pos="588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КУЦ = (Ц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тах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+ Ц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т]п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)/2Ц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уф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5DEA" w:rsidRDefault="005C5DEA" w:rsidP="005C5DEA">
      <w:pPr>
        <w:shd w:val="clear" w:color="auto" w:fill="FFFFFF"/>
        <w:tabs>
          <w:tab w:val="left" w:pos="8595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tabs>
          <w:tab w:val="left" w:pos="8595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Ц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тах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, Ц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т1п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— соответственно максимальная и минимальная цена товара на рынке; Ц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уф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- цена товара, установленная фирмой. Показывает рост или снижение конкурентоспособности фирмы за счет динамики цен на продукт.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 доведению продукта до потребителя.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Коэффициент доведения продукта до потребителя</w:t>
      </w:r>
    </w:p>
    <w:p w:rsidR="005C5DEA" w:rsidRDefault="005C5DEA" w:rsidP="005C5DEA">
      <w:pPr>
        <w:shd w:val="clear" w:color="auto" w:fill="FFFFFF"/>
        <w:tabs>
          <w:tab w:val="left" w:pos="587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tabs>
          <w:tab w:val="left" w:pos="587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КС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= КИОП.ЗСБ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/ЗСБ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КИОП — коэффициент изменения объема продаж;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ЗСБ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, ЗСБ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— суммы затрат на функционирование системы сбыта соответственно на конец и на начало отчетного периода.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Показывает стремление фирмы к повышению конкурентоспособности за счет улучшения сбытовой деятельности.</w:t>
      </w:r>
    </w:p>
    <w:p w:rsidR="004207F4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 продвижению продукта.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Коэффициент рекламной деятельности (К</w:t>
      </w: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рек</w:t>
      </w: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Д):</w:t>
      </w:r>
    </w:p>
    <w:p w:rsidR="005C5DEA" w:rsidRDefault="005C5DEA" w:rsidP="005C5DEA">
      <w:pPr>
        <w:shd w:val="clear" w:color="auto" w:fill="FFFFFF"/>
        <w:tabs>
          <w:tab w:val="left" w:pos="5851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tabs>
          <w:tab w:val="left" w:pos="5851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К^ = КИОП . ЗРД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/ЗРД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ЗРД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, ЗРД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— затраты на рекламную деятельность соответственно на конец и на начало отчетного периода.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Характеризует стремление фирмы к росту конкурентоспособности за счет улучшения рекламной деятельности.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Коэффициент использования персональных продаж (КИПП):</w:t>
      </w:r>
    </w:p>
    <w:p w:rsidR="005C5DEA" w:rsidRDefault="005C5DEA" w:rsidP="005C5DEA">
      <w:pPr>
        <w:shd w:val="clear" w:color="auto" w:fill="FFFFFF"/>
        <w:tabs>
          <w:tab w:val="left" w:pos="597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tabs>
          <w:tab w:val="left" w:pos="597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КИПП = КИОП • ЗПТА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/ЗПТА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ЗПТАкоп, ЗПТА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- суммы затрат на оплату труда торговых агентов соответственно на конец и на начало отчетного периода.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Показывает стремление фирмы к росту конкурентоспособности за счет роста персональных продаж с привлечением торговых агентов.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Коэффициент использования связей с общественностью (КИСО):</w:t>
      </w:r>
    </w:p>
    <w:p w:rsidR="005C5DEA" w:rsidRDefault="005C5DEA" w:rsidP="005C5DEA">
      <w:pPr>
        <w:shd w:val="clear" w:color="auto" w:fill="FFFFFF"/>
        <w:tabs>
          <w:tab w:val="left" w:pos="5942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tabs>
          <w:tab w:val="left" w:pos="5942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КИСО = КИОП * ЗР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/ЗР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где ЗР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, ЗР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НОП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— затраты на связи с общественностью соответственно на конец и на начало отчетного периода.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Показывает стремление фирмы к росту конкурентоспособности за счет улучшения связей с общественностью.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Суммируя перечисленные коэффициенты и находя среднеарифметическую величину, определим итоговый показатель конкурентоспособности маркетинговой деятельности для конкретного продукта. Назовем его </w:t>
      </w: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коэффициентом маркетингового тестирования конкурентоспособности (КМТК):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КМТК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(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КРД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КПП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КИОП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КУЦ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КС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6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5DE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рек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КИПП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КИСО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)/L,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общее число показателей в числителе. В данном случае </w:t>
      </w: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L</w:t>
      </w: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=8.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Следует отметить, что большинство коэффициентов имеют разные величины для разных продуктов. Тогда для расчета конкурентоспособности маркетинговой деятельности фирмы нужно определить сумму коэффициентов (КМТК) для всех ее продуктов: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К∑ = ∑КМТК/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 —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количество продуктов (услуг) фирмы.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Кроме того, для расчета полной конкурентоспособности фирмы также нужно учитывать общефинансовые коэффициенты, которые рассчитываются на основе анализа баланса фирмы за отчетный период.</w:t>
      </w:r>
      <w:r w:rsidR="005C5DEA"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В практике анализа результатов деятельности фирмы применяется сводная таблица финансовых показателей, включающая коэффициенты ликвидности, устойчивости, деловой активности, прибыльности и т.д. Однако для расчета конкурентоспособности фирмы можно </w:t>
      </w:r>
      <w:r w:rsidRPr="004207F4">
        <w:rPr>
          <w:rFonts w:ascii="Times New Roman" w:hAnsi="Times New Roman" w:cs="Times New Roman"/>
          <w:color w:val="000000"/>
          <w:sz w:val="28"/>
          <w:szCs w:val="28"/>
        </w:rPr>
        <w:t>ограничиться оценкой структуры баланса по следующим коэффициентам.</w:t>
      </w:r>
      <w:r w:rsidR="005C5DEA" w:rsidRPr="00420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7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Коэффициент текущей ликвидности (КТЛ) </w:t>
      </w:r>
      <w:r w:rsidRPr="004207F4">
        <w:rPr>
          <w:rFonts w:ascii="Times New Roman" w:hAnsi="Times New Roman" w:cs="Times New Roman"/>
          <w:color w:val="000000"/>
          <w:sz w:val="28"/>
          <w:szCs w:val="28"/>
        </w:rPr>
        <w:t>определяется как отношение фактической стоимости находящихся в наличии у фирмы оборотных средств в виде производственных запасов, готовой про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дукции, денежных средств, дебиторских задолженностей и прочих оборотных активов (итог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баланса) к наиболее срочным обязательствам фирмы в виде краткосрочных кредитов банков, краткосрочных займов и различных кредиторских задолженностей (итог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раздела баланса за вычетом строк 640, 650):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КТЛ = Итог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баланса/Итог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баланса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Нормативное значение коэффициента — не менее 2.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Коэффициент обеспеченности собственными средствами (КОСС)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как отношение разности между объемами источников собственных средств (итог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баланса) и фактической стоимостью основных средств и прочих внеоборотных активов (итог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баланса) к фактической стоимости находящихся в наличии у фирмы оборотных средств в виде производственных запасов, незавершенного производства, готовой продукции, денежных средств, дебиторской задолженности и прочих оборотных активов (итог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баланса).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tabs>
          <w:tab w:val="left" w:leader="hyphen" w:pos="5515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КОСС =(Итог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разд. баланса — Итог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разд. баланса) / Итог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разд. баланса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Нормативное значение — не менее 0,1.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Таким образом, полная формула расчета конкурентоспособности фирмы будет следующей: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КФ = К∑*КТЛ * КОСС</w:t>
      </w:r>
    </w:p>
    <w:p w:rsidR="005C5DEA" w:rsidRDefault="005C5DEA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DEA">
        <w:rPr>
          <w:rFonts w:ascii="Times New Roman" w:hAnsi="Times New Roman" w:cs="Times New Roman"/>
          <w:color w:val="000000"/>
          <w:sz w:val="28"/>
          <w:szCs w:val="28"/>
        </w:rPr>
        <w:t>Для каждой группы конкурентов характерны конкретные концепции поведения на рынке. Для деления конкурентов на группы рассмотрим матрицу группового ранжирования конкурирующих фирм (рис. 7).</w:t>
      </w:r>
      <w:r w:rsidR="005C5DEA"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Матрица представляет собой прямоугольник, разбитый на девять квадрантов (секторов), (Итог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баланса — Итог </w:t>
      </w:r>
      <w:r w:rsidRPr="005C5DE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баланса)делится на пять уровней, каждый из которых соответствует определенной группе фирм, различающихся между собой уровнем конкурентоспособности и относящихся к следующим группам участников рынка: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2"/>
        <w:gridCol w:w="2632"/>
        <w:gridCol w:w="3698"/>
      </w:tblGrid>
      <w:tr w:rsidR="004207F4" w:rsidRPr="005C5DEA">
        <w:trPr>
          <w:trHeight w:hRule="exact" w:val="451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</w:rPr>
              <w:t>Претенденты +3,1 / +7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</w:rPr>
              <w:t>Претенденты +7,1 / +9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</w:rPr>
              <w:t>Лидеры +9,1 / +10</w:t>
            </w:r>
          </w:p>
        </w:tc>
      </w:tr>
      <w:tr w:rsidR="004207F4" w:rsidRPr="005C5DEA">
        <w:trPr>
          <w:trHeight w:hRule="exact" w:val="605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7F4" w:rsidRPr="005C5DEA" w:rsidRDefault="004207F4" w:rsidP="005C5DEA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</w:rPr>
              <w:t>Занявшие рыночную нишу -2,9 / (-0,99)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7F4" w:rsidRPr="005C5DEA" w:rsidRDefault="004207F4" w:rsidP="005C5DEA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</w:rPr>
              <w:t>Последователи 1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07F4" w:rsidRPr="005C5DEA" w:rsidRDefault="004207F4" w:rsidP="005C5DEA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</w:rPr>
              <w:t>Последователи +1,1 / +3</w:t>
            </w:r>
          </w:p>
        </w:tc>
      </w:tr>
      <w:tr w:rsidR="004207F4" w:rsidRPr="005C5DEA">
        <w:trPr>
          <w:trHeight w:hRule="exact" w:val="710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</w:rPr>
              <w:t>Банкроты -10 / (-9,1)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</w:rPr>
              <w:t>Банкроты -9 / (-7)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F4" w:rsidRPr="005C5DEA" w:rsidRDefault="004207F4" w:rsidP="005C5DEA"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5C5DEA">
              <w:rPr>
                <w:rFonts w:ascii="Times New Roman" w:hAnsi="Times New Roman" w:cs="Times New Roman"/>
              </w:rPr>
              <w:t>Занявшие рыночную нишу -6,9 / (-3)</w:t>
            </w:r>
          </w:p>
        </w:tc>
      </w:tr>
    </w:tbl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Рыночные лидеры —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это фирмы, имеющие максимальный коэффициент конкурентоспособности (КФ).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ни имеют максимальную рыночную долю при продажах, являются лидерами в ценовой политике, оптимизации затрат, использовании разнообразных распределительных систем и т.д. Для фирм-лидеров характерным поведением является оборона.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Рыночные последователи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— фирмы, расчетный коэффициент конкурентоспособности которых лежит в диапазоне от 1 до 3. Эта группа фирм проводит политику следования за отраслевым лидером, не рискует, но и не проявляет пассивности. Фирмы этой группы особенно осторожно и взвешенно принимают решения, касающиеся их деятельности на рынке. Они копируют деятельность лидера, но действуют более осмотрительно и рассчитывают на меньшие ресурсы. Они, как правило, подвержены атакам со стороны рыночных претендентов.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Фирмы, действующие в рыночной нише.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>Расчетный коэффициент конкурентоспособности этой группы лежит в диапазоне от —0,99 до -6,9. Фирмы этой группы обслуживают маленькие рыночные сегменты, которые другие участники конкуренции не видят или не принимают в расчет. Для них характерен высокий уровень специализации. Круг клиентов ограничен, но характерен высокий уровень цен. В своей деятельности фирмы максимально зависят от клиентов и опираются на них.</w:t>
      </w:r>
    </w:p>
    <w:p w:rsidR="004207F4" w:rsidRPr="005C5DEA" w:rsidRDefault="004207F4" w:rsidP="005C5DEA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5DE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Банкроты 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— фирмы с коэффициентом конкурентоспособности от 7 до 10.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C5DEA">
        <w:rPr>
          <w:rFonts w:ascii="Times New Roman" w:hAnsi="Times New Roman" w:cs="Times New Roman"/>
          <w:color w:val="000000"/>
          <w:sz w:val="28"/>
          <w:szCs w:val="28"/>
        </w:rPr>
        <w:t xml:space="preserve">ринимают режим внешнего управления и проводят мероприятия по выходу из банкротства или рассчитываются с кредиторами и ликвидируются. </w:t>
      </w:r>
      <w:bookmarkStart w:id="2" w:name="_GoBack"/>
      <w:bookmarkEnd w:id="2"/>
    </w:p>
    <w:sectPr w:rsidR="004207F4" w:rsidRPr="005C5DEA" w:rsidSect="005C5DEA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1661A0"/>
    <w:lvl w:ilvl="0">
      <w:numFmt w:val="bullet"/>
      <w:lvlText w:val="*"/>
      <w:lvlJc w:val="left"/>
    </w:lvl>
  </w:abstractNum>
  <w:abstractNum w:abstractNumId="1">
    <w:nsid w:val="65FD6B97"/>
    <w:multiLevelType w:val="singleLevel"/>
    <w:tmpl w:val="A55663A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75C56541"/>
    <w:multiLevelType w:val="singleLevel"/>
    <w:tmpl w:val="5DBC7E48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DEA"/>
    <w:rsid w:val="001754BB"/>
    <w:rsid w:val="004207F4"/>
    <w:rsid w:val="005C5DEA"/>
    <w:rsid w:val="008D2D55"/>
    <w:rsid w:val="00B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C9355F-57CD-47A5-B631-CD2D8714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ind w:firstLine="709"/>
      <w:jc w:val="both"/>
      <w:outlineLvl w:val="0"/>
    </w:pPr>
    <w:rPr>
      <w:rFonts w:ascii="Times New Roman" w:hAnsi="Times New Roman" w:cs="Times New Roman"/>
      <w:color w:val="000000"/>
      <w:spacing w:val="-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</dc:creator>
  <cp:keywords/>
  <dc:description/>
  <cp:lastModifiedBy>admin</cp:lastModifiedBy>
  <cp:revision>2</cp:revision>
  <dcterms:created xsi:type="dcterms:W3CDTF">2014-02-24T13:01:00Z</dcterms:created>
  <dcterms:modified xsi:type="dcterms:W3CDTF">2014-02-24T13:01:00Z</dcterms:modified>
</cp:coreProperties>
</file>