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47" w:rsidRDefault="00E90B47" w:rsidP="00C35CC2">
      <w:pPr>
        <w:jc w:val="center"/>
        <w:rPr>
          <w:b/>
          <w:caps/>
          <w:sz w:val="20"/>
          <w:szCs w:val="20"/>
        </w:rPr>
      </w:pPr>
    </w:p>
    <w:p w:rsidR="00C35CC2" w:rsidRDefault="00C35CC2" w:rsidP="00C35CC2">
      <w:pPr>
        <w:jc w:val="center"/>
        <w:rPr>
          <w:b/>
          <w:smallCaps/>
          <w:sz w:val="20"/>
          <w:szCs w:val="20"/>
        </w:rPr>
      </w:pPr>
      <w:r w:rsidRPr="00ED13D3">
        <w:rPr>
          <w:b/>
          <w:caps/>
          <w:sz w:val="20"/>
          <w:szCs w:val="20"/>
        </w:rPr>
        <w:t>у</w:t>
      </w:r>
      <w:r w:rsidRPr="00ED13D3">
        <w:rPr>
          <w:b/>
          <w:smallCaps/>
          <w:sz w:val="20"/>
          <w:szCs w:val="20"/>
        </w:rPr>
        <w:t>правление пассивными операциями</w:t>
      </w:r>
      <w:r>
        <w:rPr>
          <w:b/>
          <w:smallCaps/>
          <w:sz w:val="20"/>
          <w:szCs w:val="20"/>
        </w:rPr>
        <w:t xml:space="preserve"> </w:t>
      </w:r>
      <w:r w:rsidRPr="00ED13D3">
        <w:rPr>
          <w:b/>
          <w:smallCaps/>
          <w:sz w:val="20"/>
          <w:szCs w:val="20"/>
        </w:rPr>
        <w:t xml:space="preserve">коммерческого банка </w:t>
      </w:r>
      <w:r>
        <w:rPr>
          <w:b/>
          <w:smallCaps/>
          <w:sz w:val="20"/>
          <w:szCs w:val="20"/>
        </w:rPr>
        <w:t xml:space="preserve"> </w:t>
      </w:r>
    </w:p>
    <w:p w:rsidR="00C35CC2" w:rsidRPr="00ED13D3" w:rsidRDefault="00C35CC2" w:rsidP="00C35CC2">
      <w:pPr>
        <w:jc w:val="center"/>
        <w:rPr>
          <w:b/>
          <w:smallCaps/>
          <w:sz w:val="20"/>
          <w:szCs w:val="20"/>
        </w:rPr>
      </w:pPr>
      <w:r w:rsidRPr="00ED13D3">
        <w:rPr>
          <w:b/>
          <w:smallCaps/>
          <w:sz w:val="20"/>
          <w:szCs w:val="20"/>
        </w:rPr>
        <w:t>(на примере АО «Тем</w:t>
      </w:r>
      <w:r w:rsidRPr="007651DD">
        <w:rPr>
          <w:b/>
          <w:smallCaps/>
          <w:sz w:val="20"/>
          <w:szCs w:val="20"/>
          <w:lang w:val="en-US"/>
        </w:rPr>
        <w:t>i</w:t>
      </w:r>
      <w:r w:rsidRPr="00ED13D3">
        <w:rPr>
          <w:b/>
          <w:smallCaps/>
          <w:sz w:val="20"/>
          <w:szCs w:val="20"/>
        </w:rPr>
        <w:t>рбанк»)</w:t>
      </w:r>
    </w:p>
    <w:p w:rsidR="00C35CC2" w:rsidRPr="00ED13D3" w:rsidRDefault="00C35CC2" w:rsidP="00C35CC2">
      <w:pPr>
        <w:jc w:val="center"/>
        <w:rPr>
          <w:sz w:val="20"/>
          <w:szCs w:val="20"/>
        </w:rPr>
      </w:pPr>
      <w:r w:rsidRPr="00ED13D3">
        <w:rPr>
          <w:i/>
          <w:sz w:val="20"/>
          <w:szCs w:val="20"/>
        </w:rPr>
        <w:t>Жетписова А. Е.</w:t>
      </w:r>
      <w:r w:rsidRPr="00ED13D3">
        <w:rPr>
          <w:sz w:val="20"/>
          <w:szCs w:val="20"/>
        </w:rPr>
        <w:t>, Инновационный Евразийский университет</w:t>
      </w:r>
    </w:p>
    <w:p w:rsidR="00C35CC2" w:rsidRPr="00ED13D3" w:rsidRDefault="00C35CC2" w:rsidP="00C35CC2">
      <w:pPr>
        <w:jc w:val="center"/>
        <w:rPr>
          <w:sz w:val="20"/>
          <w:szCs w:val="20"/>
        </w:rPr>
      </w:pPr>
      <w:r>
        <w:rPr>
          <w:sz w:val="20"/>
          <w:szCs w:val="20"/>
        </w:rPr>
        <w:t>научный</w:t>
      </w:r>
      <w:r w:rsidRPr="00ED13D3">
        <w:rPr>
          <w:sz w:val="20"/>
          <w:szCs w:val="20"/>
        </w:rPr>
        <w:t xml:space="preserve"> руководитель </w:t>
      </w:r>
      <w:r w:rsidRPr="00ED13D3">
        <w:rPr>
          <w:i/>
          <w:sz w:val="20"/>
          <w:szCs w:val="20"/>
        </w:rPr>
        <w:t>Полетаева Н. К.</w:t>
      </w:r>
      <w:r w:rsidRPr="00ED13D3">
        <w:rPr>
          <w:sz w:val="20"/>
          <w:szCs w:val="20"/>
        </w:rPr>
        <w:t xml:space="preserve">, доцент </w:t>
      </w:r>
    </w:p>
    <w:p w:rsidR="00C35CC2" w:rsidRDefault="00C35CC2" w:rsidP="00C35CC2">
      <w:pPr>
        <w:ind w:firstLine="284"/>
        <w:jc w:val="both"/>
        <w:rPr>
          <w:sz w:val="20"/>
          <w:szCs w:val="20"/>
        </w:rPr>
      </w:pPr>
    </w:p>
    <w:p w:rsidR="00C35CC2" w:rsidRPr="002F1F81" w:rsidRDefault="00C35CC2" w:rsidP="00C35CC2">
      <w:pPr>
        <w:ind w:firstLine="284"/>
        <w:jc w:val="both"/>
        <w:rPr>
          <w:sz w:val="20"/>
          <w:szCs w:val="20"/>
        </w:rPr>
      </w:pPr>
      <w:r w:rsidRPr="00ED13D3">
        <w:rPr>
          <w:i/>
          <w:sz w:val="20"/>
          <w:szCs w:val="20"/>
        </w:rPr>
        <w:t>Пассивы</w:t>
      </w:r>
      <w:r w:rsidRPr="002F1F81">
        <w:rPr>
          <w:sz w:val="20"/>
          <w:szCs w:val="20"/>
        </w:rPr>
        <w:t xml:space="preserve"> – это обязательства предприятий, состоящие из заемных и привлеченных средств, включая предпринимательскую задолженность [1, с. 661]. Для коммерческого банка, как и для любой коммерческой структуры, пассивы являются ядром деятельности, позволяющим определить ее масштабы и объемы привлечения ресурсов.</w:t>
      </w:r>
    </w:p>
    <w:p w:rsidR="00C35CC2" w:rsidRPr="002F1F81" w:rsidRDefault="00C35CC2" w:rsidP="00C35CC2">
      <w:pPr>
        <w:ind w:firstLine="284"/>
        <w:jc w:val="both"/>
        <w:rPr>
          <w:sz w:val="20"/>
          <w:szCs w:val="20"/>
        </w:rPr>
      </w:pPr>
      <w:r w:rsidRPr="002F1F81">
        <w:rPr>
          <w:sz w:val="20"/>
          <w:szCs w:val="20"/>
        </w:rPr>
        <w:t>Существует четыре формы пассивных операций коммерческих банков (</w:t>
      </w:r>
      <w:r>
        <w:rPr>
          <w:sz w:val="20"/>
          <w:szCs w:val="20"/>
        </w:rPr>
        <w:t>р</w:t>
      </w:r>
      <w:r w:rsidRPr="002F1F81">
        <w:rPr>
          <w:sz w:val="20"/>
          <w:szCs w:val="20"/>
        </w:rPr>
        <w:t>ис</w:t>
      </w:r>
      <w:r>
        <w:rPr>
          <w:sz w:val="20"/>
          <w:szCs w:val="20"/>
        </w:rPr>
        <w:t>.</w:t>
      </w:r>
      <w:r w:rsidRPr="002F1F81">
        <w:rPr>
          <w:sz w:val="20"/>
          <w:szCs w:val="20"/>
        </w:rPr>
        <w:t xml:space="preserve"> 1).</w:t>
      </w:r>
    </w:p>
    <w:p w:rsidR="00C35CC2" w:rsidRPr="002F1F81" w:rsidRDefault="001268E9" w:rsidP="00C35CC2">
      <w:pPr>
        <w:ind w:firstLine="284"/>
        <w:jc w:val="both"/>
        <w:rPr>
          <w:sz w:val="20"/>
          <w:szCs w:val="20"/>
        </w:rPr>
      </w:pPr>
      <w:r>
        <w:rPr>
          <w:noProof/>
          <w:sz w:val="20"/>
          <w:szCs w:val="20"/>
        </w:rPr>
        <w:pict>
          <v:group id="_x0000_s1032" style="position:absolute;left:0;text-align:left;margin-left:0;margin-top:7.05pt;width:304.95pt;height:158.2pt;z-index:251657216" coordorigin="1701,5947" coordsize="9360,5220">
            <v:rect id="_x0000_s1033" style="position:absolute;left:4581;top:8107;width:3420;height:1080">
              <v:textbox style="mso-next-textbox:#_x0000_s1033">
                <w:txbxContent>
                  <w:p w:rsidR="00C35CC2" w:rsidRPr="005018A5" w:rsidRDefault="00C35CC2" w:rsidP="00C35CC2">
                    <w:pPr>
                      <w:jc w:val="center"/>
                      <w:rPr>
                        <w:sz w:val="12"/>
                        <w:szCs w:val="12"/>
                      </w:rPr>
                    </w:pPr>
                  </w:p>
                  <w:p w:rsidR="00C35CC2" w:rsidRPr="005018A5" w:rsidRDefault="00C35CC2" w:rsidP="00C35CC2">
                    <w:pPr>
                      <w:jc w:val="center"/>
                      <w:rPr>
                        <w:sz w:val="18"/>
                        <w:szCs w:val="18"/>
                      </w:rPr>
                    </w:pPr>
                    <w:r w:rsidRPr="005018A5">
                      <w:rPr>
                        <w:sz w:val="18"/>
                        <w:szCs w:val="18"/>
                      </w:rPr>
                      <w:t>Пассивные операции</w:t>
                    </w:r>
                  </w:p>
                </w:txbxContent>
              </v:textbox>
            </v:rect>
            <v:rect id="_x0000_s1034" style="position:absolute;left:5121;top:5947;width:2340;height:1620">
              <v:textbox style="mso-next-textbox:#_x0000_s1034" inset="0,0,0,0">
                <w:txbxContent>
                  <w:p w:rsidR="00C35CC2" w:rsidRPr="005018A5" w:rsidRDefault="00C35CC2" w:rsidP="00C35CC2">
                    <w:pPr>
                      <w:jc w:val="center"/>
                      <w:rPr>
                        <w:sz w:val="18"/>
                        <w:szCs w:val="18"/>
                      </w:rPr>
                    </w:pPr>
                    <w:r w:rsidRPr="005018A5">
                      <w:rPr>
                        <w:sz w:val="18"/>
                        <w:szCs w:val="18"/>
                      </w:rPr>
                      <w:t>Первичная</w:t>
                    </w:r>
                  </w:p>
                  <w:p w:rsidR="00C35CC2" w:rsidRPr="00182A82" w:rsidRDefault="00C35CC2" w:rsidP="00C35CC2">
                    <w:pPr>
                      <w:jc w:val="center"/>
                    </w:pPr>
                    <w:r w:rsidRPr="005018A5">
                      <w:rPr>
                        <w:sz w:val="18"/>
                        <w:szCs w:val="18"/>
                      </w:rPr>
                      <w:t>эмиссия ценных бумаг коммерческого банка</w:t>
                    </w:r>
                  </w:p>
                </w:txbxContent>
              </v:textbox>
            </v:rect>
            <v:rect id="_x0000_s1035" style="position:absolute;left:1701;top:7747;width:1980;height:1620">
              <v:textbox style="mso-next-textbox:#_x0000_s1035" inset="0,0,0,0">
                <w:txbxContent>
                  <w:p w:rsidR="00C35CC2" w:rsidRPr="005018A5" w:rsidRDefault="00C35CC2" w:rsidP="00C35CC2">
                    <w:pPr>
                      <w:jc w:val="center"/>
                      <w:rPr>
                        <w:sz w:val="18"/>
                        <w:szCs w:val="18"/>
                      </w:rPr>
                    </w:pPr>
                    <w:r w:rsidRPr="005018A5">
                      <w:rPr>
                        <w:sz w:val="18"/>
                        <w:szCs w:val="18"/>
                      </w:rPr>
                      <w:t>Получение кредитов от других юридических лиц</w:t>
                    </w:r>
                  </w:p>
                  <w:p w:rsidR="00C35CC2" w:rsidRDefault="00C35CC2" w:rsidP="00C35CC2"/>
                </w:txbxContent>
              </v:textbox>
            </v:rect>
            <v:rect id="_x0000_s1036" style="position:absolute;left:8901;top:7747;width:2160;height:1620">
              <v:textbox style="mso-next-textbox:#_x0000_s1036">
                <w:txbxContent>
                  <w:p w:rsidR="00C35CC2" w:rsidRDefault="00C35CC2" w:rsidP="00C35CC2">
                    <w:pPr>
                      <w:jc w:val="center"/>
                      <w:rPr>
                        <w:sz w:val="18"/>
                        <w:szCs w:val="18"/>
                      </w:rPr>
                    </w:pPr>
                  </w:p>
                  <w:p w:rsidR="00C35CC2" w:rsidRPr="005018A5" w:rsidRDefault="00C35CC2" w:rsidP="00C35CC2">
                    <w:pPr>
                      <w:jc w:val="center"/>
                      <w:rPr>
                        <w:sz w:val="18"/>
                        <w:szCs w:val="18"/>
                      </w:rPr>
                    </w:pPr>
                    <w:r w:rsidRPr="005018A5">
                      <w:rPr>
                        <w:sz w:val="18"/>
                        <w:szCs w:val="18"/>
                      </w:rPr>
                      <w:t>Депозитные опе</w:t>
                    </w:r>
                    <w:r>
                      <w:rPr>
                        <w:sz w:val="18"/>
                        <w:szCs w:val="18"/>
                      </w:rPr>
                      <w:t>рации</w:t>
                    </w:r>
                  </w:p>
                </w:txbxContent>
              </v:textbox>
            </v:rect>
            <v:rect id="_x0000_s1037" style="position:absolute;left:5121;top:9727;width:2340;height:1440">
              <v:textbox style="mso-next-textbox:#_x0000_s1037" inset="0,0,0,0">
                <w:txbxContent>
                  <w:p w:rsidR="00C35CC2" w:rsidRPr="0094372A" w:rsidRDefault="00C35CC2" w:rsidP="00C35CC2">
                    <w:pPr>
                      <w:jc w:val="center"/>
                    </w:pPr>
                    <w:r w:rsidRPr="005018A5">
                      <w:rPr>
                        <w:sz w:val="18"/>
                        <w:szCs w:val="18"/>
                      </w:rPr>
                      <w:t>Отчисления от прибыли банка на формирование или увеличение фондов</w:t>
                    </w:r>
                  </w:p>
                </w:txbxContent>
              </v:textbox>
            </v:rect>
            <v:line id="_x0000_s1038" style="position:absolute;flip:y" from="6201,7567" to="6201,8107">
              <v:stroke endarrow="block"/>
            </v:line>
            <v:line id="_x0000_s1039" style="position:absolute" from="6201,9187" to="6201,9727">
              <v:stroke endarrow="block"/>
            </v:line>
            <v:line id="_x0000_s1040" style="position:absolute" from="8001,8647" to="8901,8647">
              <v:stroke endarrow="block"/>
            </v:line>
            <v:line id="_x0000_s1041" style="position:absolute;flip:x" from="3681,8647" to="4581,8647">
              <v:stroke endarrow="block"/>
            </v:line>
          </v:group>
        </w:pict>
      </w: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Pr="006950C0" w:rsidRDefault="00C35CC2" w:rsidP="00C35CC2">
      <w:pPr>
        <w:ind w:firstLine="284"/>
        <w:jc w:val="both"/>
        <w:rPr>
          <w:sz w:val="32"/>
          <w:szCs w:val="32"/>
        </w:rPr>
      </w:pP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p>
    <w:p w:rsidR="00C35CC2" w:rsidRDefault="00C35CC2" w:rsidP="00C35CC2">
      <w:pPr>
        <w:jc w:val="center"/>
        <w:rPr>
          <w:sz w:val="20"/>
          <w:szCs w:val="20"/>
        </w:rPr>
      </w:pPr>
    </w:p>
    <w:p w:rsidR="00C35CC2" w:rsidRDefault="00C35CC2" w:rsidP="00C35CC2">
      <w:pPr>
        <w:jc w:val="center"/>
        <w:rPr>
          <w:sz w:val="20"/>
          <w:szCs w:val="20"/>
        </w:rPr>
      </w:pPr>
    </w:p>
    <w:p w:rsidR="00C35CC2" w:rsidRPr="005018A5" w:rsidRDefault="00C35CC2" w:rsidP="00C35CC2">
      <w:pPr>
        <w:jc w:val="center"/>
        <w:rPr>
          <w:i/>
          <w:sz w:val="18"/>
          <w:szCs w:val="18"/>
        </w:rPr>
      </w:pPr>
      <w:r w:rsidRPr="005018A5">
        <w:rPr>
          <w:i/>
          <w:sz w:val="18"/>
          <w:szCs w:val="18"/>
        </w:rPr>
        <w:t>Рис. 1. Пассивные операци</w:t>
      </w:r>
      <w:r>
        <w:rPr>
          <w:i/>
          <w:sz w:val="18"/>
          <w:szCs w:val="18"/>
        </w:rPr>
        <w:t>и</w:t>
      </w:r>
      <w:r w:rsidRPr="005018A5">
        <w:rPr>
          <w:i/>
          <w:sz w:val="18"/>
          <w:szCs w:val="18"/>
        </w:rPr>
        <w:t xml:space="preserve"> коммерческого банка</w:t>
      </w:r>
    </w:p>
    <w:p w:rsidR="00C35CC2" w:rsidRPr="002F1F81" w:rsidRDefault="00C35CC2" w:rsidP="00C35CC2">
      <w:pPr>
        <w:ind w:firstLine="284"/>
        <w:jc w:val="both"/>
        <w:rPr>
          <w:sz w:val="20"/>
          <w:szCs w:val="20"/>
        </w:rPr>
      </w:pPr>
      <w:r w:rsidRPr="002F1F81">
        <w:rPr>
          <w:sz w:val="20"/>
          <w:szCs w:val="20"/>
        </w:rPr>
        <w:t>Данная работа выполнена по материалам АО «Тем</w:t>
      </w:r>
      <w:r w:rsidRPr="002F1F81">
        <w:rPr>
          <w:sz w:val="20"/>
          <w:szCs w:val="20"/>
          <w:lang w:val="en-US"/>
        </w:rPr>
        <w:t>i</w:t>
      </w:r>
      <w:r w:rsidRPr="002F1F81">
        <w:rPr>
          <w:sz w:val="20"/>
          <w:szCs w:val="20"/>
        </w:rPr>
        <w:t>рбанк», который входит в десятку успешных банков Казахстана.</w:t>
      </w:r>
    </w:p>
    <w:p w:rsidR="00C35CC2" w:rsidRPr="002F1F81" w:rsidRDefault="00C35CC2" w:rsidP="00C35CC2">
      <w:pPr>
        <w:ind w:firstLine="284"/>
        <w:jc w:val="both"/>
        <w:rPr>
          <w:sz w:val="20"/>
          <w:szCs w:val="20"/>
        </w:rPr>
      </w:pPr>
      <w:r w:rsidRPr="002F1F81">
        <w:rPr>
          <w:sz w:val="20"/>
          <w:szCs w:val="20"/>
        </w:rPr>
        <w:t>Исходя их целей исследования в работе выполнено следующее:</w:t>
      </w:r>
    </w:p>
    <w:p w:rsidR="00C35CC2" w:rsidRPr="002F1F81" w:rsidRDefault="00C35CC2" w:rsidP="00C35CC2">
      <w:pPr>
        <w:numPr>
          <w:ilvl w:val="0"/>
          <w:numId w:val="1"/>
        </w:numPr>
        <w:tabs>
          <w:tab w:val="clear" w:pos="794"/>
          <w:tab w:val="num" w:pos="513"/>
        </w:tabs>
        <w:ind w:left="0"/>
        <w:jc w:val="both"/>
        <w:rPr>
          <w:sz w:val="20"/>
          <w:szCs w:val="20"/>
        </w:rPr>
      </w:pPr>
      <w:r w:rsidRPr="002F1F81">
        <w:rPr>
          <w:sz w:val="20"/>
          <w:szCs w:val="20"/>
        </w:rPr>
        <w:t>систематизированы основные цели и задачи управления пассивами коммерческого банка;</w:t>
      </w:r>
    </w:p>
    <w:p w:rsidR="00C35CC2" w:rsidRPr="002F1F81" w:rsidRDefault="00C35CC2" w:rsidP="00C35CC2">
      <w:pPr>
        <w:numPr>
          <w:ilvl w:val="0"/>
          <w:numId w:val="1"/>
        </w:numPr>
        <w:tabs>
          <w:tab w:val="clear" w:pos="794"/>
          <w:tab w:val="num" w:pos="513"/>
        </w:tabs>
        <w:ind w:left="0"/>
        <w:jc w:val="both"/>
        <w:rPr>
          <w:sz w:val="20"/>
          <w:szCs w:val="20"/>
        </w:rPr>
      </w:pPr>
      <w:r w:rsidRPr="002F1F81">
        <w:rPr>
          <w:sz w:val="20"/>
          <w:szCs w:val="20"/>
        </w:rPr>
        <w:t>сделан анализ пассивов банка;</w:t>
      </w:r>
    </w:p>
    <w:p w:rsidR="00C35CC2" w:rsidRPr="002F1F81" w:rsidRDefault="00C35CC2" w:rsidP="00C35CC2">
      <w:pPr>
        <w:numPr>
          <w:ilvl w:val="0"/>
          <w:numId w:val="1"/>
        </w:numPr>
        <w:tabs>
          <w:tab w:val="clear" w:pos="794"/>
          <w:tab w:val="num" w:pos="513"/>
        </w:tabs>
        <w:ind w:left="0"/>
        <w:jc w:val="both"/>
        <w:rPr>
          <w:sz w:val="20"/>
          <w:szCs w:val="20"/>
        </w:rPr>
      </w:pPr>
      <w:r w:rsidRPr="002F1F81">
        <w:rPr>
          <w:sz w:val="20"/>
          <w:szCs w:val="20"/>
        </w:rPr>
        <w:t>раскрыты основные методы управления пассивами;</w:t>
      </w:r>
    </w:p>
    <w:p w:rsidR="00C35CC2" w:rsidRPr="002F1F81" w:rsidRDefault="00C35CC2" w:rsidP="00C35CC2">
      <w:pPr>
        <w:numPr>
          <w:ilvl w:val="0"/>
          <w:numId w:val="1"/>
        </w:numPr>
        <w:tabs>
          <w:tab w:val="clear" w:pos="794"/>
          <w:tab w:val="num" w:pos="513"/>
        </w:tabs>
        <w:ind w:left="0"/>
        <w:jc w:val="both"/>
        <w:rPr>
          <w:sz w:val="20"/>
          <w:szCs w:val="20"/>
        </w:rPr>
      </w:pPr>
      <w:r w:rsidRPr="002F1F81">
        <w:rPr>
          <w:sz w:val="20"/>
          <w:szCs w:val="20"/>
        </w:rPr>
        <w:t>выявлены основные проблемы в области управления пассивами банка.</w:t>
      </w:r>
    </w:p>
    <w:p w:rsidR="00C35CC2" w:rsidRPr="002F1F81" w:rsidRDefault="00C35CC2" w:rsidP="00C35CC2">
      <w:pPr>
        <w:ind w:firstLine="284"/>
        <w:jc w:val="both"/>
        <w:rPr>
          <w:sz w:val="20"/>
          <w:szCs w:val="20"/>
        </w:rPr>
      </w:pPr>
      <w:r w:rsidRPr="002F1F81">
        <w:rPr>
          <w:sz w:val="20"/>
          <w:szCs w:val="20"/>
        </w:rPr>
        <w:t xml:space="preserve">Сегодня банки рассматривают свои портфели активов и пассивов как единое целое, которое определяет роль совокупного портфеля банка в достижении его общих целей – высокой прибыли и приемлемого уровня риска [3, </w:t>
      </w:r>
      <w:r w:rsidRPr="002F1F81">
        <w:rPr>
          <w:sz w:val="20"/>
          <w:szCs w:val="20"/>
          <w:lang w:val="en-US"/>
        </w:rPr>
        <w:t>c</w:t>
      </w:r>
      <w:r w:rsidRPr="002F1F81">
        <w:rPr>
          <w:sz w:val="20"/>
          <w:szCs w:val="20"/>
        </w:rPr>
        <w:t>.</w:t>
      </w:r>
      <w:r>
        <w:rPr>
          <w:sz w:val="20"/>
          <w:szCs w:val="20"/>
        </w:rPr>
        <w:t xml:space="preserve"> </w:t>
      </w:r>
      <w:r w:rsidRPr="002F1F81">
        <w:rPr>
          <w:sz w:val="20"/>
          <w:szCs w:val="20"/>
        </w:rPr>
        <w:t>477].</w:t>
      </w:r>
    </w:p>
    <w:p w:rsidR="00C35CC2" w:rsidRPr="002F1F81" w:rsidRDefault="00C35CC2" w:rsidP="00C35CC2">
      <w:pPr>
        <w:ind w:firstLine="284"/>
        <w:jc w:val="both"/>
        <w:rPr>
          <w:sz w:val="20"/>
          <w:szCs w:val="20"/>
        </w:rPr>
      </w:pPr>
      <w:r w:rsidRPr="002F1F81">
        <w:rPr>
          <w:sz w:val="20"/>
          <w:szCs w:val="20"/>
        </w:rPr>
        <w:t>Целью управления пассивами является предотвращение или исправление дисбаланса и защита от рисков банковской деятельности путем анализа последствий генеральной стратегии банка по структуре баланса и</w:t>
      </w:r>
      <w:r>
        <w:rPr>
          <w:sz w:val="20"/>
          <w:szCs w:val="20"/>
        </w:rPr>
        <w:t xml:space="preserve"> его рентабельности [2, с. 371].</w:t>
      </w:r>
    </w:p>
    <w:p w:rsidR="00C35CC2" w:rsidRPr="002F1F81" w:rsidRDefault="00C35CC2" w:rsidP="00C35CC2">
      <w:pPr>
        <w:ind w:firstLine="284"/>
        <w:jc w:val="both"/>
        <w:rPr>
          <w:sz w:val="20"/>
          <w:szCs w:val="20"/>
        </w:rPr>
      </w:pPr>
      <w:r w:rsidRPr="002F1F81">
        <w:rPr>
          <w:sz w:val="20"/>
          <w:szCs w:val="20"/>
        </w:rPr>
        <w:t>Основными задачами управления</w:t>
      </w:r>
      <w:r>
        <w:rPr>
          <w:sz w:val="20"/>
          <w:szCs w:val="20"/>
        </w:rPr>
        <w:t xml:space="preserve"> </w:t>
      </w:r>
      <w:r w:rsidRPr="002F1F81">
        <w:rPr>
          <w:sz w:val="20"/>
          <w:szCs w:val="20"/>
        </w:rPr>
        <w:t xml:space="preserve">пассивами являются: управление краткосрочной и долгосрочной ликвидностью банка; поддержание и повышение рентабельности банка; управление достаточностью и структурой капитала, затратами банка, особенно не связанными с выплатой процентов, качеством активов; оптимизация и снижение налогового бремени; стабилизация или увеличение рыночной стоимости банка. </w:t>
      </w:r>
    </w:p>
    <w:p w:rsidR="00C35CC2" w:rsidRPr="002F1F81" w:rsidRDefault="00C35CC2" w:rsidP="00C35CC2">
      <w:pPr>
        <w:ind w:firstLine="284"/>
        <w:jc w:val="both"/>
        <w:rPr>
          <w:sz w:val="20"/>
          <w:szCs w:val="20"/>
        </w:rPr>
      </w:pPr>
      <w:r w:rsidRPr="002F1F81">
        <w:rPr>
          <w:sz w:val="20"/>
          <w:szCs w:val="20"/>
        </w:rPr>
        <w:t xml:space="preserve">Пассивы в любом банке призваны обеспечить оптимальный (чаще всего максимальный </w:t>
      </w:r>
      <w:r>
        <w:rPr>
          <w:sz w:val="20"/>
          <w:szCs w:val="20"/>
        </w:rPr>
        <w:t>–</w:t>
      </w:r>
      <w:r w:rsidRPr="002F1F81">
        <w:rPr>
          <w:sz w:val="20"/>
          <w:szCs w:val="20"/>
        </w:rPr>
        <w:t xml:space="preserve"> в зависимости от желаемого объема активных операций) объём привлеченных ресурсов с наименьшими затратами. При этом банковские операции должны соответствовать существующим требованиям </w:t>
      </w:r>
      <w:r>
        <w:rPr>
          <w:sz w:val="20"/>
          <w:szCs w:val="20"/>
        </w:rPr>
        <w:t>н</w:t>
      </w:r>
      <w:r w:rsidRPr="002F1F81">
        <w:rPr>
          <w:sz w:val="20"/>
          <w:szCs w:val="20"/>
        </w:rPr>
        <w:t xml:space="preserve">ационального банка, а развитие ресурсного обеспечения </w:t>
      </w:r>
      <w:r>
        <w:rPr>
          <w:sz w:val="20"/>
          <w:szCs w:val="20"/>
        </w:rPr>
        <w:t>–</w:t>
      </w:r>
      <w:r w:rsidRPr="002F1F81">
        <w:rPr>
          <w:sz w:val="20"/>
          <w:szCs w:val="20"/>
        </w:rPr>
        <w:t xml:space="preserve"> реализации принципов, целей и планов банка. Традиционно качество пассивов коммерческого банка характеризуется стабильностью ресурсной базы, стоимостью привлечения ресурсов, чувствительностью пассивов банка к изменению процентных ставок, а также зависимостью банка от внешних источников финансирования, включая краткосрочные межбанковские кредиты. </w:t>
      </w:r>
    </w:p>
    <w:p w:rsidR="00C35CC2" w:rsidRPr="002F1F81" w:rsidRDefault="00C35CC2" w:rsidP="00C35CC2">
      <w:pPr>
        <w:ind w:firstLine="284"/>
        <w:jc w:val="both"/>
        <w:rPr>
          <w:sz w:val="20"/>
          <w:szCs w:val="20"/>
        </w:rPr>
      </w:pPr>
      <w:r w:rsidRPr="002F1F81">
        <w:rPr>
          <w:sz w:val="20"/>
          <w:szCs w:val="20"/>
        </w:rPr>
        <w:t>Процесс управления пассивами коммерческого банка предполагает их эффективное использование в соответствии с возможностями формирования ресурсной базы и, наоборот, формирование ресурсной базы в соответствии с возможностями ее использования. Диалектика этих процессов разрешается при помощи нахождения «золотой середины</w:t>
      </w:r>
      <w:r>
        <w:rPr>
          <w:sz w:val="20"/>
          <w:szCs w:val="20"/>
        </w:rPr>
        <w:t xml:space="preserve">» </w:t>
      </w:r>
      <w:r w:rsidRPr="002F1F81">
        <w:rPr>
          <w:sz w:val="20"/>
          <w:szCs w:val="20"/>
        </w:rPr>
        <w:t>между привлечением и использованием ресурсов.</w:t>
      </w:r>
    </w:p>
    <w:p w:rsidR="00C35CC2" w:rsidRPr="002F1F81" w:rsidRDefault="00C35CC2" w:rsidP="00C35CC2">
      <w:pPr>
        <w:ind w:firstLine="284"/>
        <w:jc w:val="both"/>
        <w:rPr>
          <w:sz w:val="20"/>
          <w:szCs w:val="20"/>
        </w:rPr>
      </w:pPr>
      <w:r w:rsidRPr="002F1F81">
        <w:rPr>
          <w:sz w:val="20"/>
          <w:szCs w:val="20"/>
        </w:rPr>
        <w:t>Пассивные операции играют важную роль в деятельности «Тем</w:t>
      </w:r>
      <w:r w:rsidRPr="002F1F81">
        <w:rPr>
          <w:sz w:val="20"/>
          <w:szCs w:val="20"/>
          <w:lang w:val="en-US"/>
        </w:rPr>
        <w:t>i</w:t>
      </w:r>
      <w:r w:rsidRPr="002F1F81">
        <w:rPr>
          <w:sz w:val="20"/>
          <w:szCs w:val="20"/>
        </w:rPr>
        <w:t>рбанка». Именно с их помощью банк приобретает кредитные ресурсы на рынке. Ресурсы «Тем</w:t>
      </w:r>
      <w:r w:rsidRPr="002F1F81">
        <w:rPr>
          <w:sz w:val="20"/>
          <w:szCs w:val="20"/>
          <w:lang w:val="en-US"/>
        </w:rPr>
        <w:t>i</w:t>
      </w:r>
      <w:r w:rsidRPr="002F1F81">
        <w:rPr>
          <w:sz w:val="20"/>
          <w:szCs w:val="20"/>
        </w:rPr>
        <w:t>рбанка» формируются за счет собственных, привлеченных и эмитированных средств.</w:t>
      </w:r>
    </w:p>
    <w:p w:rsidR="00C35CC2" w:rsidRPr="002F1F81" w:rsidRDefault="00C35CC2" w:rsidP="00C35CC2">
      <w:pPr>
        <w:ind w:firstLine="284"/>
        <w:jc w:val="both"/>
        <w:rPr>
          <w:sz w:val="20"/>
          <w:szCs w:val="20"/>
        </w:rPr>
      </w:pPr>
      <w:r w:rsidRPr="002F1F81">
        <w:rPr>
          <w:sz w:val="20"/>
          <w:szCs w:val="20"/>
        </w:rPr>
        <w:t>Отчетный 2005 год стал годом ускоренного развития АО «Темiрбанк» и ознаменовался полным преодолением отрицательных тенденций по всем основным направлениям деятельности, которые были характерны для предыдущих периодов. Свидетельством этому стало значительное улучшение всех показателей деятельности АО «Темiрбанк», что показал анализ его финансовой отчетности.</w:t>
      </w:r>
    </w:p>
    <w:p w:rsidR="00C35CC2" w:rsidRPr="002F1F81" w:rsidRDefault="00C35CC2" w:rsidP="00C35CC2">
      <w:pPr>
        <w:ind w:firstLine="284"/>
        <w:jc w:val="both"/>
        <w:rPr>
          <w:sz w:val="20"/>
          <w:szCs w:val="20"/>
        </w:rPr>
      </w:pPr>
      <w:r w:rsidRPr="002F1F81">
        <w:rPr>
          <w:sz w:val="20"/>
          <w:szCs w:val="20"/>
        </w:rPr>
        <w:lastRenderedPageBreak/>
        <w:t>Проведенный анализ обязательств АО «Темiрбанк» на основе данных баланса банка за 2004</w:t>
      </w:r>
      <w:r>
        <w:rPr>
          <w:sz w:val="20"/>
          <w:szCs w:val="20"/>
        </w:rPr>
        <w:t>–</w:t>
      </w:r>
      <w:r w:rsidRPr="002F1F81">
        <w:rPr>
          <w:sz w:val="20"/>
          <w:szCs w:val="20"/>
        </w:rPr>
        <w:t>2005 гг. показал существенный рост и изменение структуры обязательств банка (</w:t>
      </w:r>
      <w:r>
        <w:rPr>
          <w:sz w:val="20"/>
          <w:szCs w:val="20"/>
        </w:rPr>
        <w:t>р</w:t>
      </w:r>
      <w:r w:rsidRPr="002F1F81">
        <w:rPr>
          <w:sz w:val="20"/>
          <w:szCs w:val="20"/>
        </w:rPr>
        <w:t>ис.</w:t>
      </w:r>
      <w:r>
        <w:rPr>
          <w:sz w:val="20"/>
          <w:szCs w:val="20"/>
        </w:rPr>
        <w:t xml:space="preserve"> </w:t>
      </w:r>
      <w:r w:rsidRPr="002F1F81">
        <w:rPr>
          <w:sz w:val="20"/>
          <w:szCs w:val="20"/>
        </w:rPr>
        <w:t>2).</w:t>
      </w:r>
    </w:p>
    <w:p w:rsidR="00C35CC2" w:rsidRPr="002F1F81" w:rsidRDefault="00C35CC2" w:rsidP="00C35CC2">
      <w:pPr>
        <w:ind w:firstLine="284"/>
        <w:jc w:val="both"/>
        <w:rPr>
          <w:sz w:val="20"/>
          <w:szCs w:val="20"/>
        </w:rPr>
      </w:pPr>
    </w:p>
    <w:p w:rsidR="00C35CC2" w:rsidRPr="002F1F81" w:rsidRDefault="001268E9" w:rsidP="00C35CC2">
      <w:pPr>
        <w:jc w:val="both"/>
        <w:rPr>
          <w:sz w:val="20"/>
          <w:szCs w:val="20"/>
        </w:rPr>
      </w:pPr>
      <w:r>
        <w:rPr>
          <w:sz w:val="20"/>
          <w:szCs w:val="20"/>
        </w:rPr>
      </w:r>
      <w:r>
        <w:rPr>
          <w:sz w:val="20"/>
          <w:szCs w:val="20"/>
        </w:rPr>
        <w:pict>
          <v:group id="_x0000_s1026" style="width:313.5pt;height:127pt;mso-position-horizontal-relative:char;mso-position-vertical-relative:line" coordorigin="1521,851" coordsize="9900,3780">
            <v:group id="_x0000_s1027" style="position:absolute;left:1521;top:1167;width:9900;height:3464" coordorigin="1521,1167" coordsize="9900,3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21;top:1167;width:9900;height:3464" fillcolor="black" strokecolor="white" strokeweight="3e-5mm">
                <v:imagedata r:id="rId5" o:title=""/>
                <o:lock v:ext="edit" rotation="t"/>
              </v:shape>
              <v:shape id="_x0000_s1029" type="#_x0000_t75" style="position:absolute;left:6142;top:1325;width:4807;height:1867" fillcolor="black" strokecolor="white" strokeweight="3e-5mm">
                <v:imagedata r:id="rId6" o:title=""/>
                <o:lock v:ext="edit" rotation="t"/>
              </v:shape>
            </v:group>
            <v:shapetype id="_x0000_t202" coordsize="21600,21600" o:spt="202" path="m,l,21600r21600,l21600,xe">
              <v:stroke joinstyle="miter"/>
              <v:path gradientshapeok="t" o:connecttype="rect"/>
            </v:shapetype>
            <v:shape id="_x0000_s1030" type="#_x0000_t202" style="position:absolute;left:2815;top:851;width:1664;height:473" filled="f" stroked="f">
              <v:textbox style="mso-next-textbox:#_x0000_s1030" inset="0,0,0,0">
                <w:txbxContent>
                  <w:p w:rsidR="00C35CC2" w:rsidRPr="002A4148" w:rsidRDefault="00C35CC2" w:rsidP="00C35CC2">
                    <w:pPr>
                      <w:jc w:val="center"/>
                      <w:rPr>
                        <w:sz w:val="18"/>
                        <w:szCs w:val="18"/>
                      </w:rPr>
                    </w:pPr>
                    <w:r w:rsidRPr="002A4148">
                      <w:rPr>
                        <w:sz w:val="18"/>
                        <w:szCs w:val="18"/>
                      </w:rPr>
                      <w:t>2005 год</w:t>
                    </w:r>
                  </w:p>
                </w:txbxContent>
              </v:textbox>
            </v:shape>
            <v:shape id="_x0000_s1031" type="#_x0000_t202" style="position:absolute;left:7621;top:851;width:1664;height:473" filled="f" stroked="f">
              <v:textbox style="mso-next-textbox:#_x0000_s1031" inset="0,0,0,0">
                <w:txbxContent>
                  <w:p w:rsidR="00C35CC2" w:rsidRPr="002A4148" w:rsidRDefault="00C35CC2" w:rsidP="00C35CC2">
                    <w:pPr>
                      <w:jc w:val="center"/>
                      <w:rPr>
                        <w:sz w:val="18"/>
                        <w:szCs w:val="18"/>
                      </w:rPr>
                    </w:pPr>
                    <w:r w:rsidRPr="002A4148">
                      <w:rPr>
                        <w:sz w:val="18"/>
                        <w:szCs w:val="18"/>
                      </w:rPr>
                      <w:t>2004 год</w:t>
                    </w:r>
                  </w:p>
                </w:txbxContent>
              </v:textbox>
            </v:shape>
            <w10:wrap type="none"/>
            <w10:anchorlock/>
          </v:group>
          <o:OLEObject Type="Embed" ProgID="Excel.Sheet.8" ShapeID="_x0000_s1028" DrawAspect="Content" ObjectID="_1459017600" r:id="rId7">
            <o:FieldCodes>\s</o:FieldCodes>
          </o:OLEObject>
          <o:OLEObject Type="Embed" ProgID="Excel.Sheet.8" ShapeID="_x0000_s1029" DrawAspect="Content" ObjectID="_1459017601" r:id="rId8">
            <o:FieldCodes>\s</o:FieldCodes>
          </o:OLEObject>
        </w:pict>
      </w:r>
    </w:p>
    <w:p w:rsidR="00C35CC2" w:rsidRPr="002F1F81" w:rsidRDefault="00C35CC2" w:rsidP="00C35CC2">
      <w:pPr>
        <w:ind w:firstLine="284"/>
        <w:jc w:val="both"/>
        <w:rPr>
          <w:sz w:val="20"/>
          <w:szCs w:val="20"/>
        </w:rPr>
      </w:pPr>
    </w:p>
    <w:p w:rsidR="00C35CC2" w:rsidRPr="002A4148" w:rsidRDefault="00C35CC2" w:rsidP="00C35CC2">
      <w:pPr>
        <w:jc w:val="center"/>
        <w:rPr>
          <w:i/>
          <w:sz w:val="18"/>
          <w:szCs w:val="18"/>
        </w:rPr>
      </w:pPr>
      <w:r w:rsidRPr="002A4148">
        <w:rPr>
          <w:i/>
          <w:sz w:val="18"/>
          <w:szCs w:val="18"/>
        </w:rPr>
        <w:t>Рис. 2. Структура обязательств АО «Темiрбанк» в 2004 и 2005 гг</w:t>
      </w:r>
      <w:r>
        <w:rPr>
          <w:i/>
          <w:sz w:val="18"/>
          <w:szCs w:val="18"/>
        </w:rPr>
        <w:t>.</w:t>
      </w:r>
    </w:p>
    <w:p w:rsidR="00C35CC2" w:rsidRPr="002F1F81" w:rsidRDefault="00C35CC2" w:rsidP="00C35CC2">
      <w:pPr>
        <w:ind w:firstLine="284"/>
        <w:jc w:val="both"/>
        <w:rPr>
          <w:sz w:val="20"/>
          <w:szCs w:val="20"/>
        </w:rPr>
      </w:pPr>
    </w:p>
    <w:p w:rsidR="00C35CC2" w:rsidRPr="002F1F81" w:rsidRDefault="00C35CC2" w:rsidP="00C35CC2">
      <w:pPr>
        <w:ind w:firstLine="284"/>
        <w:jc w:val="both"/>
        <w:rPr>
          <w:sz w:val="20"/>
          <w:szCs w:val="20"/>
        </w:rPr>
      </w:pPr>
      <w:r w:rsidRPr="002F1F81">
        <w:rPr>
          <w:sz w:val="20"/>
          <w:szCs w:val="20"/>
        </w:rPr>
        <w:t xml:space="preserve">В целом объем обязательств вырос на 63,33 </w:t>
      </w:r>
      <w:r>
        <w:rPr>
          <w:sz w:val="20"/>
          <w:szCs w:val="20"/>
        </w:rPr>
        <w:t>%</w:t>
      </w:r>
      <w:r w:rsidRPr="002F1F81">
        <w:rPr>
          <w:sz w:val="20"/>
          <w:szCs w:val="20"/>
        </w:rPr>
        <w:t xml:space="preserve">. В общей структуре обязательств </w:t>
      </w:r>
      <w:r>
        <w:rPr>
          <w:sz w:val="20"/>
          <w:szCs w:val="20"/>
        </w:rPr>
        <w:t>«</w:t>
      </w:r>
      <w:r w:rsidRPr="002F1F81">
        <w:rPr>
          <w:sz w:val="20"/>
          <w:szCs w:val="20"/>
        </w:rPr>
        <w:t>Темiрбанка</w:t>
      </w:r>
      <w:r>
        <w:rPr>
          <w:sz w:val="20"/>
          <w:szCs w:val="20"/>
        </w:rPr>
        <w:t>»</w:t>
      </w:r>
      <w:r w:rsidRPr="002F1F81">
        <w:rPr>
          <w:sz w:val="20"/>
          <w:szCs w:val="20"/>
        </w:rPr>
        <w:t xml:space="preserve"> произошли значительные изменения по двум статьям. Это объясняется тем, что в настоящее время при недостаточно развитом межбанковском рынке в стране именно средства физических и юридических лиц, размещаемые в банке</w:t>
      </w:r>
      <w:r>
        <w:rPr>
          <w:sz w:val="20"/>
          <w:szCs w:val="20"/>
        </w:rPr>
        <w:t>,</w:t>
      </w:r>
      <w:r w:rsidRPr="002F1F81">
        <w:rPr>
          <w:sz w:val="20"/>
          <w:szCs w:val="20"/>
        </w:rPr>
        <w:t xml:space="preserve"> являются основным источником его средств.</w:t>
      </w:r>
    </w:p>
    <w:p w:rsidR="00C35CC2" w:rsidRPr="002F1F81" w:rsidRDefault="00C35CC2" w:rsidP="00C35CC2">
      <w:pPr>
        <w:ind w:firstLine="284"/>
        <w:jc w:val="both"/>
        <w:rPr>
          <w:sz w:val="20"/>
          <w:szCs w:val="20"/>
        </w:rPr>
      </w:pPr>
      <w:r w:rsidRPr="002F1F81">
        <w:rPr>
          <w:sz w:val="20"/>
          <w:szCs w:val="20"/>
        </w:rPr>
        <w:t xml:space="preserve">Как видно из рисунка, основную долю в структуре пассивов как в 2004, так и в 2005 годах занимают средства клиентов, соответственно 53,19 и 68,09 </w:t>
      </w:r>
      <w:r>
        <w:rPr>
          <w:sz w:val="20"/>
          <w:szCs w:val="20"/>
        </w:rPr>
        <w:t>%</w:t>
      </w:r>
      <w:r w:rsidRPr="002F1F81">
        <w:rPr>
          <w:sz w:val="20"/>
          <w:szCs w:val="20"/>
        </w:rPr>
        <w:t xml:space="preserve">. За период с 2004 по 2005 год этот показатель увеличился в два раза и составил 41 587 415 тыс. тенге. Подобная динамика свидетельствует о расширении клиентской базы банка как по юридическим, так и по физическим лицам и является подтверждением возрастающего доверия клиентов к банку. Второе место в структуре занимают межбанковские кредиты. Однако их удельный вес в 2005 году на 11,57 </w:t>
      </w:r>
      <w:r>
        <w:rPr>
          <w:sz w:val="20"/>
          <w:szCs w:val="20"/>
        </w:rPr>
        <w:t>%</w:t>
      </w:r>
      <w:r w:rsidRPr="002F1F81">
        <w:rPr>
          <w:sz w:val="20"/>
          <w:szCs w:val="20"/>
        </w:rPr>
        <w:t xml:space="preserve"> меньше, чем в предыдущем году. </w:t>
      </w:r>
    </w:p>
    <w:p w:rsidR="00C35CC2" w:rsidRPr="002F1F81" w:rsidRDefault="00C35CC2" w:rsidP="00C35CC2">
      <w:pPr>
        <w:ind w:firstLine="284"/>
        <w:jc w:val="both"/>
        <w:rPr>
          <w:sz w:val="20"/>
          <w:szCs w:val="20"/>
        </w:rPr>
      </w:pPr>
      <w:r w:rsidRPr="002F1F81">
        <w:rPr>
          <w:sz w:val="20"/>
          <w:szCs w:val="20"/>
        </w:rPr>
        <w:t xml:space="preserve">Исследование проблем управления пассивами </w:t>
      </w:r>
      <w:r>
        <w:rPr>
          <w:sz w:val="20"/>
          <w:szCs w:val="20"/>
        </w:rPr>
        <w:t>«</w:t>
      </w:r>
      <w:r w:rsidRPr="002F1F81">
        <w:rPr>
          <w:sz w:val="20"/>
          <w:szCs w:val="20"/>
        </w:rPr>
        <w:t>Темiрбанка</w:t>
      </w:r>
      <w:r>
        <w:rPr>
          <w:sz w:val="20"/>
          <w:szCs w:val="20"/>
        </w:rPr>
        <w:t>»</w:t>
      </w:r>
      <w:r w:rsidRPr="002F1F81">
        <w:rPr>
          <w:sz w:val="20"/>
          <w:szCs w:val="20"/>
        </w:rPr>
        <w:t xml:space="preserve"> будет продолжено в рамках дипломной работы.</w:t>
      </w:r>
    </w:p>
    <w:p w:rsidR="00C35CC2" w:rsidRDefault="00C35CC2" w:rsidP="00C35CC2">
      <w:pPr>
        <w:jc w:val="center"/>
        <w:rPr>
          <w:sz w:val="20"/>
          <w:szCs w:val="20"/>
        </w:rPr>
      </w:pPr>
    </w:p>
    <w:p w:rsidR="00C35CC2" w:rsidRPr="002A4148" w:rsidRDefault="00C35CC2" w:rsidP="00C35CC2">
      <w:pPr>
        <w:jc w:val="center"/>
        <w:rPr>
          <w:b/>
          <w:i/>
          <w:sz w:val="20"/>
          <w:szCs w:val="20"/>
        </w:rPr>
      </w:pPr>
      <w:r w:rsidRPr="002A4148">
        <w:rPr>
          <w:b/>
          <w:i/>
          <w:sz w:val="20"/>
          <w:szCs w:val="20"/>
        </w:rPr>
        <w:t xml:space="preserve">Библиографический список </w:t>
      </w:r>
    </w:p>
    <w:p w:rsidR="00C35CC2" w:rsidRPr="002F1F81" w:rsidRDefault="00C35CC2" w:rsidP="00C35CC2">
      <w:pPr>
        <w:jc w:val="center"/>
        <w:rPr>
          <w:sz w:val="20"/>
          <w:szCs w:val="20"/>
        </w:rPr>
      </w:pPr>
    </w:p>
    <w:p w:rsidR="00C35CC2" w:rsidRPr="002F1F81" w:rsidRDefault="00C35CC2" w:rsidP="00C35CC2">
      <w:pPr>
        <w:ind w:firstLine="284"/>
        <w:jc w:val="both"/>
        <w:rPr>
          <w:sz w:val="20"/>
          <w:szCs w:val="20"/>
        </w:rPr>
      </w:pPr>
      <w:r>
        <w:rPr>
          <w:sz w:val="20"/>
          <w:szCs w:val="20"/>
        </w:rPr>
        <w:t xml:space="preserve">1. </w:t>
      </w:r>
      <w:r w:rsidRPr="002F1F81">
        <w:rPr>
          <w:sz w:val="20"/>
          <w:szCs w:val="20"/>
        </w:rPr>
        <w:t>Азрилиянов</w:t>
      </w:r>
      <w:r>
        <w:rPr>
          <w:sz w:val="20"/>
          <w:szCs w:val="20"/>
        </w:rPr>
        <w:t>,</w:t>
      </w:r>
      <w:r w:rsidRPr="002F1F81">
        <w:rPr>
          <w:sz w:val="20"/>
          <w:szCs w:val="20"/>
        </w:rPr>
        <w:t xml:space="preserve"> А.</w:t>
      </w:r>
      <w:r>
        <w:rPr>
          <w:sz w:val="20"/>
          <w:szCs w:val="20"/>
        </w:rPr>
        <w:t xml:space="preserve"> </w:t>
      </w:r>
      <w:r w:rsidRPr="002F1F81">
        <w:rPr>
          <w:sz w:val="20"/>
          <w:szCs w:val="20"/>
        </w:rPr>
        <w:t>Н. Большой экономический словарь</w:t>
      </w:r>
      <w:r>
        <w:rPr>
          <w:sz w:val="20"/>
          <w:szCs w:val="20"/>
        </w:rPr>
        <w:t xml:space="preserve"> / А. Н. </w:t>
      </w:r>
      <w:r w:rsidRPr="002F1F81">
        <w:rPr>
          <w:sz w:val="20"/>
          <w:szCs w:val="20"/>
        </w:rPr>
        <w:t>Азрилиянов. – М.</w:t>
      </w:r>
      <w:r>
        <w:rPr>
          <w:sz w:val="20"/>
          <w:szCs w:val="20"/>
        </w:rPr>
        <w:t>,</w:t>
      </w:r>
      <w:r w:rsidRPr="002F1F81">
        <w:rPr>
          <w:sz w:val="20"/>
          <w:szCs w:val="20"/>
        </w:rPr>
        <w:t xml:space="preserve"> 2000</w:t>
      </w:r>
      <w:r>
        <w:rPr>
          <w:sz w:val="20"/>
          <w:szCs w:val="20"/>
        </w:rPr>
        <w:t>. –</w:t>
      </w:r>
      <w:r w:rsidRPr="002F1F81">
        <w:rPr>
          <w:sz w:val="20"/>
          <w:szCs w:val="20"/>
        </w:rPr>
        <w:t xml:space="preserve"> 661</w:t>
      </w:r>
      <w:r>
        <w:rPr>
          <w:sz w:val="20"/>
          <w:szCs w:val="20"/>
        </w:rPr>
        <w:t xml:space="preserve"> </w:t>
      </w:r>
      <w:r w:rsidRPr="002F1F81">
        <w:rPr>
          <w:sz w:val="20"/>
          <w:szCs w:val="20"/>
        </w:rPr>
        <w:t>с.</w:t>
      </w:r>
    </w:p>
    <w:p w:rsidR="00C35CC2" w:rsidRPr="002F1F81" w:rsidRDefault="00C35CC2" w:rsidP="00C35CC2">
      <w:pPr>
        <w:ind w:firstLine="284"/>
        <w:jc w:val="both"/>
        <w:rPr>
          <w:sz w:val="20"/>
          <w:szCs w:val="20"/>
        </w:rPr>
      </w:pPr>
      <w:r>
        <w:rPr>
          <w:sz w:val="20"/>
          <w:szCs w:val="20"/>
        </w:rPr>
        <w:t xml:space="preserve">2. </w:t>
      </w:r>
      <w:r w:rsidRPr="002F1F81">
        <w:rPr>
          <w:sz w:val="20"/>
          <w:szCs w:val="20"/>
        </w:rPr>
        <w:t>Лаврушин</w:t>
      </w:r>
      <w:r>
        <w:rPr>
          <w:sz w:val="20"/>
          <w:szCs w:val="20"/>
        </w:rPr>
        <w:t>,</w:t>
      </w:r>
      <w:r w:rsidRPr="002F1F81">
        <w:rPr>
          <w:sz w:val="20"/>
          <w:szCs w:val="20"/>
        </w:rPr>
        <w:t xml:space="preserve"> О.</w:t>
      </w:r>
      <w:r>
        <w:rPr>
          <w:sz w:val="20"/>
          <w:szCs w:val="20"/>
        </w:rPr>
        <w:t xml:space="preserve"> </w:t>
      </w:r>
      <w:r w:rsidRPr="002F1F81">
        <w:rPr>
          <w:sz w:val="20"/>
          <w:szCs w:val="20"/>
        </w:rPr>
        <w:t>И. Управление деятельностью коммерческого банка</w:t>
      </w:r>
      <w:r>
        <w:rPr>
          <w:sz w:val="20"/>
          <w:szCs w:val="20"/>
        </w:rPr>
        <w:t xml:space="preserve"> / О. И. </w:t>
      </w:r>
      <w:r w:rsidRPr="002F1F81">
        <w:rPr>
          <w:sz w:val="20"/>
          <w:szCs w:val="20"/>
        </w:rPr>
        <w:t>Лаврушин.</w:t>
      </w:r>
      <w:r>
        <w:rPr>
          <w:sz w:val="20"/>
          <w:szCs w:val="20"/>
        </w:rPr>
        <w:t xml:space="preserve"> </w:t>
      </w:r>
      <w:r w:rsidRPr="002F1F81">
        <w:rPr>
          <w:sz w:val="20"/>
          <w:szCs w:val="20"/>
        </w:rPr>
        <w:t>– М</w:t>
      </w:r>
      <w:r>
        <w:rPr>
          <w:sz w:val="20"/>
          <w:szCs w:val="20"/>
        </w:rPr>
        <w:t>.</w:t>
      </w:r>
      <w:r w:rsidRPr="002F1F81">
        <w:rPr>
          <w:sz w:val="20"/>
          <w:szCs w:val="20"/>
        </w:rPr>
        <w:t>: Юристъ, 2002</w:t>
      </w:r>
      <w:r>
        <w:rPr>
          <w:sz w:val="20"/>
          <w:szCs w:val="20"/>
        </w:rPr>
        <w:t>. –</w:t>
      </w:r>
      <w:r w:rsidRPr="002F1F81">
        <w:rPr>
          <w:sz w:val="20"/>
          <w:szCs w:val="20"/>
        </w:rPr>
        <w:t xml:space="preserve"> 371</w:t>
      </w:r>
      <w:r>
        <w:rPr>
          <w:sz w:val="20"/>
          <w:szCs w:val="20"/>
        </w:rPr>
        <w:t xml:space="preserve"> </w:t>
      </w:r>
      <w:r w:rsidRPr="002F1F81">
        <w:rPr>
          <w:sz w:val="20"/>
          <w:szCs w:val="20"/>
        </w:rPr>
        <w:t>с.</w:t>
      </w:r>
    </w:p>
    <w:p w:rsidR="00C35CC2" w:rsidRPr="002F1F81" w:rsidRDefault="00C35CC2" w:rsidP="00C35CC2">
      <w:pPr>
        <w:ind w:firstLine="284"/>
        <w:jc w:val="both"/>
        <w:rPr>
          <w:sz w:val="20"/>
          <w:szCs w:val="20"/>
        </w:rPr>
      </w:pPr>
      <w:r>
        <w:rPr>
          <w:sz w:val="20"/>
          <w:szCs w:val="20"/>
        </w:rPr>
        <w:t xml:space="preserve">3. </w:t>
      </w:r>
      <w:r w:rsidRPr="002F1F81">
        <w:rPr>
          <w:sz w:val="20"/>
          <w:szCs w:val="20"/>
        </w:rPr>
        <w:t>Роус</w:t>
      </w:r>
      <w:r>
        <w:rPr>
          <w:sz w:val="20"/>
          <w:szCs w:val="20"/>
        </w:rPr>
        <w:t>,</w:t>
      </w:r>
      <w:r w:rsidRPr="002F1F81">
        <w:rPr>
          <w:sz w:val="20"/>
          <w:szCs w:val="20"/>
        </w:rPr>
        <w:t xml:space="preserve"> П.</w:t>
      </w:r>
      <w:r>
        <w:rPr>
          <w:sz w:val="20"/>
          <w:szCs w:val="20"/>
        </w:rPr>
        <w:t xml:space="preserve"> </w:t>
      </w:r>
      <w:r w:rsidRPr="002F1F81">
        <w:rPr>
          <w:sz w:val="20"/>
          <w:szCs w:val="20"/>
        </w:rPr>
        <w:t>С. Банковский менеджмент</w:t>
      </w:r>
      <w:r>
        <w:rPr>
          <w:sz w:val="20"/>
          <w:szCs w:val="20"/>
        </w:rPr>
        <w:t>:</w:t>
      </w:r>
      <w:r w:rsidRPr="002F1F81">
        <w:rPr>
          <w:sz w:val="20"/>
          <w:szCs w:val="20"/>
        </w:rPr>
        <w:t xml:space="preserve"> </w:t>
      </w:r>
      <w:r>
        <w:rPr>
          <w:sz w:val="20"/>
          <w:szCs w:val="20"/>
        </w:rPr>
        <w:t>п</w:t>
      </w:r>
      <w:r w:rsidRPr="002F1F81">
        <w:rPr>
          <w:sz w:val="20"/>
          <w:szCs w:val="20"/>
        </w:rPr>
        <w:t xml:space="preserve">ер. с англ. </w:t>
      </w:r>
      <w:r>
        <w:rPr>
          <w:sz w:val="20"/>
          <w:szCs w:val="20"/>
        </w:rPr>
        <w:t xml:space="preserve">/ П. С. </w:t>
      </w:r>
      <w:r w:rsidRPr="002F1F81">
        <w:rPr>
          <w:sz w:val="20"/>
          <w:szCs w:val="20"/>
        </w:rPr>
        <w:t>Роус</w:t>
      </w:r>
      <w:r>
        <w:rPr>
          <w:sz w:val="20"/>
          <w:szCs w:val="20"/>
        </w:rPr>
        <w:t>.</w:t>
      </w:r>
      <w:r w:rsidRPr="002F1F81">
        <w:rPr>
          <w:sz w:val="20"/>
          <w:szCs w:val="20"/>
        </w:rPr>
        <w:t xml:space="preserve"> – М</w:t>
      </w:r>
      <w:r>
        <w:rPr>
          <w:sz w:val="20"/>
          <w:szCs w:val="20"/>
        </w:rPr>
        <w:t>.</w:t>
      </w:r>
      <w:r w:rsidRPr="002F1F81">
        <w:rPr>
          <w:sz w:val="20"/>
          <w:szCs w:val="20"/>
        </w:rPr>
        <w:t>: Дело, 1997</w:t>
      </w:r>
      <w:r>
        <w:rPr>
          <w:sz w:val="20"/>
          <w:szCs w:val="20"/>
        </w:rPr>
        <w:t>. –</w:t>
      </w:r>
      <w:r w:rsidRPr="002F1F81">
        <w:rPr>
          <w:sz w:val="20"/>
          <w:szCs w:val="20"/>
        </w:rPr>
        <w:t xml:space="preserve"> 477</w:t>
      </w:r>
      <w:r>
        <w:rPr>
          <w:sz w:val="20"/>
          <w:szCs w:val="20"/>
        </w:rPr>
        <w:t xml:space="preserve"> </w:t>
      </w:r>
      <w:r w:rsidRPr="002F1F81">
        <w:rPr>
          <w:sz w:val="20"/>
          <w:szCs w:val="20"/>
        </w:rPr>
        <w:t>с.</w:t>
      </w:r>
    </w:p>
    <w:p w:rsidR="00EE2346" w:rsidRDefault="00EE2346">
      <w:bookmarkStart w:id="0" w:name="_GoBack"/>
      <w:bookmarkEnd w:id="0"/>
    </w:p>
    <w:sectPr w:rsidR="00EE2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2368"/>
    <w:multiLevelType w:val="hybridMultilevel"/>
    <w:tmpl w:val="30F45CFE"/>
    <w:lvl w:ilvl="0" w:tplc="C9B49EBE">
      <w:start w:val="1"/>
      <w:numFmt w:val="bullet"/>
      <w:lvlText w:val=""/>
      <w:lvlJc w:val="left"/>
      <w:pPr>
        <w:tabs>
          <w:tab w:val="num" w:pos="794"/>
        </w:tabs>
        <w:ind w:left="284" w:firstLine="284"/>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CC2"/>
    <w:rsid w:val="001268E9"/>
    <w:rsid w:val="00C35CC2"/>
    <w:rsid w:val="00CE1E27"/>
    <w:rsid w:val="00D8196B"/>
    <w:rsid w:val="00E90B47"/>
    <w:rsid w:val="00EE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C01BFF22-F059-4997-94AF-DB938D19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3" Type="http://schemas.openxmlformats.org/officeDocument/2006/relationships/settings" Target="settings.xml"/><Relationship Id="rId7" Type="http://schemas.openxmlformats.org/officeDocument/2006/relationships/oleObject" Target="embeddings/_____Microsoft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УПРАВЛЕНИЕ ПАССИВНЫМИ ОПЕРАЦИЯМИ КОММЕРЧЕСКОГО БАНКА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ПАССИВНЫМИ ОПЕРАЦИЯМИ КОММЕРЧЕСКОГО БАНКА  </dc:title>
  <dc:subject/>
  <dc:creator>MONTREY</dc:creator>
  <cp:keywords/>
  <cp:lastModifiedBy>admin</cp:lastModifiedBy>
  <cp:revision>2</cp:revision>
  <dcterms:created xsi:type="dcterms:W3CDTF">2014-04-14T18:54:00Z</dcterms:created>
  <dcterms:modified xsi:type="dcterms:W3CDTF">2014-04-14T18:54:00Z</dcterms:modified>
</cp:coreProperties>
</file>