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3E" w:rsidRDefault="00DA573E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</w:rPr>
      </w:pPr>
    </w:p>
    <w:p w:rsidR="00DA573E" w:rsidRDefault="00DA573E">
      <w:pPr>
        <w:pStyle w:val="1"/>
      </w:pPr>
      <w:r>
        <w:t>Уральский экономический район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pStyle w:val="a6"/>
      </w:pPr>
      <w:r>
        <w:t xml:space="preserve">     Площадь Уральского экономического района составляет 4,8% территории РФ. Численность населения - 14% населения РФ. Доля промышленного производства в РФ - 15%. В составе района, расположенные на западе - Удмуртская, Башкирская республики и Пермская область, в т.ч. Коми-Пермяцкий АО, расположенные в средней и северной частях Урала - Челябинская и Свердловская области, Южноуральская - Оренбургская область и расположенная на востоке - Курганская область. На юге Урал имеет протяженную границу с Казахстаном.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Выгоды экономико-географического положения Урала определяются его размещением на стыке европейской и азиатской части России, обмениваясь с которыми сырьевыми ресурсами и готовой продукцией, Урал самым эффективным образом, с наименьшими затратами, использует свой природно</w:t>
      </w:r>
      <w:r>
        <w:rPr>
          <w:rFonts w:ascii="Arial" w:hAnsi="Arial" w:cs="Arial"/>
          <w:snapToGrid w:val="0"/>
          <w:color w:val="000000"/>
          <w:sz w:val="28"/>
        </w:rPr>
        <w:noBreakHyphen/>
        <w:t>ресурсный и накопленный мощный производственный потенциалы, а также квалифицированные трудовые ресурсы.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На 01.03.1999 г в районе проживало 20,4 млн. чел., в том числе почти 75% городского населения.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pStyle w:val="2"/>
      </w:pPr>
      <w:r>
        <w:t>Таблица 1</w:t>
      </w:r>
    </w:p>
    <w:p w:rsidR="00DA573E" w:rsidRDefault="00DA573E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Территория и численность населения Уральского района</w:t>
      </w:r>
    </w:p>
    <w:p w:rsidR="00DA573E" w:rsidRDefault="00DA573E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на 01.01.1999 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0"/>
        <w:gridCol w:w="1440"/>
        <w:gridCol w:w="1440"/>
        <w:gridCol w:w="1440"/>
        <w:gridCol w:w="1620"/>
        <w:gridCol w:w="1260"/>
      </w:tblGrid>
      <w:tr w:rsidR="00DA573E">
        <w:trPr>
          <w:trHeight w:val="98"/>
        </w:trPr>
        <w:tc>
          <w:tcPr>
            <w:tcW w:w="1830" w:type="dxa"/>
            <w:tcBorders>
              <w:bottom w:val="nil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Район,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Территория</w:t>
            </w:r>
          </w:p>
        </w:tc>
        <w:tc>
          <w:tcPr>
            <w:tcW w:w="5760" w:type="dxa"/>
            <w:gridSpan w:val="4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Численность наличного населения</w:t>
            </w:r>
          </w:p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(тыс. чел.)</w:t>
            </w:r>
          </w:p>
        </w:tc>
      </w:tr>
      <w:tr w:rsidR="00DA573E">
        <w:trPr>
          <w:trHeight w:val="88"/>
        </w:trPr>
        <w:tc>
          <w:tcPr>
            <w:tcW w:w="1830" w:type="dxa"/>
            <w:tcBorders>
              <w:top w:val="nil"/>
              <w:bottom w:val="nil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республики,</w:t>
            </w:r>
          </w:p>
        </w:tc>
        <w:tc>
          <w:tcPr>
            <w:tcW w:w="1440" w:type="dxa"/>
            <w:tcBorders>
              <w:bottom w:val="nil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Все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Городское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Сельское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Число жителей</w:t>
            </w:r>
          </w:p>
        </w:tc>
      </w:tr>
      <w:tr w:rsidR="00DA573E">
        <w:trPr>
          <w:trHeight w:val="108"/>
        </w:trPr>
        <w:tc>
          <w:tcPr>
            <w:tcW w:w="1830" w:type="dxa"/>
            <w:tcBorders>
              <w:top w:val="nil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области</w:t>
            </w:r>
          </w:p>
        </w:tc>
        <w:tc>
          <w:tcPr>
            <w:tcW w:w="1440" w:type="dxa"/>
            <w:tcBorders>
              <w:top w:val="nil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(тыс.км</w:t>
            </w:r>
            <w:r>
              <w:rPr>
                <w:rFonts w:ascii="Arial" w:hAnsi="Arial" w:cs="Arial"/>
                <w:snapToGrid w:val="0"/>
                <w:color w:val="000000"/>
                <w:vertAlign w:val="superscript"/>
              </w:rPr>
              <w:t>2</w:t>
            </w:r>
            <w:r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население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население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население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vertAlign w:val="superscript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на 1 км</w:t>
            </w:r>
            <w:r>
              <w:rPr>
                <w:rFonts w:ascii="Arial" w:hAnsi="Arial" w:cs="Arial"/>
                <w:snapToGrid w:val="0"/>
                <w:color w:val="000000"/>
                <w:vertAlign w:val="superscript"/>
              </w:rPr>
              <w:t>2</w:t>
            </w:r>
          </w:p>
        </w:tc>
      </w:tr>
      <w:tr w:rsidR="00DA573E">
        <w:trPr>
          <w:trHeight w:val="110"/>
        </w:trPr>
        <w:tc>
          <w:tcPr>
            <w:tcW w:w="1830" w:type="dxa"/>
          </w:tcPr>
          <w:p w:rsidR="00DA573E" w:rsidRDefault="00DA573E">
            <w:pPr>
              <w:spacing w:line="360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Уральский район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824,0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20353,8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15135,5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5218,3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29,6</w:t>
            </w:r>
          </w:p>
        </w:tc>
      </w:tr>
      <w:tr w:rsidR="00DA573E">
        <w:trPr>
          <w:trHeight w:val="195"/>
        </w:trPr>
        <w:tc>
          <w:tcPr>
            <w:tcW w:w="1830" w:type="dxa"/>
          </w:tcPr>
          <w:p w:rsidR="00DA573E" w:rsidRDefault="00DA573E">
            <w:pPr>
              <w:spacing w:line="360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Республика Башкортостан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143,6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4111,3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2672,8</w:t>
            </w:r>
          </w:p>
        </w:tc>
        <w:tc>
          <w:tcPr>
            <w:tcW w:w="162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1438,5</w:t>
            </w:r>
          </w:p>
        </w:tc>
        <w:tc>
          <w:tcPr>
            <w:tcW w:w="126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28,6</w:t>
            </w:r>
          </w:p>
        </w:tc>
      </w:tr>
      <w:tr w:rsidR="00DA573E">
        <w:trPr>
          <w:trHeight w:val="195"/>
        </w:trPr>
        <w:tc>
          <w:tcPr>
            <w:tcW w:w="1830" w:type="dxa"/>
          </w:tcPr>
          <w:p w:rsidR="00DA573E" w:rsidRDefault="00DA573E">
            <w:pPr>
              <w:spacing w:line="360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Удмуртская республика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42,1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1633,0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1135,5</w:t>
            </w:r>
          </w:p>
        </w:tc>
        <w:tc>
          <w:tcPr>
            <w:tcW w:w="162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497,5</w:t>
            </w:r>
          </w:p>
        </w:tc>
        <w:tc>
          <w:tcPr>
            <w:tcW w:w="126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38,9</w:t>
            </w:r>
          </w:p>
        </w:tc>
      </w:tr>
      <w:tr w:rsidR="00DA573E">
        <w:trPr>
          <w:trHeight w:val="195"/>
        </w:trPr>
        <w:tc>
          <w:tcPr>
            <w:tcW w:w="1830" w:type="dxa"/>
          </w:tcPr>
          <w:p w:rsidR="00DA573E" w:rsidRDefault="00DA573E">
            <w:pPr>
              <w:spacing w:line="360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Курганская обл.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71,0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1102,3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611,2</w:t>
            </w:r>
          </w:p>
        </w:tc>
        <w:tc>
          <w:tcPr>
            <w:tcW w:w="162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491,1</w:t>
            </w:r>
          </w:p>
        </w:tc>
        <w:tc>
          <w:tcPr>
            <w:tcW w:w="126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15,6</w:t>
            </w:r>
          </w:p>
        </w:tc>
      </w:tr>
      <w:tr w:rsidR="00DA573E">
        <w:trPr>
          <w:trHeight w:val="195"/>
        </w:trPr>
        <w:tc>
          <w:tcPr>
            <w:tcW w:w="1830" w:type="dxa"/>
          </w:tcPr>
          <w:p w:rsidR="00DA573E" w:rsidRDefault="00DA573E">
            <w:pPr>
              <w:spacing w:line="360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Оренбургская обл.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124,0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2225,8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1419,0</w:t>
            </w:r>
          </w:p>
        </w:tc>
        <w:tc>
          <w:tcPr>
            <w:tcW w:w="162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806,8</w:t>
            </w:r>
          </w:p>
        </w:tc>
        <w:tc>
          <w:tcPr>
            <w:tcW w:w="126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18,0</w:t>
            </w:r>
          </w:p>
        </w:tc>
      </w:tr>
      <w:tr w:rsidR="00DA573E">
        <w:trPr>
          <w:trHeight w:val="195"/>
        </w:trPr>
        <w:tc>
          <w:tcPr>
            <w:tcW w:w="1830" w:type="dxa"/>
          </w:tcPr>
          <w:p w:rsidR="00DA573E" w:rsidRDefault="00DA573E">
            <w:pPr>
              <w:spacing w:line="360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Пермская обл.</w:t>
            </w:r>
          </w:p>
          <w:p w:rsidR="00DA573E" w:rsidRDefault="00DA573E">
            <w:pPr>
              <w:spacing w:line="360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 т.ч. Коми-Пермятская АО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160,6</w:t>
            </w:r>
          </w:p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32,9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2970,4</w:t>
            </w:r>
          </w:p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151,4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2253,0</w:t>
            </w:r>
          </w:p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43,3</w:t>
            </w:r>
          </w:p>
        </w:tc>
        <w:tc>
          <w:tcPr>
            <w:tcW w:w="162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717,4</w:t>
            </w:r>
          </w:p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108,1</w:t>
            </w:r>
          </w:p>
        </w:tc>
        <w:tc>
          <w:tcPr>
            <w:tcW w:w="126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18,6</w:t>
            </w:r>
          </w:p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4,7</w:t>
            </w:r>
          </w:p>
        </w:tc>
      </w:tr>
      <w:tr w:rsidR="00DA573E">
        <w:trPr>
          <w:trHeight w:val="195"/>
        </w:trPr>
        <w:tc>
          <w:tcPr>
            <w:tcW w:w="1830" w:type="dxa"/>
          </w:tcPr>
          <w:p w:rsidR="00DA573E" w:rsidRDefault="00DA573E">
            <w:pPr>
              <w:spacing w:line="360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Свердловская обл.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194,8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4631,8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4052,9</w:t>
            </w:r>
          </w:p>
        </w:tc>
        <w:tc>
          <w:tcPr>
            <w:tcW w:w="162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578,9</w:t>
            </w:r>
          </w:p>
        </w:tc>
        <w:tc>
          <w:tcPr>
            <w:tcW w:w="126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23,9</w:t>
            </w:r>
          </w:p>
        </w:tc>
      </w:tr>
      <w:tr w:rsidR="00DA573E">
        <w:trPr>
          <w:trHeight w:val="195"/>
        </w:trPr>
        <w:tc>
          <w:tcPr>
            <w:tcW w:w="1830" w:type="dxa"/>
          </w:tcPr>
          <w:p w:rsidR="00DA573E" w:rsidRDefault="00DA573E">
            <w:pPr>
              <w:spacing w:line="360" w:lineRule="auto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Челябинская обл.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87,9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3679,2</w:t>
            </w:r>
          </w:p>
        </w:tc>
        <w:tc>
          <w:tcPr>
            <w:tcW w:w="144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2991,1</w:t>
            </w:r>
          </w:p>
        </w:tc>
        <w:tc>
          <w:tcPr>
            <w:tcW w:w="162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688,1</w:t>
            </w:r>
          </w:p>
        </w:tc>
        <w:tc>
          <w:tcPr>
            <w:tcW w:w="1260" w:type="dxa"/>
          </w:tcPr>
          <w:p w:rsidR="00DA573E" w:rsidRDefault="00DA573E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41,9</w:t>
            </w:r>
          </w:p>
        </w:tc>
      </w:tr>
    </w:tbl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Естественное движение населения на Урале к концу 90-х годов приобрело отрицательное значение (-3,3 чел. на 1000 жителей в 1998 г.) и было только отчасти компенсировано положительным коэффициентом миграции (-2,9 на 1000 жителей).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В итоге констатируется продолжение снижения абсолютной численности населения Урала, которое, по прогноз Госкомстата России на   2010 г. должно составить 19,8 млн. чел.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Основу индустриальной мощи Урала составляют его богатейшие минерально-сырьевые ресурсы. Здесь обнаружено около 1000 видов минералов, свыше 12 тыс. месторождений полезных ископаемых.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>Из 55 элементов таблицы Менделеева, получивших большое народнохозяйственное значение, на Урале добывается 48.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Месторождения нефти располагаются в западных предгорьях Урала - в Удмуртии, Пермской области; Башкирии (наиболее крупные). Значительная часть первоначальных запасов жидких углеводородов уже выработана, а для извлечения оставшихся необходимы современные технологии.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Запасы природного газа в основном сконцентрированы в Оренбургской области, где находится один из крупных центров газодобычи в России.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Запасы угля на Урале имеют локальное значение: Кизеловский бассейн в Пермской области, месторождения бурых углей в Челябинской и Свердловской областях. В условиях экономического кризиса, с особой силой охватывающего угольную промышленность, добыча угля на Урале не имеет перспективы.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Запасы железных и медных руд взяты на баланс в Свердловской и Челябинской областях. Причем, если балансовых запасов медных руд достаточно для местной цветной металлургии, то запасов железных руд не хватает для обеспечения Уральской черно</w:t>
      </w:r>
      <w:r>
        <w:rPr>
          <w:rFonts w:ascii="Arial" w:hAnsi="Arial" w:cs="Arial"/>
          <w:snapToGrid w:val="0"/>
          <w:color w:val="000000"/>
          <w:sz w:val="28"/>
        </w:rPr>
        <w:noBreakHyphen/>
        <w:t>металлургической базы, и поэтому имеет место импорт железной руды из Казахстана (с Соколовско</w:t>
      </w:r>
      <w:r>
        <w:rPr>
          <w:rFonts w:ascii="Arial" w:hAnsi="Arial" w:cs="Arial"/>
          <w:snapToGrid w:val="0"/>
          <w:color w:val="000000"/>
          <w:sz w:val="28"/>
        </w:rPr>
        <w:noBreakHyphen/>
        <w:t>Сарбайского месторождения в Кустанайской области).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На Урале находится также 27% разведанных в РФ рудных запасов бокситов и меди, 12% - никеля и 58% - цинка. Разведаны и разрабатываются запасы редкометаллических руд, россыпных алмазов, изумрудов.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В Соликамско</w:t>
      </w:r>
      <w:r>
        <w:rPr>
          <w:rFonts w:ascii="Arial" w:hAnsi="Arial" w:cs="Arial"/>
          <w:snapToGrid w:val="0"/>
          <w:color w:val="000000"/>
          <w:sz w:val="28"/>
        </w:rPr>
        <w:noBreakHyphen/>
        <w:t>Березниковском промрайоне Пермской области разрабатываются крупнейшие месторождения калийной и поваренной соли.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Урал обладает значительными лесными и водными ресурсами, сосредоточенными в лесной зоне на севере района. Гидроэнергетические ресурсы используются для выработки электроэнергии на Боткинской и Камской ГЭС.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Интеллектуальные ресурсы Урала сосредоточены в крупных городах - Екатеринбурге, Челябинске, Уфе, Перми, Оренбурге, где расположены крупные центры фундаментальной академической науки (находятся в ведении Уральского филиала РАН) и прикладной науки (отраслевые и вузовские центры). На территории Челябинской области, в городе Снежинске, находится один из важнейших центров исследований и опытного производства в области атомной промышленности - горно-химический комбинат "Маяк".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Специализирующие отрасли промышленности Урала: черная и цветная металлургия, машиностроение (главным образом тяжелое), ТЭК (топливная промышленность и электроэнергетика), химическая и нефтехимическая промышленность (основные центры в Башкирии, Пермской и Свердловской области), лесной комплекс.</w:t>
      </w:r>
    </w:p>
    <w:p w:rsidR="00DA573E" w:rsidRDefault="00DA573E">
      <w:pPr>
        <w:pStyle w:val="a6"/>
      </w:pPr>
      <w:r>
        <w:t xml:space="preserve">     Первая по значению и старейшая отрасль специализации - черная металлургия, на которую приходится почти 22% всей продукции Урала. На Магнитогорский, Нижнетагильский и Орско</w:t>
      </w:r>
      <w:r>
        <w:noBreakHyphen/>
        <w:t>Халиловский комбинаты, а также Челябинский завод приходится основной объем районной выплавки чугуна и стали. Магнитогорский комбинат проявляет наиболее высокую активность в экспорте стального проката.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pStyle w:val="2"/>
      </w:pPr>
      <w:r>
        <w:t>Таблица 2</w:t>
      </w:r>
    </w:p>
    <w:p w:rsidR="00DA573E" w:rsidRDefault="00DA573E">
      <w:pPr>
        <w:pStyle w:val="20"/>
      </w:pPr>
      <w:r>
        <w:t>Отраслевая структура производства промышленной продукции Уральского района, сложившаяся к концу до 90-х годов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660"/>
        <w:gridCol w:w="1620"/>
      </w:tblGrid>
      <w:tr w:rsidR="00DA573E">
        <w:trPr>
          <w:trHeight w:val="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№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Отрасли промышленности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в (%)</w:t>
            </w:r>
          </w:p>
        </w:tc>
      </w:tr>
      <w:tr w:rsidR="00DA573E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Промышленность – всего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100</w:t>
            </w:r>
          </w:p>
        </w:tc>
      </w:tr>
      <w:tr w:rsidR="00DA573E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Электроэнергетика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12,4</w:t>
            </w:r>
          </w:p>
        </w:tc>
      </w:tr>
      <w:tr w:rsidR="00DA573E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Топливная промышленность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13,6</w:t>
            </w:r>
          </w:p>
        </w:tc>
      </w:tr>
      <w:tr w:rsidR="00DA573E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Черная металлургия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21,6</w:t>
            </w:r>
          </w:p>
        </w:tc>
      </w:tr>
      <w:tr w:rsidR="00DA573E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Цветная металлургия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2,1</w:t>
            </w:r>
          </w:p>
        </w:tc>
      </w:tr>
      <w:tr w:rsidR="00DA573E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Химическая и нефтехимическая промышленность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9,1</w:t>
            </w:r>
          </w:p>
        </w:tc>
      </w:tr>
      <w:tr w:rsidR="00DA573E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Машиностроение и металлообработка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15,8</w:t>
            </w:r>
          </w:p>
        </w:tc>
      </w:tr>
      <w:tr w:rsidR="00DA573E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Лесная, деревообрабатывающая и целлюлозно</w:t>
            </w:r>
            <w:r>
              <w:rPr>
                <w:rFonts w:ascii="Arial" w:hAnsi="Arial" w:cs="Arial"/>
                <w:snapToGrid w:val="0"/>
                <w:color w:val="000000"/>
              </w:rPr>
              <w:noBreakHyphen/>
              <w:t>бумажная промышленность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3,1</w:t>
            </w:r>
          </w:p>
        </w:tc>
      </w:tr>
      <w:tr w:rsidR="00DA573E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Промышленность строительных материалов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4,3</w:t>
            </w:r>
          </w:p>
        </w:tc>
      </w:tr>
      <w:tr w:rsidR="00DA573E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Стекольная и фарфоро</w:t>
            </w:r>
            <w:r>
              <w:rPr>
                <w:rFonts w:ascii="Arial" w:hAnsi="Arial" w:cs="Arial"/>
                <w:snapToGrid w:val="0"/>
                <w:color w:val="000000"/>
              </w:rPr>
              <w:noBreakHyphen/>
              <w:t>фаянсовая промышленность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0.3</w:t>
            </w:r>
          </w:p>
        </w:tc>
      </w:tr>
      <w:tr w:rsidR="00DA573E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Легкая промышленность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1,3</w:t>
            </w:r>
          </w:p>
        </w:tc>
      </w:tr>
      <w:tr w:rsidR="00DA573E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Пищевая промышленность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7,3</w:t>
            </w:r>
          </w:p>
        </w:tc>
      </w:tr>
      <w:tr w:rsidR="00DA573E">
        <w:trPr>
          <w:trHeight w:val="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Мукомольная, крупяная и комбикормовая промышленность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 w:line="360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1,8</w:t>
            </w:r>
          </w:p>
        </w:tc>
      </w:tr>
    </w:tbl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Удельный вес Урала в Российской Федерации: по добыче железной руды - около 20%, по выплавке стали и чугуна , а также производству готового проката - свыше 40%.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В цветной металлургии следует выделить производство меди (заводами в Красноуральске, Верхней Пышме и Медногорске), алюминия (заводы в Каменске</w:t>
      </w:r>
      <w:r>
        <w:rPr>
          <w:rFonts w:ascii="Arial" w:hAnsi="Arial" w:cs="Arial"/>
          <w:snapToGrid w:val="0"/>
          <w:color w:val="000000"/>
          <w:sz w:val="28"/>
        </w:rPr>
        <w:noBreakHyphen/>
        <w:t>Уральском и Краснотуринске), никеля (заводы в Орске и Реже), цинка (производство в Челябинске).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Отличительные черты уральского машиностроения - сложность его структуры и высокая металлоемкость. Но здесь также получили развитие: точное машиностроение и приборостроение, а также, связанное с отраслями ВПК, транспортное машиностроение (Уралвагонозавод в Нижнем Тагиле и др.)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Доля Урала в производстве металлорежущих станков, экскаваторов, химического оборудования и машин для сельского хозяйства составляет от 20% до 40% объема их производства в РФ.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На Урале сложился мощный ТЭК. По производству электроэнергии район находится на третьем месте в стране; после Центра и Восточной Сибири. В составе электростанций Урала: 90 % тепловых станций, две крупных гидравлических и одна атомная - Белоярская, работающая на быстрых нейтронах.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В районе ведется добыча и переработка нефти (до 13% от общего объема в РФ), а также добыча и переработка газа (Оренбургская обл.). Добыча угля на Урале постоянно снижается и ныне составляет не менее 5% российской добычи.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Производство химической промышленности в регионе характеризуется 15 – 30% удельным весом в РФ по выпуску серной кислоты, кальцинированной соды, минеральных удобрений. Урал также крупный производитель продукции органического синтеза - наиболее известные центры: Уфа, Салават, Пермь. На базе углеводородного сырья здесь ежегодно производится до 15% полимерных материалов (синтетических смол и пластмасс) в России.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На предприятиях лесного комплекса заготавливается около 14 % деловой древесины, 17% - пиломатериалов, 16% - бумаги в России. Предприятия лесной промышленности выпускают продукцию в основном для внутреннего потребления и расположены в промышленных центрах, где есть свободный труд.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На Урале имеются значительные мощности по производству товаров народного потребления, позволяющие выпускать до 30% холодильников и стиральных машин, 70% мотоциклов в РФ. Выпуск товаров народного потребления (ТНП) может быть восстановлен до прежнего уровня и далее увеличен за счет конверсии оборонного комплекса.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Агропромышленный комплекс района работает в основном на обеспечение местного населения. В структуре посевных площадей РФ доля Урала составляет 16% в сборе зерновых, картофеля, производстве мяса - около 12%. Существует определенная специализация в производство и переработке сельскохозяйственного сырья на предприятиях пищевой промышленности. Так, Оренбургская и Курганская области, Башкортостан, занимают ведущее место в производстве зерновой, сыро-молочной продукции, мясных и колбасных изделий.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Транспортное значение Урала определяется его ролью связующего и распределительного узла между западной и восточной областями РФ. Грузонапряженность на отдельных железнодорожных и автомобильных магистралях района в 3 - 4 раза выше средней по РФ.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Эксплуатационная протяженность железных дорог более 4,7 тыс. км. (перевозят около 40% грузов), автомобильных дорог - около 93 тыс. км (54% от объема перевозок) и водных путей - 4,7 тыс. км (около 6% грузоперевозок).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Разветвленная сеть, нефтепроводов связывает Урал с Западной Сибирью, Средней Азией, Казахстаном и европейской частью России.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Важнейшая проблема Урала заключаются в получении инвестиций, необходимых для обновления основных фондов, В замене нуждаются 25% всех основных фондов. В доменном производстве устарело 93% фондов, а в прокатном - 83%. Инвестиции необходимы также под внедрение новых технология.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Приоритетная проблема - комплексное использование полезных ископаемых - Уральские руды по своему составу многокомпонентные: при извлечении железных руд в отвалы идут медь, сера, хром и другие компоненты. В то же время содержание цветных металлов в железных рудах близко к промышленным рудам. Также использование отходов добычи руды и металлургического производства - колоссальный резерв дополнительной добычи химической продукции и строительных материалов.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На очереди решение проблемы установления прямой железнодорожной связи Урала с Северным районом, что обеспечивает короткую связь района с Печорским угольным бассейном в   Республике    Коми, а   также морским  побережьем – г. Архангельск, а в перспективе и с г. Нарьян-Маром.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В районе интенсивно ведется создание совместных предприятий, акционерных обществ и экономических ассоциаций. Так, межрегиональная ассоциация "Большой Урал" - это региональный финансово- экономический союз территорий (субъектов федерации Урала), созданный с целью переориентации промышленного производства на удовлетворение социальных потребностей за счет конверсии и налаживания экспортных связей.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По состоянию на 1998 г. инвестиционный климат в Уральском экономическом районе наиболее высоко оценивался для Свердловской области – как имеющий высокий потенциал и умеренный риск.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  <w:r>
        <w:rPr>
          <w:rFonts w:ascii="Arial" w:hAnsi="Arial" w:cs="Arial"/>
          <w:snapToGrid w:val="0"/>
          <w:color w:val="000000"/>
          <w:sz w:val="28"/>
        </w:rPr>
        <w:t xml:space="preserve">     Риски инвестиций для Башкирии, Оренбургской, Пермской и Челябинской областей признаны умеренными, а потенциал инвестиций – средним. Пониженный и низкий инвестиционный потенциал и высокий риск инвестиций характерны для Удмуртской республики и Курганской области.</w:t>
      </w: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8"/>
        </w:rPr>
      </w:pP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32"/>
        </w:rPr>
      </w:pPr>
      <w:r>
        <w:rPr>
          <w:rFonts w:ascii="Arial" w:hAnsi="Arial" w:cs="Arial"/>
          <w:b/>
          <w:bCs/>
          <w:snapToGrid w:val="0"/>
          <w:color w:val="000000"/>
          <w:sz w:val="32"/>
        </w:rPr>
        <w:t>Статистическая информация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32"/>
        </w:rPr>
      </w:pPr>
      <w:r>
        <w:rPr>
          <w:rFonts w:ascii="Arial" w:hAnsi="Arial" w:cs="Arial"/>
          <w:b/>
          <w:bCs/>
          <w:snapToGrid w:val="0"/>
          <w:color w:val="000000"/>
          <w:sz w:val="32"/>
        </w:rPr>
        <w:t>по Уральскому экономическому региону</w:t>
      </w:r>
    </w:p>
    <w:p w:rsidR="00DA573E" w:rsidRDefault="00DA573E">
      <w:pPr>
        <w:widowControl w:val="0"/>
        <w:jc w:val="both"/>
        <w:rPr>
          <w:snapToGrid w:val="0"/>
          <w:color w:val="000000"/>
        </w:rPr>
      </w:pPr>
    </w:p>
    <w:p w:rsidR="00DA573E" w:rsidRDefault="00DA573E">
      <w:pPr>
        <w:widowControl w:val="0"/>
        <w:jc w:val="both"/>
        <w:rPr>
          <w:snapToGrid w:val="0"/>
          <w:color w:val="000000"/>
        </w:rPr>
      </w:pPr>
    </w:p>
    <w:p w:rsidR="00DA573E" w:rsidRDefault="00DA573E">
      <w:pPr>
        <w:widowControl w:val="0"/>
        <w:jc w:val="right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Таблица 3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Темпы прироста снижения (-) численности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населения (о среднем за год в %)</w:t>
      </w:r>
    </w:p>
    <w:p w:rsidR="00DA573E" w:rsidRDefault="00DA573E">
      <w:pPr>
        <w:widowControl w:val="0"/>
        <w:jc w:val="center"/>
        <w:rPr>
          <w:snapToGrid w:val="0"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992"/>
        <w:gridCol w:w="992"/>
        <w:gridCol w:w="709"/>
        <w:gridCol w:w="709"/>
      </w:tblGrid>
      <w:tr w:rsidR="00DA573E">
        <w:trPr>
          <w:trHeight w:val="4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Районы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1981-</w:t>
            </w:r>
          </w:p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1985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1986-</w:t>
            </w:r>
          </w:p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1990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1991-</w:t>
            </w:r>
          </w:p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1994 гг.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1997 г.</w:t>
            </w:r>
          </w:p>
        </w:tc>
      </w:tr>
      <w:tr w:rsidR="00DA573E">
        <w:trPr>
          <w:trHeight w:val="26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0.7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-0,04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-0,04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-0,03</w:t>
            </w:r>
          </w:p>
        </w:tc>
      </w:tr>
      <w:tr w:rsidR="00DA573E">
        <w:trPr>
          <w:trHeight w:val="15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Уральский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-0,03</w:t>
            </w:r>
          </w:p>
        </w:tc>
      </w:tr>
    </w:tbl>
    <w:p w:rsidR="00DA573E" w:rsidRDefault="00DA573E">
      <w:pPr>
        <w:widowControl w:val="0"/>
        <w:jc w:val="both"/>
        <w:rPr>
          <w:snapToGrid w:val="0"/>
          <w:color w:val="000000"/>
        </w:rPr>
      </w:pPr>
    </w:p>
    <w:p w:rsidR="00DA573E" w:rsidRDefault="00DA573E">
      <w:pPr>
        <w:widowControl w:val="0"/>
        <w:jc w:val="right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Таблица 4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Общие коэффициенты естественного прироста, убыли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(-) населения (на 1000 чел. населения)</w:t>
      </w:r>
    </w:p>
    <w:p w:rsidR="00DA573E" w:rsidRDefault="00DA573E">
      <w:pPr>
        <w:widowControl w:val="0"/>
        <w:jc w:val="center"/>
        <w:rPr>
          <w:snapToGrid w:val="0"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850"/>
        <w:gridCol w:w="1134"/>
        <w:gridCol w:w="851"/>
      </w:tblGrid>
      <w:tr w:rsidR="00DA573E">
        <w:trPr>
          <w:trHeight w:val="17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Районы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1985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1990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1994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1996 г.</w:t>
            </w:r>
          </w:p>
        </w:tc>
      </w:tr>
      <w:tr w:rsidR="00DA573E">
        <w:trPr>
          <w:trHeight w:val="21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-5,3</w:t>
            </w:r>
          </w:p>
        </w:tc>
      </w:tr>
      <w:tr w:rsidR="00DA573E">
        <w:trPr>
          <w:trHeight w:val="2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Уральский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-4,3</w:t>
            </w:r>
          </w:p>
        </w:tc>
      </w:tr>
    </w:tbl>
    <w:p w:rsidR="00DA573E" w:rsidRDefault="00DA573E">
      <w:pPr>
        <w:widowControl w:val="0"/>
        <w:jc w:val="both"/>
        <w:rPr>
          <w:snapToGrid w:val="0"/>
          <w:color w:val="000000"/>
        </w:rPr>
      </w:pPr>
    </w:p>
    <w:p w:rsidR="00DA573E" w:rsidRDefault="00DA573E">
      <w:pPr>
        <w:widowControl w:val="0"/>
        <w:jc w:val="right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Таблица 5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Интенсивность миграции населения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(в среднем за год: сальдо миграции на 1000 населения)</w:t>
      </w:r>
    </w:p>
    <w:p w:rsidR="00DA573E" w:rsidRDefault="00DA573E">
      <w:pPr>
        <w:widowControl w:val="0"/>
        <w:jc w:val="center"/>
        <w:rPr>
          <w:snapToGrid w:val="0"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993"/>
        <w:gridCol w:w="850"/>
        <w:gridCol w:w="1055"/>
      </w:tblGrid>
      <w:tr w:rsidR="00DA573E">
        <w:trPr>
          <w:trHeight w:val="4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Районы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1986-</w:t>
            </w:r>
          </w:p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1990 гг.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1991-</w:t>
            </w:r>
          </w:p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1994 гг.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1994 г.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1996 г.</w:t>
            </w:r>
          </w:p>
        </w:tc>
      </w:tr>
      <w:tr w:rsidR="00DA573E">
        <w:trPr>
          <w:trHeight w:val="1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2,3</w:t>
            </w:r>
          </w:p>
        </w:tc>
      </w:tr>
      <w:tr w:rsidR="00DA573E">
        <w:trPr>
          <w:trHeight w:val="2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Уральский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2,4</w:t>
            </w:r>
          </w:p>
        </w:tc>
      </w:tr>
    </w:tbl>
    <w:p w:rsidR="00DA573E" w:rsidRDefault="00DA573E">
      <w:pPr>
        <w:jc w:val="both"/>
        <w:rPr>
          <w:color w:val="000000"/>
        </w:rPr>
      </w:pPr>
    </w:p>
    <w:p w:rsidR="00DA573E" w:rsidRDefault="00DA573E">
      <w:pPr>
        <w:widowControl w:val="0"/>
        <w:jc w:val="right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Таблица 6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Трудовые ресурсы и уровень безработицы в РФ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на начало 1997 г. (тыс.чел.)</w:t>
      </w:r>
    </w:p>
    <w:p w:rsidR="00DA573E" w:rsidRDefault="00DA573E">
      <w:pPr>
        <w:widowControl w:val="0"/>
        <w:jc w:val="center"/>
        <w:rPr>
          <w:snapToGrid w:val="0"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2880"/>
        <w:gridCol w:w="1440"/>
      </w:tblGrid>
      <w:tr w:rsidR="00DA573E">
        <w:trPr>
          <w:trHeight w:val="6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Районы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Численность незанятых трудовой деятельностью граждан, ищущих работу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Численность безработных</w:t>
            </w:r>
          </w:p>
        </w:tc>
      </w:tr>
      <w:tr w:rsidR="00DA573E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РФ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2750,8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2506,0</w:t>
            </w:r>
          </w:p>
        </w:tc>
      </w:tr>
      <w:tr w:rsidR="00DA573E">
        <w:trPr>
          <w:trHeight w:val="30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Уральский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363,8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337,2</w:t>
            </w:r>
          </w:p>
        </w:tc>
      </w:tr>
    </w:tbl>
    <w:p w:rsidR="00DA573E" w:rsidRDefault="00DA573E">
      <w:pPr>
        <w:widowControl w:val="0"/>
        <w:jc w:val="both"/>
        <w:rPr>
          <w:snapToGrid w:val="0"/>
          <w:color w:val="000000"/>
        </w:rPr>
      </w:pPr>
    </w:p>
    <w:p w:rsidR="00DA573E" w:rsidRDefault="00DA573E">
      <w:pPr>
        <w:widowControl w:val="0"/>
        <w:jc w:val="right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Таблица 7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Производство овощей и бахчевых культур в расчете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на душу населения (кг в год)</w:t>
      </w:r>
    </w:p>
    <w:p w:rsidR="00DA573E" w:rsidRDefault="00DA573E">
      <w:pPr>
        <w:widowControl w:val="0"/>
        <w:jc w:val="center"/>
        <w:rPr>
          <w:snapToGrid w:val="0"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851"/>
        <w:gridCol w:w="992"/>
        <w:gridCol w:w="709"/>
      </w:tblGrid>
      <w:tr w:rsidR="00DA573E">
        <w:trPr>
          <w:trHeight w:val="19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Районы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1985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1990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1995 г.</w:t>
            </w:r>
          </w:p>
        </w:tc>
      </w:tr>
      <w:tr w:rsidR="00DA573E">
        <w:trPr>
          <w:trHeight w:val="2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76</w:t>
            </w:r>
          </w:p>
        </w:tc>
      </w:tr>
      <w:tr w:rsidR="00DA573E">
        <w:trPr>
          <w:trHeight w:val="15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Уральский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72</w:t>
            </w:r>
          </w:p>
        </w:tc>
      </w:tr>
    </w:tbl>
    <w:p w:rsidR="00DA573E" w:rsidRDefault="00DA573E">
      <w:pPr>
        <w:widowControl w:val="0"/>
        <w:jc w:val="both"/>
        <w:rPr>
          <w:snapToGrid w:val="0"/>
          <w:color w:val="000000"/>
        </w:rPr>
      </w:pPr>
    </w:p>
    <w:p w:rsidR="00DA573E" w:rsidRDefault="00DA573E">
      <w:pPr>
        <w:widowControl w:val="0"/>
        <w:jc w:val="both"/>
        <w:rPr>
          <w:snapToGrid w:val="0"/>
          <w:color w:val="000000"/>
        </w:rPr>
      </w:pPr>
    </w:p>
    <w:p w:rsidR="00DA573E" w:rsidRDefault="00DA573E">
      <w:pPr>
        <w:widowControl w:val="0"/>
        <w:jc w:val="right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Таблица 8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Производство зерновых культур в расчете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на душу населения (кг в год)</w:t>
      </w:r>
    </w:p>
    <w:p w:rsidR="00DA573E" w:rsidRDefault="00DA573E">
      <w:pPr>
        <w:widowControl w:val="0"/>
        <w:jc w:val="center"/>
        <w:rPr>
          <w:snapToGrid w:val="0"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992"/>
        <w:gridCol w:w="992"/>
        <w:gridCol w:w="709"/>
      </w:tblGrid>
      <w:tr w:rsidR="00DA573E">
        <w:trPr>
          <w:trHeight w:val="20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Районы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1990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1995 г.</w:t>
            </w:r>
          </w:p>
        </w:tc>
      </w:tr>
      <w:tr w:rsidR="00DA573E">
        <w:trPr>
          <w:trHeight w:val="25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427</w:t>
            </w:r>
          </w:p>
        </w:tc>
      </w:tr>
      <w:tr w:rsidR="00DA573E">
        <w:trPr>
          <w:trHeight w:val="1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Уральский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435</w:t>
            </w:r>
          </w:p>
        </w:tc>
      </w:tr>
    </w:tbl>
    <w:p w:rsidR="00DA573E" w:rsidRDefault="00DA573E">
      <w:pPr>
        <w:jc w:val="both"/>
        <w:rPr>
          <w:color w:val="000000"/>
        </w:rPr>
      </w:pPr>
    </w:p>
    <w:p w:rsidR="00DA573E" w:rsidRDefault="00DA573E">
      <w:pPr>
        <w:widowControl w:val="0"/>
        <w:jc w:val="both"/>
        <w:rPr>
          <w:snapToGrid w:val="0"/>
          <w:color w:val="000000"/>
        </w:rPr>
      </w:pPr>
    </w:p>
    <w:p w:rsidR="00DA573E" w:rsidRDefault="00DA573E">
      <w:pPr>
        <w:widowControl w:val="0"/>
        <w:jc w:val="right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Таблица 9</w:t>
      </w:r>
    </w:p>
    <w:p w:rsidR="00DA573E" w:rsidRDefault="00DA573E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</w:rPr>
        <w:t>Средняя обеспеченность жильем, м</w:t>
      </w:r>
      <w:r>
        <w:rPr>
          <w:rFonts w:ascii="Arial" w:hAnsi="Arial" w:cs="Arial"/>
          <w:b/>
          <w:bCs/>
          <w:snapToGrid w:val="0"/>
          <w:color w:val="000000"/>
          <w:sz w:val="28"/>
          <w:vertAlign w:val="superscript"/>
        </w:rPr>
        <w:t>2</w:t>
      </w:r>
      <w:r>
        <w:rPr>
          <w:rFonts w:ascii="Arial" w:hAnsi="Arial" w:cs="Arial"/>
          <w:b/>
          <w:bCs/>
          <w:snapToGrid w:val="0"/>
          <w:color w:val="000000"/>
          <w:sz w:val="28"/>
        </w:rPr>
        <w:t xml:space="preserve"> общей площади на 1 чел.</w:t>
      </w:r>
    </w:p>
    <w:p w:rsidR="00DA573E" w:rsidRDefault="00DA573E">
      <w:pPr>
        <w:widowControl w:val="0"/>
        <w:jc w:val="center"/>
        <w:rPr>
          <w:snapToGrid w:val="0"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993"/>
        <w:gridCol w:w="992"/>
      </w:tblGrid>
      <w:tr w:rsidR="00DA573E">
        <w:trPr>
          <w:trHeight w:val="3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Районы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1985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1990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1994 г.</w:t>
            </w:r>
          </w:p>
        </w:tc>
      </w:tr>
      <w:tr w:rsidR="00DA573E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17,7</w:t>
            </w:r>
          </w:p>
        </w:tc>
      </w:tr>
      <w:tr w:rsidR="00DA573E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Уральский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3E" w:rsidRDefault="00DA573E">
            <w:pPr>
              <w:widowControl w:val="0"/>
              <w:spacing w:before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17,1</w:t>
            </w:r>
          </w:p>
        </w:tc>
      </w:tr>
    </w:tbl>
    <w:p w:rsidR="00DA573E" w:rsidRDefault="00DA573E">
      <w:pPr>
        <w:widowControl w:val="0"/>
        <w:jc w:val="both"/>
        <w:rPr>
          <w:snapToGrid w:val="0"/>
          <w:color w:val="000000"/>
        </w:rPr>
      </w:pPr>
      <w:bookmarkStart w:id="0" w:name="_GoBack"/>
      <w:bookmarkEnd w:id="0"/>
    </w:p>
    <w:sectPr w:rsidR="00DA573E">
      <w:headerReference w:type="even" r:id="rId7"/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3E" w:rsidRDefault="00DA573E">
      <w:r>
        <w:separator/>
      </w:r>
    </w:p>
  </w:endnote>
  <w:endnote w:type="continuationSeparator" w:id="0">
    <w:p w:rsidR="00DA573E" w:rsidRDefault="00DA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3E" w:rsidRDefault="00DA573E">
      <w:r>
        <w:separator/>
      </w:r>
    </w:p>
  </w:footnote>
  <w:footnote w:type="continuationSeparator" w:id="0">
    <w:p w:rsidR="00DA573E" w:rsidRDefault="00DA5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3E" w:rsidRDefault="00DA573E">
    <w:pPr>
      <w:pStyle w:val="a3"/>
      <w:framePr w:wrap="around" w:vAnchor="text" w:hAnchor="margin" w:xAlign="right" w:y="1"/>
      <w:rPr>
        <w:rStyle w:val="a4"/>
      </w:rPr>
    </w:pPr>
  </w:p>
  <w:p w:rsidR="00DA573E" w:rsidRDefault="00DA57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73E" w:rsidRDefault="00887902">
    <w:pPr>
      <w:pStyle w:val="a3"/>
      <w:framePr w:wrap="around" w:vAnchor="text" w:hAnchor="margin" w:xAlign="right" w:y="1"/>
      <w:rPr>
        <w:rStyle w:val="a4"/>
        <w:rFonts w:ascii="Arial" w:hAnsi="Arial" w:cs="Arial"/>
      </w:rPr>
    </w:pPr>
    <w:r>
      <w:rPr>
        <w:rStyle w:val="a4"/>
        <w:rFonts w:ascii="Arial" w:hAnsi="Arial" w:cs="Arial"/>
        <w:noProof/>
      </w:rPr>
      <w:t>1</w:t>
    </w:r>
  </w:p>
  <w:p w:rsidR="00DA573E" w:rsidRDefault="00DA573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6B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7A17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0B2BC3"/>
    <w:multiLevelType w:val="singleLevel"/>
    <w:tmpl w:val="2FCE38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FE663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F8929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B13A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6B72851"/>
    <w:multiLevelType w:val="singleLevel"/>
    <w:tmpl w:val="D8886F24"/>
    <w:lvl w:ilvl="0">
      <w:numFmt w:val="bullet"/>
      <w:lvlText w:val="-"/>
      <w:lvlJc w:val="left"/>
      <w:pPr>
        <w:tabs>
          <w:tab w:val="num" w:pos="705"/>
        </w:tabs>
        <w:ind w:left="705" w:hanging="405"/>
      </w:pPr>
      <w:rPr>
        <w:rFonts w:hint="default"/>
      </w:rPr>
    </w:lvl>
  </w:abstractNum>
  <w:abstractNum w:abstractNumId="7">
    <w:nsid w:val="19D0711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D0E4923"/>
    <w:multiLevelType w:val="singleLevel"/>
    <w:tmpl w:val="D8886F24"/>
    <w:lvl w:ilvl="0">
      <w:numFmt w:val="bullet"/>
      <w:lvlText w:val="-"/>
      <w:lvlJc w:val="left"/>
      <w:pPr>
        <w:tabs>
          <w:tab w:val="num" w:pos="705"/>
        </w:tabs>
        <w:ind w:left="705" w:hanging="405"/>
      </w:pPr>
      <w:rPr>
        <w:rFonts w:hint="default"/>
      </w:rPr>
    </w:lvl>
  </w:abstractNum>
  <w:abstractNum w:abstractNumId="9">
    <w:nsid w:val="1EBF2C12"/>
    <w:multiLevelType w:val="singleLevel"/>
    <w:tmpl w:val="53B80A6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26B63FAE"/>
    <w:multiLevelType w:val="singleLevel"/>
    <w:tmpl w:val="D8886F24"/>
    <w:lvl w:ilvl="0">
      <w:numFmt w:val="bullet"/>
      <w:lvlText w:val="-"/>
      <w:lvlJc w:val="left"/>
      <w:pPr>
        <w:tabs>
          <w:tab w:val="num" w:pos="705"/>
        </w:tabs>
        <w:ind w:left="705" w:hanging="405"/>
      </w:pPr>
      <w:rPr>
        <w:rFonts w:hint="default"/>
      </w:rPr>
    </w:lvl>
  </w:abstractNum>
  <w:abstractNum w:abstractNumId="11">
    <w:nsid w:val="2AFA73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F26840"/>
    <w:multiLevelType w:val="singleLevel"/>
    <w:tmpl w:val="D8886F24"/>
    <w:lvl w:ilvl="0">
      <w:numFmt w:val="bullet"/>
      <w:lvlText w:val="-"/>
      <w:lvlJc w:val="left"/>
      <w:pPr>
        <w:tabs>
          <w:tab w:val="num" w:pos="705"/>
        </w:tabs>
        <w:ind w:left="705" w:hanging="405"/>
      </w:pPr>
      <w:rPr>
        <w:rFonts w:hint="default"/>
      </w:rPr>
    </w:lvl>
  </w:abstractNum>
  <w:abstractNum w:abstractNumId="13">
    <w:nsid w:val="32343E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FD50117"/>
    <w:multiLevelType w:val="singleLevel"/>
    <w:tmpl w:val="D8886F24"/>
    <w:lvl w:ilvl="0">
      <w:numFmt w:val="bullet"/>
      <w:lvlText w:val="-"/>
      <w:lvlJc w:val="left"/>
      <w:pPr>
        <w:tabs>
          <w:tab w:val="num" w:pos="705"/>
        </w:tabs>
        <w:ind w:left="705" w:hanging="405"/>
      </w:pPr>
      <w:rPr>
        <w:rFonts w:hint="default"/>
      </w:rPr>
    </w:lvl>
  </w:abstractNum>
  <w:abstractNum w:abstractNumId="15">
    <w:nsid w:val="44E663A8"/>
    <w:multiLevelType w:val="singleLevel"/>
    <w:tmpl w:val="DDF46E2A"/>
    <w:lvl w:ilvl="0">
      <w:start w:val="5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6">
    <w:nsid w:val="47FF54F1"/>
    <w:multiLevelType w:val="singleLevel"/>
    <w:tmpl w:val="D8886F24"/>
    <w:lvl w:ilvl="0">
      <w:numFmt w:val="bullet"/>
      <w:lvlText w:val="-"/>
      <w:lvlJc w:val="left"/>
      <w:pPr>
        <w:tabs>
          <w:tab w:val="num" w:pos="705"/>
        </w:tabs>
        <w:ind w:left="705" w:hanging="405"/>
      </w:pPr>
      <w:rPr>
        <w:rFonts w:hint="default"/>
      </w:rPr>
    </w:lvl>
  </w:abstractNum>
  <w:abstractNum w:abstractNumId="17">
    <w:nsid w:val="48AC40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A6A78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AD75D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4C505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10A2E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7634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2B525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5F67827"/>
    <w:multiLevelType w:val="singleLevel"/>
    <w:tmpl w:val="D8886F24"/>
    <w:lvl w:ilvl="0">
      <w:numFmt w:val="bullet"/>
      <w:lvlText w:val="-"/>
      <w:lvlJc w:val="left"/>
      <w:pPr>
        <w:tabs>
          <w:tab w:val="num" w:pos="705"/>
        </w:tabs>
        <w:ind w:left="705" w:hanging="405"/>
      </w:pPr>
      <w:rPr>
        <w:rFonts w:hint="default"/>
      </w:rPr>
    </w:lvl>
  </w:abstractNum>
  <w:abstractNum w:abstractNumId="25">
    <w:nsid w:val="56D74DE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9C52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C5C71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DD860AA"/>
    <w:multiLevelType w:val="singleLevel"/>
    <w:tmpl w:val="53B80A6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9">
    <w:nsid w:val="66A342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689A2592"/>
    <w:multiLevelType w:val="singleLevel"/>
    <w:tmpl w:val="D8886F24"/>
    <w:lvl w:ilvl="0">
      <w:numFmt w:val="bullet"/>
      <w:lvlText w:val="-"/>
      <w:lvlJc w:val="left"/>
      <w:pPr>
        <w:tabs>
          <w:tab w:val="num" w:pos="705"/>
        </w:tabs>
        <w:ind w:left="705" w:hanging="405"/>
      </w:pPr>
      <w:rPr>
        <w:rFonts w:hint="default"/>
      </w:rPr>
    </w:lvl>
  </w:abstractNum>
  <w:abstractNum w:abstractNumId="31">
    <w:nsid w:val="6D0F31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FF007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14A7E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48154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787DF9"/>
    <w:multiLevelType w:val="singleLevel"/>
    <w:tmpl w:val="D8886F24"/>
    <w:lvl w:ilvl="0">
      <w:numFmt w:val="bullet"/>
      <w:lvlText w:val="-"/>
      <w:lvlJc w:val="left"/>
      <w:pPr>
        <w:tabs>
          <w:tab w:val="num" w:pos="705"/>
        </w:tabs>
        <w:ind w:left="705" w:hanging="405"/>
      </w:pPr>
      <w:rPr>
        <w:rFonts w:hint="default"/>
      </w:rPr>
    </w:lvl>
  </w:abstractNum>
  <w:abstractNum w:abstractNumId="36">
    <w:nsid w:val="784E1338"/>
    <w:multiLevelType w:val="singleLevel"/>
    <w:tmpl w:val="53B80A6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7">
    <w:nsid w:val="78D3170B"/>
    <w:multiLevelType w:val="singleLevel"/>
    <w:tmpl w:val="D8886F24"/>
    <w:lvl w:ilvl="0">
      <w:numFmt w:val="bullet"/>
      <w:lvlText w:val="-"/>
      <w:lvlJc w:val="left"/>
      <w:pPr>
        <w:tabs>
          <w:tab w:val="num" w:pos="705"/>
        </w:tabs>
        <w:ind w:left="705" w:hanging="405"/>
      </w:pPr>
      <w:rPr>
        <w:rFonts w:hint="default"/>
      </w:rPr>
    </w:lvl>
  </w:abstractNum>
  <w:abstractNum w:abstractNumId="38">
    <w:nsid w:val="78E407C9"/>
    <w:multiLevelType w:val="singleLevel"/>
    <w:tmpl w:val="D8886F24"/>
    <w:lvl w:ilvl="0">
      <w:numFmt w:val="bullet"/>
      <w:lvlText w:val="-"/>
      <w:lvlJc w:val="left"/>
      <w:pPr>
        <w:tabs>
          <w:tab w:val="num" w:pos="705"/>
        </w:tabs>
        <w:ind w:left="705" w:hanging="405"/>
      </w:pPr>
      <w:rPr>
        <w:rFonts w:hint="default"/>
      </w:rPr>
    </w:lvl>
  </w:abstractNum>
  <w:abstractNum w:abstractNumId="39">
    <w:nsid w:val="7EA842E1"/>
    <w:multiLevelType w:val="singleLevel"/>
    <w:tmpl w:val="2FCE38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FA064D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2"/>
  </w:num>
  <w:num w:numId="2">
    <w:abstractNumId w:val="28"/>
  </w:num>
  <w:num w:numId="3">
    <w:abstractNumId w:val="11"/>
  </w:num>
  <w:num w:numId="4">
    <w:abstractNumId w:val="9"/>
  </w:num>
  <w:num w:numId="5">
    <w:abstractNumId w:val="36"/>
  </w:num>
  <w:num w:numId="6">
    <w:abstractNumId w:val="40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25"/>
  </w:num>
  <w:num w:numId="12">
    <w:abstractNumId w:val="2"/>
  </w:num>
  <w:num w:numId="13">
    <w:abstractNumId w:val="39"/>
  </w:num>
  <w:num w:numId="14">
    <w:abstractNumId w:val="29"/>
  </w:num>
  <w:num w:numId="15">
    <w:abstractNumId w:val="33"/>
  </w:num>
  <w:num w:numId="16">
    <w:abstractNumId w:val="26"/>
  </w:num>
  <w:num w:numId="17">
    <w:abstractNumId w:val="19"/>
  </w:num>
  <w:num w:numId="18">
    <w:abstractNumId w:val="20"/>
  </w:num>
  <w:num w:numId="19">
    <w:abstractNumId w:val="18"/>
  </w:num>
  <w:num w:numId="20">
    <w:abstractNumId w:val="34"/>
  </w:num>
  <w:num w:numId="21">
    <w:abstractNumId w:val="21"/>
  </w:num>
  <w:num w:numId="22">
    <w:abstractNumId w:val="38"/>
  </w:num>
  <w:num w:numId="23">
    <w:abstractNumId w:val="6"/>
  </w:num>
  <w:num w:numId="24">
    <w:abstractNumId w:val="30"/>
  </w:num>
  <w:num w:numId="25">
    <w:abstractNumId w:val="31"/>
  </w:num>
  <w:num w:numId="26">
    <w:abstractNumId w:val="8"/>
  </w:num>
  <w:num w:numId="27">
    <w:abstractNumId w:val="37"/>
  </w:num>
  <w:num w:numId="28">
    <w:abstractNumId w:val="17"/>
  </w:num>
  <w:num w:numId="29">
    <w:abstractNumId w:val="27"/>
  </w:num>
  <w:num w:numId="30">
    <w:abstractNumId w:val="23"/>
  </w:num>
  <w:num w:numId="31">
    <w:abstractNumId w:val="10"/>
  </w:num>
  <w:num w:numId="32">
    <w:abstractNumId w:val="15"/>
  </w:num>
  <w:num w:numId="33">
    <w:abstractNumId w:val="24"/>
  </w:num>
  <w:num w:numId="34">
    <w:abstractNumId w:val="12"/>
  </w:num>
  <w:num w:numId="35">
    <w:abstractNumId w:val="14"/>
  </w:num>
  <w:num w:numId="36">
    <w:abstractNumId w:val="0"/>
  </w:num>
  <w:num w:numId="37">
    <w:abstractNumId w:val="22"/>
  </w:num>
  <w:num w:numId="38">
    <w:abstractNumId w:val="16"/>
  </w:num>
  <w:num w:numId="39">
    <w:abstractNumId w:val="35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02"/>
    <w:rsid w:val="0029474B"/>
    <w:rsid w:val="007414DC"/>
    <w:rsid w:val="00887902"/>
    <w:rsid w:val="00D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5FE18-D577-4B00-9246-9466520E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jc w:val="center"/>
      <w:outlineLvl w:val="0"/>
    </w:pPr>
    <w:rPr>
      <w:rFonts w:ascii="Arial" w:hAnsi="Arial" w:cs="Arial"/>
      <w:b/>
      <w:snapToGrid w:val="0"/>
      <w:color w:val="000000"/>
      <w:sz w:val="36"/>
    </w:rPr>
  </w:style>
  <w:style w:type="paragraph" w:styleId="2">
    <w:name w:val="heading 2"/>
    <w:basedOn w:val="a"/>
    <w:next w:val="a"/>
    <w:qFormat/>
    <w:pPr>
      <w:keepNext/>
      <w:widowControl w:val="0"/>
      <w:spacing w:line="360" w:lineRule="auto"/>
      <w:jc w:val="right"/>
      <w:outlineLvl w:val="1"/>
    </w:pPr>
    <w:rPr>
      <w:rFonts w:ascii="Arial" w:hAnsi="Arial" w:cs="Arial"/>
      <w:b/>
      <w:bCs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pPr>
      <w:widowControl w:val="0"/>
      <w:spacing w:line="360" w:lineRule="auto"/>
      <w:jc w:val="both"/>
    </w:pPr>
    <w:rPr>
      <w:rFonts w:ascii="Arial" w:hAnsi="Arial" w:cs="Arial"/>
      <w:snapToGrid w:val="0"/>
      <w:color w:val="000000"/>
      <w:sz w:val="28"/>
    </w:rPr>
  </w:style>
  <w:style w:type="paragraph" w:styleId="20">
    <w:name w:val="Body Text 2"/>
    <w:basedOn w:val="a"/>
    <w:semiHidden/>
    <w:pPr>
      <w:widowControl w:val="0"/>
      <w:spacing w:line="360" w:lineRule="auto"/>
      <w:jc w:val="center"/>
    </w:pPr>
    <w:rPr>
      <w:rFonts w:ascii="Arial" w:hAnsi="Arial" w:cs="Arial"/>
      <w:b/>
      <w:bCs/>
      <w:snapToGrid w:val="0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k407_9</dc:creator>
  <cp:keywords/>
  <dc:description/>
  <cp:lastModifiedBy>Irina</cp:lastModifiedBy>
  <cp:revision>2</cp:revision>
  <dcterms:created xsi:type="dcterms:W3CDTF">2014-08-06T18:59:00Z</dcterms:created>
  <dcterms:modified xsi:type="dcterms:W3CDTF">2014-08-06T18:59:00Z</dcterms:modified>
</cp:coreProperties>
</file>