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B2" w:rsidRPr="00A9211F" w:rsidRDefault="00A045B2" w:rsidP="00F506F7">
      <w:pPr>
        <w:keepNext/>
        <w:keepLines/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r w:rsidRPr="00A9211F">
        <w:rPr>
          <w:b/>
          <w:bCs/>
          <w:sz w:val="28"/>
          <w:szCs w:val="28"/>
        </w:rPr>
        <w:t>УСЛОВИЯ ПАТЕНТОСПОСОБНОСТИ ИЗОБРЕТЕНИЙ</w:t>
      </w:r>
    </w:p>
    <w:p w:rsidR="00F506F7" w:rsidRPr="00F506F7" w:rsidRDefault="00F506F7" w:rsidP="00F506F7">
      <w:pPr>
        <w:spacing w:line="360" w:lineRule="auto"/>
        <w:ind w:firstLine="709"/>
        <w:jc w:val="both"/>
        <w:rPr>
          <w:sz w:val="28"/>
          <w:szCs w:val="28"/>
        </w:rPr>
      </w:pPr>
    </w:p>
    <w:p w:rsidR="00A045B2" w:rsidRPr="00F506F7" w:rsidRDefault="00A045B2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Под патентоспособностью понимают свойство решения, благодаря которому оно может быть признано изобретением в соответствии с патентным законодательством определенной страны.</w:t>
      </w:r>
    </w:p>
    <w:p w:rsidR="00A045B2" w:rsidRPr="004A5DEB" w:rsidRDefault="00A045B2" w:rsidP="00F506F7">
      <w:pPr>
        <w:spacing w:line="360" w:lineRule="auto"/>
        <w:ind w:firstLine="709"/>
        <w:jc w:val="both"/>
        <w:rPr>
          <w:bCs/>
          <w:i/>
          <w:sz w:val="28"/>
          <w:szCs w:val="28"/>
          <w:u w:val="single"/>
        </w:rPr>
      </w:pPr>
      <w:r w:rsidRPr="00F506F7">
        <w:rPr>
          <w:bCs/>
          <w:i/>
          <w:sz w:val="28"/>
          <w:szCs w:val="28"/>
          <w:u w:val="single"/>
        </w:rPr>
        <w:t>Промышленная применимость</w:t>
      </w:r>
    </w:p>
    <w:p w:rsidR="00A045B2" w:rsidRPr="004A5DEB" w:rsidRDefault="00A045B2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 xml:space="preserve">Изобретение является промышленно применимым, если оно может быть использовано в промышленности, сельском хозяйстве, здравоохранении и других отраслях деятельности. </w:t>
      </w:r>
    </w:p>
    <w:p w:rsidR="00A045B2" w:rsidRPr="004A5DEB" w:rsidRDefault="00A045B2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 xml:space="preserve">При оценке промышленной применимости в первую очередь следует установить сферу применения средства, в основу которого будет положено изобретение при его использовании. </w:t>
      </w:r>
    </w:p>
    <w:p w:rsidR="008E2DDC" w:rsidRPr="00F506F7" w:rsidRDefault="00A045B2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 xml:space="preserve">Во-вторых, для доказательства промышленной применимости в описании изобретения придется приводить примеры, подтверждающие возможность осуществления изобретения с помощью средств и методов, предложенных </w:t>
      </w:r>
      <w:r w:rsidR="008E2DDC" w:rsidRPr="00F506F7">
        <w:rPr>
          <w:sz w:val="28"/>
          <w:szCs w:val="28"/>
        </w:rPr>
        <w:t xml:space="preserve">автором. </w:t>
      </w:r>
    </w:p>
    <w:p w:rsidR="008E2DDC" w:rsidRPr="00F506F7" w:rsidRDefault="008E2DDC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В-третьих, подобные примеры должны подтверждать возможность реализации изобретением функции в соответствии с его назначением, т. е. изобретение должно быть работоспособным.</w:t>
      </w:r>
    </w:p>
    <w:p w:rsidR="00A045B2" w:rsidRPr="00F506F7" w:rsidRDefault="008E2DDC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 xml:space="preserve"> Требование промышленной применимости обязательно должно быть выполнено в отношении общих форм реализации изобретения. Критерий промышленной применимости является критерием абсолютным, проверка соблюдения которого не связана с исследованием предшествующего уровня техники, а касается лишь самого изобретения.</w:t>
      </w:r>
    </w:p>
    <w:p w:rsidR="008E2DDC" w:rsidRPr="00F506F7" w:rsidRDefault="008E2DDC" w:rsidP="00F506F7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F506F7">
        <w:rPr>
          <w:i/>
          <w:sz w:val="28"/>
          <w:szCs w:val="28"/>
          <w:u w:val="single"/>
        </w:rPr>
        <w:t>Понятие</w:t>
      </w:r>
      <w:r w:rsidRPr="00F506F7">
        <w:rPr>
          <w:b/>
          <w:bCs/>
          <w:i/>
          <w:sz w:val="28"/>
          <w:szCs w:val="28"/>
          <w:u w:val="single"/>
        </w:rPr>
        <w:t xml:space="preserve"> «</w:t>
      </w:r>
      <w:r w:rsidRPr="00F506F7">
        <w:rPr>
          <w:bCs/>
          <w:i/>
          <w:sz w:val="28"/>
          <w:szCs w:val="28"/>
          <w:u w:val="single"/>
        </w:rPr>
        <w:t>уровень техники»</w:t>
      </w:r>
    </w:p>
    <w:p w:rsidR="008E2DDC" w:rsidRPr="00F506F7" w:rsidRDefault="008E2DDC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Патентоспособность изобретения и полезной модели определяется по отношению к уровню техники.</w:t>
      </w:r>
      <w:r w:rsidR="00F506F7" w:rsidRPr="00F506F7">
        <w:rPr>
          <w:sz w:val="28"/>
          <w:szCs w:val="28"/>
        </w:rPr>
        <w:t xml:space="preserve"> </w:t>
      </w:r>
      <w:r w:rsidRPr="00F506F7">
        <w:rPr>
          <w:sz w:val="28"/>
          <w:szCs w:val="28"/>
        </w:rPr>
        <w:t>Уровень техники — это совокупность определенных сведений, имеющих отношение к изобретению. В уровень техники включаются лишь общедоступные сведения.</w:t>
      </w:r>
      <w:r w:rsidR="00AD4890" w:rsidRPr="00F506F7">
        <w:rPr>
          <w:sz w:val="28"/>
          <w:szCs w:val="28"/>
        </w:rPr>
        <w:t xml:space="preserve"> В уровень техники входят, в частности: </w:t>
      </w:r>
    </w:p>
    <w:p w:rsidR="00AD4890" w:rsidRPr="00F506F7" w:rsidRDefault="00AD4890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- опубликованные заявки на изобретения;</w:t>
      </w:r>
    </w:p>
    <w:p w:rsidR="00E06430" w:rsidRPr="00F506F7" w:rsidRDefault="00AD4890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- советские издания;</w:t>
      </w:r>
    </w:p>
    <w:p w:rsidR="00E06430" w:rsidRPr="00F506F7" w:rsidRDefault="00AD4890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- депонированные рукописи статей, обзоров, монографий;</w:t>
      </w:r>
      <w:r w:rsidR="00E06430" w:rsidRPr="00F506F7">
        <w:rPr>
          <w:sz w:val="28"/>
          <w:szCs w:val="28"/>
        </w:rPr>
        <w:t xml:space="preserve"> </w:t>
      </w:r>
    </w:p>
    <w:p w:rsidR="00E06430" w:rsidRPr="00F506F7" w:rsidRDefault="00E06430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- отчеты и научно-исследовательские работы, поясни</w:t>
      </w:r>
      <w:r w:rsidR="00F506F7" w:rsidRPr="00F506F7">
        <w:rPr>
          <w:sz w:val="28"/>
          <w:szCs w:val="28"/>
        </w:rPr>
        <w:t xml:space="preserve">тельные записки к </w:t>
      </w:r>
      <w:r w:rsidRPr="00F506F7">
        <w:rPr>
          <w:sz w:val="28"/>
          <w:szCs w:val="28"/>
        </w:rPr>
        <w:t>опытно-конструкторским работам;</w:t>
      </w:r>
    </w:p>
    <w:p w:rsidR="00E06430" w:rsidRPr="00F506F7" w:rsidRDefault="00E06430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- нормативно-техническая документация;</w:t>
      </w:r>
    </w:p>
    <w:p w:rsidR="00E06430" w:rsidRPr="00F506F7" w:rsidRDefault="00E06430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- материалы диссертаций и авторефераты диссертаций, изданные на правах рукописи;</w:t>
      </w:r>
    </w:p>
    <w:p w:rsidR="00E06430" w:rsidRPr="00F506F7" w:rsidRDefault="00E06430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- принятые на конкурс работы;</w:t>
      </w:r>
    </w:p>
    <w:p w:rsidR="00E06430" w:rsidRPr="00F506F7" w:rsidRDefault="00E06430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- экспонаты, помещенные на выставке;</w:t>
      </w:r>
    </w:p>
    <w:p w:rsidR="00E06430" w:rsidRPr="00F506F7" w:rsidRDefault="00E06430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- устные доклады, лекции, выступления;</w:t>
      </w:r>
    </w:p>
    <w:p w:rsidR="00E06430" w:rsidRPr="00F506F7" w:rsidRDefault="00E06430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- сообщение посредством радио, телевидения, кино.</w:t>
      </w:r>
    </w:p>
    <w:p w:rsidR="00FE76CE" w:rsidRPr="00F506F7" w:rsidRDefault="00FE76CE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Патентным законом предусмотрен льготный период для раскрытия информации. Льготный период — это специфическая льгота, предоставляемая автору, согласно которой при проверке соблюдения условии патентоспособности изобретения некоторые сведения, «идущие» от самого автора, не включаются в уровень техники.</w:t>
      </w:r>
    </w:p>
    <w:p w:rsidR="00FE76CE" w:rsidRPr="00F506F7" w:rsidRDefault="00FE76CE" w:rsidP="00F506F7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F506F7">
        <w:rPr>
          <w:bCs/>
          <w:i/>
          <w:sz w:val="28"/>
          <w:szCs w:val="28"/>
          <w:u w:val="single"/>
        </w:rPr>
        <w:t>Новизна</w:t>
      </w:r>
    </w:p>
    <w:p w:rsidR="00FE76CE" w:rsidRPr="00F506F7" w:rsidRDefault="00FE76CE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К изобретению предъявляются требования абсолютной мировой новизны.</w:t>
      </w:r>
    </w:p>
    <w:p w:rsidR="00FE76CE" w:rsidRPr="00F506F7" w:rsidRDefault="00FE76CE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Изобретение является новым, если оно не известно из уровня техники.</w:t>
      </w:r>
    </w:p>
    <w:p w:rsidR="00FE76CE" w:rsidRPr="00F506F7" w:rsidRDefault="00FE76CE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Для оценки новизны изобретения в первую очередь исследуют уровень техники, при этом выявляют аналоги изобретения. Под аналогом понимают средство того же назначения, известное из сведений, ставших общедоступными до даты приоритета, совокупность признаков которого сходна с совокупностью существенных признаков изобретения.</w:t>
      </w:r>
    </w:p>
    <w:p w:rsidR="00B47E12" w:rsidRPr="00F506F7" w:rsidRDefault="00B47E12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После установления новизны из аналогов выбирают его прототип. Прототип — это аналог изобретения, наиболее близкий к нему по совокупности признаков. Для одного изобретения должен быть выбран только один прототип. Прототип необходим для составления формулы изобретения.</w:t>
      </w:r>
    </w:p>
    <w:p w:rsidR="00142E5B" w:rsidRPr="00F506F7" w:rsidRDefault="00142E5B" w:rsidP="00F506F7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F506F7">
        <w:rPr>
          <w:bCs/>
          <w:i/>
          <w:sz w:val="28"/>
          <w:szCs w:val="28"/>
          <w:u w:val="single"/>
        </w:rPr>
        <w:t>Изобретательский уровень</w:t>
      </w:r>
    </w:p>
    <w:p w:rsidR="00142E5B" w:rsidRPr="00F506F7" w:rsidRDefault="00142E5B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Этот критерий призван оценить творческий характер изобретений, которым предоставляется правовая охрана. Изобретение имеет изобретательский уровень, если оно для специалиста явным образом не следует из уровня техники.</w:t>
      </w:r>
      <w:r w:rsidR="00F506F7" w:rsidRPr="00F506F7">
        <w:rPr>
          <w:sz w:val="28"/>
          <w:szCs w:val="28"/>
        </w:rPr>
        <w:t xml:space="preserve"> </w:t>
      </w:r>
      <w:r w:rsidRPr="00F506F7">
        <w:rPr>
          <w:sz w:val="28"/>
          <w:szCs w:val="28"/>
        </w:rPr>
        <w:t>Специалист — это лицо, сведущее в конкретной области знаний и практической деятельности.</w:t>
      </w:r>
      <w:r w:rsidR="00F506F7" w:rsidRPr="00F506F7">
        <w:rPr>
          <w:sz w:val="28"/>
          <w:szCs w:val="28"/>
        </w:rPr>
        <w:t xml:space="preserve"> </w:t>
      </w:r>
      <w:r w:rsidRPr="00F506F7">
        <w:rPr>
          <w:sz w:val="28"/>
          <w:szCs w:val="28"/>
        </w:rPr>
        <w:t>Решение не будет обладать изобретательским уровнем, если специалист обнаружит прямое указание на взаимосвязь между использованными в изобретении средствами и искомым результатом. Изобретение будет обладать изобретательским уровнем, если из предшествующего уровня техники нельзя выявить влияние отличительных от прототипа признаков на достижение того технического результата, который обеспечивает изобретение.</w:t>
      </w:r>
      <w:r w:rsidR="00F506F7" w:rsidRPr="00F506F7">
        <w:rPr>
          <w:sz w:val="28"/>
          <w:szCs w:val="28"/>
        </w:rPr>
        <w:t xml:space="preserve"> </w:t>
      </w:r>
      <w:r w:rsidRPr="00F506F7">
        <w:rPr>
          <w:sz w:val="28"/>
          <w:szCs w:val="28"/>
        </w:rPr>
        <w:t>При исследовании уровня техники возможны две ситуации.</w:t>
      </w:r>
    </w:p>
    <w:p w:rsidR="00142E5B" w:rsidRPr="00F506F7" w:rsidRDefault="00586719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 xml:space="preserve">1. </w:t>
      </w:r>
      <w:r w:rsidR="00142E5B" w:rsidRPr="00F506F7">
        <w:rPr>
          <w:sz w:val="28"/>
          <w:szCs w:val="28"/>
        </w:rPr>
        <w:t>Источники с искомыми признаками не обнаружены.</w:t>
      </w:r>
      <w:r w:rsidRPr="00F506F7">
        <w:rPr>
          <w:sz w:val="28"/>
          <w:szCs w:val="28"/>
        </w:rPr>
        <w:t xml:space="preserve"> Следовательно, изобретательский уровень есть.</w:t>
      </w:r>
    </w:p>
    <w:p w:rsidR="00586719" w:rsidRPr="00F506F7" w:rsidRDefault="00586719" w:rsidP="00F506F7">
      <w:pPr>
        <w:tabs>
          <w:tab w:val="left" w:pos="1029"/>
        </w:tabs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2. Источники, содержащие искомые признаки, обнаружены. Если из них выявляется влияние изучаемых признаков на достижение такого же технического результата, как и в изобретении, оно не отвечает требованию изобретательского уровня.</w:t>
      </w:r>
    </w:p>
    <w:p w:rsidR="00586719" w:rsidRPr="00F506F7" w:rsidRDefault="00586719" w:rsidP="00F506F7">
      <w:pPr>
        <w:tabs>
          <w:tab w:val="left" w:pos="1029"/>
        </w:tabs>
        <w:spacing w:line="360" w:lineRule="auto"/>
        <w:ind w:firstLine="709"/>
        <w:jc w:val="both"/>
        <w:rPr>
          <w:sz w:val="28"/>
          <w:szCs w:val="28"/>
        </w:rPr>
      </w:pPr>
    </w:p>
    <w:p w:rsidR="00110A27" w:rsidRPr="004A5DEB" w:rsidRDefault="00586719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4A5DEB">
        <w:rPr>
          <w:b/>
          <w:bCs/>
          <w:sz w:val="28"/>
          <w:szCs w:val="28"/>
        </w:rPr>
        <w:t>ФОРМУЛА ИЗОБРЕТЕНИЯ</w:t>
      </w:r>
    </w:p>
    <w:p w:rsidR="00F506F7" w:rsidRPr="00F506F7" w:rsidRDefault="00F506F7" w:rsidP="00F506F7">
      <w:pPr>
        <w:spacing w:line="360" w:lineRule="auto"/>
        <w:ind w:firstLine="709"/>
        <w:jc w:val="both"/>
        <w:rPr>
          <w:bCs/>
          <w:i/>
          <w:sz w:val="28"/>
          <w:szCs w:val="28"/>
          <w:u w:val="single"/>
        </w:rPr>
      </w:pPr>
    </w:p>
    <w:p w:rsidR="00110A27" w:rsidRPr="00F506F7" w:rsidRDefault="00110A27" w:rsidP="00F506F7">
      <w:pPr>
        <w:spacing w:line="360" w:lineRule="auto"/>
        <w:ind w:firstLine="709"/>
        <w:jc w:val="both"/>
        <w:rPr>
          <w:bCs/>
          <w:i/>
          <w:sz w:val="28"/>
          <w:szCs w:val="28"/>
          <w:u w:val="single"/>
        </w:rPr>
      </w:pPr>
      <w:r w:rsidRPr="00F506F7">
        <w:rPr>
          <w:bCs/>
          <w:i/>
          <w:sz w:val="28"/>
          <w:szCs w:val="28"/>
          <w:u w:val="single"/>
        </w:rPr>
        <w:t>Значение формулы изобретения и требования, предъявляемые к ней</w:t>
      </w:r>
    </w:p>
    <w:p w:rsidR="001A7E55" w:rsidRPr="00F506F7" w:rsidRDefault="00110A27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Формула изобретения — это краткое словесное изложение признаков изобретения, определяющих объем изобретения, т. е. конкретная письменная редакция предмета изобретения. Предмет изобретения — это объект изобретения в виде устройства, способа или вещества, охарактеризованный в формуле изобретения. Объем прав патентообладателя определяется формулой изобретения. Основное значение формулы изобретения — правовое. Оно определяет объем патентных притязаний и тем самым — границы возможного использования изобретения. Формула изобретения имеет и информационно-техническое значение. Она публикуется ранее полного описания изобретения и содержит сведения о созданном техническом новшестве.</w:t>
      </w:r>
      <w:r w:rsidR="00F506F7" w:rsidRPr="00F506F7">
        <w:rPr>
          <w:sz w:val="28"/>
          <w:szCs w:val="28"/>
        </w:rPr>
        <w:t xml:space="preserve"> </w:t>
      </w:r>
      <w:r w:rsidR="001A7E55" w:rsidRPr="00F506F7">
        <w:rPr>
          <w:sz w:val="28"/>
          <w:szCs w:val="28"/>
        </w:rPr>
        <w:t>Общие требования к написанию формулы изобретения состоят в следующем:</w:t>
      </w:r>
    </w:p>
    <w:p w:rsidR="001A7E55" w:rsidRPr="00F506F7" w:rsidRDefault="001A7E55" w:rsidP="00F506F7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Формула изобретения должна излагаться в виде одного предложения.</w:t>
      </w:r>
    </w:p>
    <w:p w:rsidR="001A7E55" w:rsidRPr="00F506F7" w:rsidRDefault="001A7E55" w:rsidP="00F506F7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Формула имеет свои особеннос</w:t>
      </w:r>
      <w:r w:rsidR="00F506F7" w:rsidRPr="00F506F7">
        <w:rPr>
          <w:sz w:val="28"/>
          <w:szCs w:val="28"/>
        </w:rPr>
        <w:t xml:space="preserve">ти в зависимости от объекта </w:t>
      </w:r>
      <w:r w:rsidRPr="00F506F7">
        <w:rPr>
          <w:sz w:val="28"/>
          <w:szCs w:val="28"/>
        </w:rPr>
        <w:t>изобретения.</w:t>
      </w:r>
    </w:p>
    <w:p w:rsidR="001A7E55" w:rsidRPr="00F506F7" w:rsidRDefault="001A7E55" w:rsidP="00F506F7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Поскольку объем прав патентообладателя определяется признаками изобретения, которые перечислены в формуле изобретения, нужно указать минимально необходимое количество этих признаков.</w:t>
      </w:r>
    </w:p>
    <w:p w:rsidR="00132926" w:rsidRPr="00F506F7" w:rsidRDefault="00132926" w:rsidP="00F506F7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Признаки, указанные в формуле изобретения, не должны допускать произвольных, противоречивых толкований. Термины, употребляемые в формуле изобретения, должны быть емкими.</w:t>
      </w:r>
    </w:p>
    <w:p w:rsidR="00132926" w:rsidRPr="00F506F7" w:rsidRDefault="00132926" w:rsidP="00F506F7">
      <w:pPr>
        <w:numPr>
          <w:ilvl w:val="0"/>
          <w:numId w:val="2"/>
        </w:numPr>
        <w:tabs>
          <w:tab w:val="clear" w:pos="360"/>
          <w:tab w:val="num" w:pos="0"/>
          <w:tab w:val="left" w:pos="10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В формуле изобретения недопустимо использование альтернативных признаков. Например: операция нагрева не может проводиться одновременно с операцией охлаждения — это альтернативные, исключающие друг друга признаки.</w:t>
      </w:r>
    </w:p>
    <w:p w:rsidR="00620950" w:rsidRPr="00F506F7" w:rsidRDefault="00132926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Формула изобретения должна быть составлена с соблюдением требования единства. В ней должна содержаться не постановка задачи, а ее решение. Изобретение следует характеризовать признаками объекта, а не его свойствами.</w:t>
      </w:r>
      <w:r w:rsidR="00620950" w:rsidRPr="00F506F7">
        <w:rPr>
          <w:sz w:val="28"/>
          <w:szCs w:val="28"/>
        </w:rPr>
        <w:t xml:space="preserve"> </w:t>
      </w:r>
    </w:p>
    <w:p w:rsidR="00132926" w:rsidRPr="00F506F7" w:rsidRDefault="00620950" w:rsidP="00F506F7">
      <w:pPr>
        <w:spacing w:line="360" w:lineRule="auto"/>
        <w:ind w:firstLine="709"/>
        <w:jc w:val="both"/>
        <w:rPr>
          <w:bCs/>
          <w:i/>
          <w:sz w:val="28"/>
          <w:szCs w:val="28"/>
          <w:u w:val="single"/>
        </w:rPr>
      </w:pPr>
      <w:r w:rsidRPr="00F506F7">
        <w:rPr>
          <w:i/>
          <w:sz w:val="28"/>
          <w:szCs w:val="28"/>
          <w:u w:val="single"/>
        </w:rPr>
        <w:t>Структура</w:t>
      </w:r>
      <w:r w:rsidRPr="00F506F7">
        <w:rPr>
          <w:b/>
          <w:bCs/>
          <w:i/>
          <w:sz w:val="28"/>
          <w:szCs w:val="28"/>
          <w:u w:val="single"/>
        </w:rPr>
        <w:t xml:space="preserve"> </w:t>
      </w:r>
      <w:r w:rsidRPr="00F506F7">
        <w:rPr>
          <w:bCs/>
          <w:i/>
          <w:sz w:val="28"/>
          <w:szCs w:val="28"/>
          <w:u w:val="single"/>
        </w:rPr>
        <w:t>формулы изобретения</w:t>
      </w:r>
    </w:p>
    <w:p w:rsidR="00620950" w:rsidRPr="00F506F7" w:rsidRDefault="00620950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Для удобства анализа формула изобретения делится на две части: ограничительную и отличительную.</w:t>
      </w:r>
    </w:p>
    <w:p w:rsidR="00620950" w:rsidRPr="00F506F7" w:rsidRDefault="00620950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Ограничительная часть содержит:</w:t>
      </w:r>
    </w:p>
    <w:p w:rsidR="00620950" w:rsidRPr="00F506F7" w:rsidRDefault="00620950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- название изобретения;</w:t>
      </w:r>
    </w:p>
    <w:p w:rsidR="00620950" w:rsidRPr="00F506F7" w:rsidRDefault="00620950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 xml:space="preserve">- перечисление известных признаков, общих для прототипа и объекта изобретения. </w:t>
      </w:r>
    </w:p>
    <w:p w:rsidR="00620950" w:rsidRPr="00F506F7" w:rsidRDefault="00620950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Отличительная часть содержит перечисление новых, отличительных признаков, отличающих предмет изобретения от сходных с ним предметов.</w:t>
      </w:r>
    </w:p>
    <w:p w:rsidR="006069A6" w:rsidRPr="00F506F7" w:rsidRDefault="006069A6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Формула изобретения может быть однозвенной и многозвенной. Первый пункт в формуле всегда независимый. В него включаются признаки, достаточные для получения технического результата. Зависимый пункт формулы начинается с сокращенного названия изобретения, указанного в независимом пункте формулы изобретения, и ссылки на тот пункт, признаки которого он дополняет. Многозвенная формула может характеризовать сущность одного или группы изобретений. Технический результат в формуле изобретения не указывается.</w:t>
      </w:r>
    </w:p>
    <w:p w:rsidR="006069A6" w:rsidRPr="00F506F7" w:rsidRDefault="006069A6" w:rsidP="00F506F7">
      <w:pPr>
        <w:spacing w:line="360" w:lineRule="auto"/>
        <w:ind w:firstLine="709"/>
        <w:jc w:val="both"/>
        <w:rPr>
          <w:bCs/>
          <w:i/>
          <w:sz w:val="28"/>
          <w:szCs w:val="28"/>
          <w:u w:val="single"/>
        </w:rPr>
      </w:pPr>
      <w:r w:rsidRPr="00F506F7">
        <w:rPr>
          <w:bCs/>
          <w:i/>
          <w:sz w:val="28"/>
          <w:szCs w:val="28"/>
          <w:u w:val="single"/>
        </w:rPr>
        <w:t>Особенности формулы изобретения в зависимости от вида объекта</w:t>
      </w:r>
    </w:p>
    <w:p w:rsidR="0097496F" w:rsidRPr="00F506F7" w:rsidRDefault="001A23DA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В формуле не должно быть глаголов, выражающих незавершенное действие; глаголов изъявительного наклонения, оканчивающихся на «-ся» (подается, соединяется); а также глаголов в третьем лице множественного числа, оканчивающихся на «-ют» (подают, соединяют).</w:t>
      </w:r>
      <w:r w:rsidR="0097496F" w:rsidRPr="00F506F7">
        <w:rPr>
          <w:sz w:val="28"/>
          <w:szCs w:val="28"/>
        </w:rPr>
        <w:t xml:space="preserve"> Если необходимо указать на вновь введенные элементы, используют краткие причастия (расположен, снабжен). Для характеристики особой формы выполнения устройства, например формы элемента или взаимосвязи, используют полные причастия. Для выражения сущности способа в формуле используют глаголы в изъявительном наклонении в третьем лице множественного числа, т.е. с окончанием на «-ут», «-ют», «-ат», «-ят» (нагревают, обрабатывают).</w:t>
      </w:r>
    </w:p>
    <w:p w:rsidR="0097496F" w:rsidRPr="004A5DEB" w:rsidRDefault="00F506F7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 xml:space="preserve">При </w:t>
      </w:r>
      <w:r w:rsidR="006F1AD2" w:rsidRPr="00F506F7">
        <w:rPr>
          <w:sz w:val="28"/>
          <w:szCs w:val="28"/>
        </w:rPr>
        <w:t>характеристики вещества — композиции в ограничительной части формулы указывают название изобретения и ингредиент, совпадающие с признаками прототипа. В отличительной части приводят вновь введенные ингредиенты, используя для этого оборот «дополнительно содержит», а затем — весь рецептурный состав композиции.</w:t>
      </w:r>
    </w:p>
    <w:p w:rsidR="00174A99" w:rsidRPr="00F506F7" w:rsidRDefault="00174A99" w:rsidP="00F506F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506F7">
        <w:rPr>
          <w:i/>
          <w:sz w:val="28"/>
          <w:szCs w:val="28"/>
        </w:rPr>
        <w:t>Пример.</w:t>
      </w:r>
      <w:r w:rsidRPr="00F506F7">
        <w:rPr>
          <w:sz w:val="28"/>
          <w:szCs w:val="28"/>
        </w:rPr>
        <w:t xml:space="preserve"> </w:t>
      </w:r>
      <w:r w:rsidRPr="00F506F7">
        <w:rPr>
          <w:i/>
          <w:sz w:val="28"/>
          <w:szCs w:val="28"/>
        </w:rPr>
        <w:t>Мелиорант почвы.</w:t>
      </w:r>
    </w:p>
    <w:p w:rsidR="00174A99" w:rsidRPr="00F506F7" w:rsidRDefault="00174A99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«Применение льняной костры — отхода первичной обработки, льна в качестве мелиоранта почвы».</w:t>
      </w:r>
    </w:p>
    <w:p w:rsidR="00174A99" w:rsidRPr="00F506F7" w:rsidRDefault="00174A99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Формула штамма микроорганизма, культуры клеток не имеет ограничительной и отличительной частей. В нее включается родовое и видовое название биологического объекта на латинском языке с указанием фамилий авторов, видов и, если штамм депонированный, — аббревиатуры официальной коллекции — депозитария, регистрационный номер, присвоенный коллекцией депонированному объекту, и назначение штамма.</w:t>
      </w:r>
    </w:p>
    <w:p w:rsidR="00EF1B72" w:rsidRPr="00F506F7" w:rsidRDefault="00EF1B72" w:rsidP="00F506F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506F7">
        <w:rPr>
          <w:i/>
          <w:sz w:val="28"/>
          <w:szCs w:val="28"/>
        </w:rPr>
        <w:t>Пример.</w:t>
      </w:r>
    </w:p>
    <w:p w:rsidR="00EF1B72" w:rsidRPr="00F506F7" w:rsidRDefault="00174A99" w:rsidP="00F506F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506F7">
        <w:rPr>
          <w:sz w:val="28"/>
          <w:szCs w:val="28"/>
        </w:rPr>
        <w:t xml:space="preserve">Штамм бактерий </w:t>
      </w:r>
      <w:r w:rsidRPr="00F506F7">
        <w:rPr>
          <w:sz w:val="28"/>
          <w:szCs w:val="28"/>
          <w:lang w:val="en-US" w:eastAsia="en-US"/>
        </w:rPr>
        <w:t>Citrobacter</w:t>
      </w:r>
      <w:r w:rsidRPr="00F506F7">
        <w:rPr>
          <w:sz w:val="28"/>
          <w:szCs w:val="28"/>
          <w:lang w:eastAsia="en-US"/>
        </w:rPr>
        <w:t xml:space="preserve"> </w:t>
      </w:r>
      <w:r w:rsidR="00EF1B72" w:rsidRPr="00F506F7">
        <w:rPr>
          <w:sz w:val="28"/>
          <w:szCs w:val="28"/>
          <w:lang w:val="en-US" w:eastAsia="en-US"/>
        </w:rPr>
        <w:t>freundil</w:t>
      </w:r>
      <w:r w:rsidR="00F506F7">
        <w:rPr>
          <w:sz w:val="28"/>
          <w:szCs w:val="28"/>
          <w:lang w:eastAsia="en-US"/>
        </w:rPr>
        <w:t xml:space="preserve"> </w:t>
      </w:r>
      <w:r w:rsidR="00EF1B72" w:rsidRPr="00F506F7">
        <w:rPr>
          <w:sz w:val="28"/>
          <w:szCs w:val="28"/>
        </w:rPr>
        <w:t>ВКПМ В-4144, образующий антикоррозионную пленку на поверхности металлов.</w:t>
      </w:r>
    </w:p>
    <w:p w:rsidR="00F506F7" w:rsidRDefault="00F506F7" w:rsidP="00F506F7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A53E43" w:rsidRPr="004A5DEB" w:rsidRDefault="00A53E43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4A5DEB">
        <w:rPr>
          <w:b/>
          <w:bCs/>
          <w:sz w:val="28"/>
          <w:szCs w:val="28"/>
        </w:rPr>
        <w:t>ГАЛЬВАНОМАГНИТНЫЕ ЯВЛЕНИЯ</w:t>
      </w:r>
    </w:p>
    <w:p w:rsidR="00F506F7" w:rsidRDefault="00F506F7" w:rsidP="00F506F7">
      <w:pPr>
        <w:spacing w:line="360" w:lineRule="auto"/>
        <w:ind w:firstLine="709"/>
        <w:jc w:val="both"/>
        <w:rPr>
          <w:sz w:val="28"/>
          <w:szCs w:val="28"/>
        </w:rPr>
      </w:pPr>
    </w:p>
    <w:p w:rsidR="00A53E43" w:rsidRPr="00F506F7" w:rsidRDefault="00A53E43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Это совокупность явлений, возникающих под действием магнитного поля в проводниках, по которым протекает электрический ток.</w:t>
      </w:r>
    </w:p>
    <w:p w:rsidR="00EF1B72" w:rsidRPr="00F506F7" w:rsidRDefault="00A53E43" w:rsidP="00F506F7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F506F7">
        <w:rPr>
          <w:bCs/>
          <w:i/>
          <w:sz w:val="28"/>
          <w:szCs w:val="28"/>
          <w:u w:val="single"/>
        </w:rPr>
        <w:t>Эффект</w:t>
      </w:r>
      <w:r w:rsidRPr="00F506F7">
        <w:rPr>
          <w:i/>
          <w:sz w:val="28"/>
          <w:szCs w:val="28"/>
          <w:u w:val="single"/>
        </w:rPr>
        <w:t xml:space="preserve"> Холла</w:t>
      </w:r>
    </w:p>
    <w:p w:rsidR="00EF1B72" w:rsidRPr="00F506F7" w:rsidRDefault="00A53E43" w:rsidP="00F506F7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F506F7">
        <w:rPr>
          <w:sz w:val="28"/>
          <w:szCs w:val="28"/>
        </w:rPr>
        <w:t>При этом в направлении, перпендикулярном направлениям магнитного поля и направлению тока, возникает электрическое поле (эффект Холла). Коэффициент Холла может быть положительным и отрицательным и даже менять знак с изменением температуры.</w:t>
      </w:r>
      <w:r w:rsidR="00BD5880" w:rsidRPr="00F506F7">
        <w:rPr>
          <w:sz w:val="28"/>
          <w:szCs w:val="28"/>
        </w:rPr>
        <w:t xml:space="preserve"> Для большинства металлов наблюдается почти полная независимость коэффициента Холла от температуры. Резко аномальным эффектом Холла обладает висмут, мышьяк и сурьма. В ферромагнетиках наблюдается особый, ферромагнитный эффект Холла. Коэффициент Холла достигает максимума в точке Кюри, а затем снижается.</w:t>
      </w:r>
    </w:p>
    <w:p w:rsidR="00AC4F07" w:rsidRPr="00F506F7" w:rsidRDefault="00AC4F07" w:rsidP="00F506F7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F506F7">
        <w:rPr>
          <w:b/>
          <w:bCs/>
          <w:i/>
          <w:sz w:val="28"/>
          <w:szCs w:val="28"/>
        </w:rPr>
        <w:t xml:space="preserve">Авт. свид. № </w:t>
      </w:r>
      <w:smartTag w:uri="urn:schemas-microsoft-com:office:smarttags" w:element="metricconverter">
        <w:smartTagPr>
          <w:attr w:name="ProductID" w:val="272.426, G"/>
        </w:smartTagPr>
        <w:r w:rsidRPr="00F506F7">
          <w:rPr>
            <w:b/>
            <w:bCs/>
            <w:i/>
            <w:sz w:val="28"/>
            <w:szCs w:val="28"/>
          </w:rPr>
          <w:t xml:space="preserve">272.426, </w:t>
        </w:r>
        <w:r w:rsidRPr="00F506F7">
          <w:rPr>
            <w:b/>
            <w:bCs/>
            <w:i/>
            <w:sz w:val="28"/>
            <w:szCs w:val="28"/>
            <w:lang w:val="en-US" w:eastAsia="en-US"/>
          </w:rPr>
          <w:t>G</w:t>
        </w:r>
      </w:smartTag>
      <w:r w:rsidRPr="00F506F7">
        <w:rPr>
          <w:b/>
          <w:bCs/>
          <w:i/>
          <w:sz w:val="28"/>
          <w:szCs w:val="28"/>
          <w:lang w:eastAsia="en-US"/>
        </w:rPr>
        <w:t xml:space="preserve"> </w:t>
      </w:r>
      <w:r w:rsidRPr="00F506F7">
        <w:rPr>
          <w:b/>
          <w:bCs/>
          <w:i/>
          <w:sz w:val="28"/>
          <w:szCs w:val="28"/>
        </w:rPr>
        <w:t xml:space="preserve">01 </w:t>
      </w:r>
      <w:r w:rsidRPr="00F506F7">
        <w:rPr>
          <w:b/>
          <w:bCs/>
          <w:i/>
          <w:sz w:val="28"/>
          <w:szCs w:val="28"/>
          <w:lang w:val="en-US" w:eastAsia="en-US"/>
        </w:rPr>
        <w:t>R</w:t>
      </w:r>
      <w:r w:rsidRPr="00F506F7">
        <w:rPr>
          <w:b/>
          <w:bCs/>
          <w:i/>
          <w:sz w:val="28"/>
          <w:szCs w:val="28"/>
          <w:lang w:eastAsia="en-US"/>
        </w:rPr>
        <w:t xml:space="preserve"> </w:t>
      </w:r>
      <w:r w:rsidRPr="00F506F7">
        <w:rPr>
          <w:b/>
          <w:bCs/>
          <w:i/>
          <w:sz w:val="28"/>
          <w:szCs w:val="28"/>
        </w:rPr>
        <w:t>33/06</w:t>
      </w:r>
      <w:r w:rsidRPr="00F506F7">
        <w:rPr>
          <w:bCs/>
          <w:i/>
          <w:sz w:val="28"/>
          <w:szCs w:val="28"/>
          <w:u w:val="single"/>
        </w:rPr>
        <w:t>.</w:t>
      </w:r>
      <w:r w:rsidRPr="00F506F7">
        <w:rPr>
          <w:sz w:val="28"/>
          <w:szCs w:val="28"/>
        </w:rPr>
        <w:t xml:space="preserve"> Способ измерения магнитной индукции в образце из магнитотвердого материала путем помещения испытуемого образца во внешнее магнитное поле,</w:t>
      </w:r>
      <w:r w:rsidRPr="00F506F7">
        <w:rPr>
          <w:b/>
          <w:bCs/>
          <w:sz w:val="28"/>
          <w:szCs w:val="28"/>
        </w:rPr>
        <w:t xml:space="preserve"> </w:t>
      </w:r>
      <w:r w:rsidRPr="00F506F7">
        <w:rPr>
          <w:bCs/>
          <w:sz w:val="28"/>
          <w:szCs w:val="28"/>
        </w:rPr>
        <w:t>отличающийся</w:t>
      </w:r>
      <w:r w:rsidRPr="00F506F7">
        <w:rPr>
          <w:sz w:val="28"/>
          <w:szCs w:val="28"/>
        </w:rPr>
        <w:t xml:space="preserve"> тем, что, с целью повышения точности и сокращения времени измерения, через поперечное сечение образца пропускают электрический ток и измеряют ЭДС Холла на его основных гранях, по которой судят об искомой величине.</w:t>
      </w:r>
    </w:p>
    <w:p w:rsidR="00174A99" w:rsidRPr="00F506F7" w:rsidRDefault="00174A99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b/>
          <w:bCs/>
          <w:i/>
          <w:sz w:val="28"/>
          <w:szCs w:val="28"/>
        </w:rPr>
        <w:t xml:space="preserve">Авт. свид. № </w:t>
      </w:r>
      <w:smartTag w:uri="urn:schemas-microsoft-com:office:smarttags" w:element="metricconverter">
        <w:smartTagPr>
          <w:attr w:name="ProductID" w:val="283.639, G"/>
        </w:smartTagPr>
        <w:r w:rsidRPr="00F506F7">
          <w:rPr>
            <w:b/>
            <w:bCs/>
            <w:i/>
            <w:sz w:val="28"/>
            <w:szCs w:val="28"/>
          </w:rPr>
          <w:t xml:space="preserve">283.639, </w:t>
        </w:r>
        <w:r w:rsidRPr="00F506F7">
          <w:rPr>
            <w:b/>
            <w:bCs/>
            <w:i/>
            <w:sz w:val="28"/>
            <w:szCs w:val="28"/>
            <w:lang w:val="en-US" w:eastAsia="en-US"/>
          </w:rPr>
          <w:t>G</w:t>
        </w:r>
      </w:smartTag>
      <w:r w:rsidRPr="00F506F7">
        <w:rPr>
          <w:b/>
          <w:bCs/>
          <w:i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01 L"/>
        </w:smartTagPr>
        <w:r w:rsidRPr="00F506F7">
          <w:rPr>
            <w:b/>
            <w:bCs/>
            <w:i/>
            <w:sz w:val="28"/>
            <w:szCs w:val="28"/>
          </w:rPr>
          <w:t xml:space="preserve">01 </w:t>
        </w:r>
        <w:r w:rsidRPr="00F506F7">
          <w:rPr>
            <w:b/>
            <w:bCs/>
            <w:i/>
            <w:sz w:val="28"/>
            <w:szCs w:val="28"/>
            <w:lang w:val="en-US" w:eastAsia="en-US"/>
          </w:rPr>
          <w:t>L</w:t>
        </w:r>
      </w:smartTag>
      <w:r w:rsidRPr="00F506F7">
        <w:rPr>
          <w:b/>
          <w:bCs/>
          <w:i/>
          <w:sz w:val="28"/>
          <w:szCs w:val="28"/>
          <w:lang w:eastAsia="en-US"/>
        </w:rPr>
        <w:t xml:space="preserve"> </w:t>
      </w:r>
      <w:r w:rsidRPr="00F506F7">
        <w:rPr>
          <w:b/>
          <w:bCs/>
          <w:i/>
          <w:sz w:val="28"/>
          <w:szCs w:val="28"/>
        </w:rPr>
        <w:t>23/00.</w:t>
      </w:r>
      <w:r w:rsidRPr="00F506F7">
        <w:rPr>
          <w:sz w:val="28"/>
          <w:szCs w:val="28"/>
        </w:rPr>
        <w:t xml:space="preserve"> Устройство для измерения среднего индикаторного давления в цилиндрах поршневых машин, содержащее датчик, преобразующий давление в электрический сигнал, датчик положения поршня, усилитель, электронный вычислительный блок и указатель,</w:t>
      </w:r>
      <w:r w:rsidRPr="00F506F7">
        <w:rPr>
          <w:b/>
          <w:bCs/>
          <w:sz w:val="28"/>
          <w:szCs w:val="28"/>
        </w:rPr>
        <w:t xml:space="preserve"> </w:t>
      </w:r>
      <w:r w:rsidRPr="00F506F7">
        <w:rPr>
          <w:bCs/>
          <w:sz w:val="28"/>
          <w:szCs w:val="28"/>
        </w:rPr>
        <w:t>отличающееся</w:t>
      </w:r>
      <w:r w:rsidRPr="00F506F7">
        <w:rPr>
          <w:sz w:val="28"/>
          <w:szCs w:val="28"/>
        </w:rPr>
        <w:t xml:space="preserve"> тем, что, с целью упрощения конструкции, в качестве датчика положения поршня и множительного элемента вычислительного блока использован датчик Холла, магнитная система которого жестко связана с коленчатым валом двигателя, а активный элемент соединен через усилитель с выходом датчика давления, при этом выход датчика Холла через интегратор подключен к указателю.</w:t>
      </w:r>
    </w:p>
    <w:p w:rsidR="00174A99" w:rsidRPr="00F506F7" w:rsidRDefault="00174A99" w:rsidP="00F506F7">
      <w:pPr>
        <w:keepNext/>
        <w:keepLines/>
        <w:spacing w:line="360" w:lineRule="auto"/>
        <w:ind w:firstLine="709"/>
        <w:jc w:val="both"/>
        <w:outlineLvl w:val="4"/>
        <w:rPr>
          <w:i/>
          <w:sz w:val="28"/>
          <w:szCs w:val="28"/>
          <w:u w:val="single"/>
        </w:rPr>
      </w:pPr>
      <w:r w:rsidRPr="00F506F7">
        <w:rPr>
          <w:bCs/>
          <w:i/>
          <w:sz w:val="28"/>
          <w:szCs w:val="28"/>
          <w:u w:val="single"/>
        </w:rPr>
        <w:t>Эффект Эттингсгаузена</w:t>
      </w:r>
    </w:p>
    <w:p w:rsidR="00AC4F07" w:rsidRPr="00F506F7" w:rsidRDefault="00AC4F07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В направлении, перпендикулярном к направлению магнитного поля и направлению тока, возникает температурный градиент (разность температур) (эффект Эттингсгаузена).</w:t>
      </w:r>
    </w:p>
    <w:p w:rsidR="00745E33" w:rsidRPr="00F506F7" w:rsidRDefault="00745E33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b/>
          <w:bCs/>
          <w:i/>
          <w:sz w:val="28"/>
          <w:szCs w:val="28"/>
        </w:rPr>
        <w:t xml:space="preserve">Авт. свид. № 182.778, Н </w:t>
      </w:r>
      <w:smartTag w:uri="urn:schemas-microsoft-com:office:smarttags" w:element="metricconverter">
        <w:smartTagPr>
          <w:attr w:name="ProductID" w:val="01 Ì"/>
        </w:smartTagPr>
        <w:r w:rsidRPr="00F506F7">
          <w:rPr>
            <w:b/>
            <w:bCs/>
            <w:i/>
            <w:sz w:val="28"/>
            <w:szCs w:val="28"/>
          </w:rPr>
          <w:t>01 М</w:t>
        </w:r>
      </w:smartTag>
      <w:r w:rsidRPr="00F506F7">
        <w:rPr>
          <w:b/>
          <w:bCs/>
          <w:i/>
          <w:sz w:val="28"/>
          <w:szCs w:val="28"/>
        </w:rPr>
        <w:t xml:space="preserve"> 27/00.</w:t>
      </w:r>
      <w:r w:rsidRPr="00F506F7">
        <w:rPr>
          <w:sz w:val="28"/>
          <w:szCs w:val="28"/>
        </w:rPr>
        <w:t xml:space="preserve"> Низкотемпературное устройство на основе эффекта Пельтье и Эттингсгаузена,</w:t>
      </w:r>
      <w:r w:rsidRPr="00F506F7">
        <w:rPr>
          <w:b/>
          <w:bCs/>
          <w:sz w:val="28"/>
          <w:szCs w:val="28"/>
        </w:rPr>
        <w:t xml:space="preserve"> </w:t>
      </w:r>
      <w:r w:rsidRPr="00F506F7">
        <w:rPr>
          <w:bCs/>
          <w:sz w:val="28"/>
          <w:szCs w:val="28"/>
        </w:rPr>
        <w:t>отличающееся</w:t>
      </w:r>
      <w:r w:rsidRPr="00F506F7">
        <w:rPr>
          <w:sz w:val="28"/>
          <w:szCs w:val="28"/>
        </w:rPr>
        <w:t xml:space="preserve"> тем, что, с целью одновременного использования термоэлектрической батареи как генератора холода и как источника магнитного поля для охладителя Эттингсгаузена, термобатарея выполнена в виде цилиндрического соленоида.</w:t>
      </w:r>
    </w:p>
    <w:p w:rsidR="00BD5880" w:rsidRPr="00F506F7" w:rsidRDefault="00BD5880" w:rsidP="00F506F7">
      <w:pPr>
        <w:keepNext/>
        <w:keepLines/>
        <w:spacing w:line="360" w:lineRule="auto"/>
        <w:ind w:firstLine="709"/>
        <w:jc w:val="both"/>
        <w:outlineLvl w:val="4"/>
        <w:rPr>
          <w:i/>
          <w:sz w:val="28"/>
          <w:szCs w:val="28"/>
          <w:u w:val="single"/>
        </w:rPr>
      </w:pPr>
      <w:r w:rsidRPr="00F506F7">
        <w:rPr>
          <w:bCs/>
          <w:i/>
          <w:sz w:val="28"/>
          <w:szCs w:val="28"/>
          <w:u w:val="single"/>
        </w:rPr>
        <w:t>Магнитосопротивление</w:t>
      </w:r>
    </w:p>
    <w:p w:rsidR="00BD5880" w:rsidRPr="00F506F7" w:rsidRDefault="00BD5880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Изменяется сопротивление проводника, что эквивалентно возникновению добавочной разности потенциалов вдоль направления электрического тока. Для обычных металлов это изменение сопротивления мало — порядка 0,1% в поле 20 кВ, однако для висмута и полупроводника величина изменения может достигать 200% (в полях 30 кВ).</w:t>
      </w:r>
    </w:p>
    <w:p w:rsidR="00745E33" w:rsidRPr="00F506F7" w:rsidRDefault="00745E33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b/>
          <w:bCs/>
          <w:i/>
          <w:sz w:val="28"/>
          <w:szCs w:val="28"/>
        </w:rPr>
        <w:t>Авт. свид. № 163.508.</w:t>
      </w:r>
      <w:r w:rsidRPr="00F506F7">
        <w:rPr>
          <w:sz w:val="28"/>
          <w:szCs w:val="28"/>
        </w:rPr>
        <w:t xml:space="preserve"> Универсальный гальваномагнитный датчик, содержащий плоские токовые и холловские электроды, точечносгь контакта которых обеспечивают перемычки в теле датчика,</w:t>
      </w:r>
      <w:r w:rsidRPr="00F506F7">
        <w:rPr>
          <w:b/>
          <w:bCs/>
          <w:sz w:val="28"/>
          <w:szCs w:val="28"/>
        </w:rPr>
        <w:t xml:space="preserve"> </w:t>
      </w:r>
      <w:r w:rsidRPr="00F506F7">
        <w:rPr>
          <w:bCs/>
          <w:sz w:val="28"/>
          <w:szCs w:val="28"/>
        </w:rPr>
        <w:t>отличающийся</w:t>
      </w:r>
      <w:r w:rsidRPr="00F506F7">
        <w:rPr>
          <w:sz w:val="28"/>
          <w:szCs w:val="28"/>
        </w:rPr>
        <w:t xml:space="preserve"> тем, что, с целью уменьшения эффекта закорачивания холловского напряжения токовыми электродами, использования одного и того же единичного гальваномагнитного датчика как датчика ЭДС Холла или как датчика магнитосопротивления, или как гиратора, токовые электроды расположены вдоль эквипотенциальных линий поля Холла или под острым углом к ним, например, по ребрам плоского датчика, а для перехода от одного используемого эффекта к другому применено коммутирующее устройство и регулируемый источник питания.</w:t>
      </w:r>
    </w:p>
    <w:p w:rsidR="00745E33" w:rsidRPr="00F506F7" w:rsidRDefault="00745E33" w:rsidP="00F506F7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F506F7">
        <w:rPr>
          <w:bCs/>
          <w:i/>
          <w:sz w:val="28"/>
          <w:szCs w:val="28"/>
          <w:u w:val="single"/>
        </w:rPr>
        <w:t>Эффект Томсона</w:t>
      </w:r>
    </w:p>
    <w:p w:rsidR="00745E33" w:rsidRPr="00F506F7" w:rsidRDefault="00745E33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У ферромагнетиков в сильных полях наблюдается увеличение сопротивления с ростом поля (эффект Томсона).</w:t>
      </w:r>
    </w:p>
    <w:p w:rsidR="00F506F7" w:rsidRDefault="00F506F7" w:rsidP="00F506F7">
      <w:pPr>
        <w:keepNext/>
        <w:keepLines/>
        <w:spacing w:line="360" w:lineRule="auto"/>
        <w:ind w:firstLine="709"/>
        <w:jc w:val="both"/>
        <w:outlineLvl w:val="3"/>
        <w:rPr>
          <w:b/>
          <w:bCs/>
          <w:i/>
          <w:sz w:val="28"/>
          <w:szCs w:val="28"/>
        </w:rPr>
      </w:pPr>
    </w:p>
    <w:p w:rsidR="00745E33" w:rsidRPr="004A5DEB" w:rsidRDefault="00745E33" w:rsidP="00F506F7">
      <w:pPr>
        <w:keepNext/>
        <w:keepLines/>
        <w:spacing w:line="360" w:lineRule="auto"/>
        <w:ind w:firstLine="709"/>
        <w:jc w:val="both"/>
        <w:outlineLvl w:val="3"/>
        <w:rPr>
          <w:b/>
          <w:sz w:val="28"/>
          <w:szCs w:val="28"/>
        </w:rPr>
      </w:pPr>
      <w:r w:rsidRPr="004A5DEB">
        <w:rPr>
          <w:b/>
          <w:bCs/>
          <w:sz w:val="28"/>
          <w:szCs w:val="28"/>
        </w:rPr>
        <w:t>ТЕРМОМАГНИТНЫЕ ЯВЛЕНИЯ</w:t>
      </w:r>
    </w:p>
    <w:p w:rsidR="00F506F7" w:rsidRDefault="00F506F7" w:rsidP="00F506F7">
      <w:pPr>
        <w:spacing w:line="360" w:lineRule="auto"/>
        <w:ind w:firstLine="709"/>
        <w:jc w:val="both"/>
        <w:rPr>
          <w:sz w:val="28"/>
          <w:szCs w:val="28"/>
        </w:rPr>
      </w:pPr>
    </w:p>
    <w:p w:rsidR="00745E33" w:rsidRPr="00F506F7" w:rsidRDefault="00745E33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Термомагнитные явления — совокупность явлений, возникающих под действием магнитного поля в проводниках, внутри которых имеется тепловой поток. При поперечном намагничивании проводника возникают следующие термомагнитные явления.</w:t>
      </w:r>
    </w:p>
    <w:p w:rsidR="00AC4F07" w:rsidRPr="00F506F7" w:rsidRDefault="00AC4F07" w:rsidP="00F506F7">
      <w:pPr>
        <w:tabs>
          <w:tab w:val="left" w:pos="3795"/>
        </w:tabs>
        <w:spacing w:line="360" w:lineRule="auto"/>
        <w:ind w:firstLine="709"/>
        <w:jc w:val="both"/>
        <w:rPr>
          <w:bCs/>
          <w:i/>
          <w:sz w:val="28"/>
          <w:szCs w:val="28"/>
          <w:u w:val="single"/>
        </w:rPr>
      </w:pPr>
      <w:r w:rsidRPr="00F506F7">
        <w:rPr>
          <w:bCs/>
          <w:i/>
          <w:sz w:val="28"/>
          <w:szCs w:val="28"/>
          <w:u w:val="single"/>
        </w:rPr>
        <w:t>Эффект Риге-Людега</w:t>
      </w:r>
    </w:p>
    <w:p w:rsidR="00AC4F07" w:rsidRPr="00F506F7" w:rsidRDefault="00AC4F07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В направлении перпендикулярном градиенту температур и направлению магнитного поля возникает градиент температур (эффект Риге-Людега).</w:t>
      </w:r>
    </w:p>
    <w:p w:rsidR="00AC4F07" w:rsidRPr="00F506F7" w:rsidRDefault="00AC4F07" w:rsidP="00F506F7">
      <w:pPr>
        <w:keepNext/>
        <w:keepLines/>
        <w:tabs>
          <w:tab w:val="left" w:pos="3814"/>
        </w:tabs>
        <w:spacing w:line="360" w:lineRule="auto"/>
        <w:ind w:firstLine="709"/>
        <w:jc w:val="both"/>
        <w:outlineLvl w:val="3"/>
        <w:rPr>
          <w:bCs/>
          <w:i/>
          <w:sz w:val="28"/>
          <w:szCs w:val="28"/>
          <w:u w:val="single"/>
        </w:rPr>
      </w:pPr>
      <w:r w:rsidRPr="00F506F7">
        <w:rPr>
          <w:bCs/>
          <w:i/>
          <w:sz w:val="28"/>
          <w:szCs w:val="28"/>
          <w:u w:val="single"/>
        </w:rPr>
        <w:t>Продольные эффекты</w:t>
      </w:r>
    </w:p>
    <w:p w:rsidR="00AC4F07" w:rsidRPr="00F506F7" w:rsidRDefault="00AC4F07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При продольном намагничивании образца изменяются сопротивление, термо- и ЭДС, теплопроводность (появляется тепловой поток).</w:t>
      </w:r>
    </w:p>
    <w:p w:rsidR="00745E33" w:rsidRPr="00F506F7" w:rsidRDefault="00745E33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b/>
          <w:bCs/>
          <w:i/>
          <w:sz w:val="28"/>
          <w:szCs w:val="28"/>
        </w:rPr>
        <w:t xml:space="preserve">Авт. свид. № 187.859, Н </w:t>
      </w:r>
      <w:smartTag w:uri="urn:schemas-microsoft-com:office:smarttags" w:element="metricconverter">
        <w:smartTagPr>
          <w:attr w:name="ProductID" w:val="01 Ì"/>
        </w:smartTagPr>
        <w:r w:rsidRPr="00F506F7">
          <w:rPr>
            <w:b/>
            <w:bCs/>
            <w:i/>
            <w:sz w:val="28"/>
            <w:szCs w:val="28"/>
          </w:rPr>
          <w:t>01 М</w:t>
        </w:r>
      </w:smartTag>
      <w:r w:rsidRPr="00F506F7">
        <w:rPr>
          <w:b/>
          <w:bCs/>
          <w:i/>
          <w:sz w:val="28"/>
          <w:szCs w:val="28"/>
        </w:rPr>
        <w:t xml:space="preserve"> 27/00.</w:t>
      </w:r>
      <w:r w:rsidRPr="00F506F7">
        <w:rPr>
          <w:sz w:val="28"/>
          <w:szCs w:val="28"/>
        </w:rPr>
        <w:t xml:space="preserve"> Устройство</w:t>
      </w:r>
      <w:r w:rsidRPr="00F506F7">
        <w:rPr>
          <w:b/>
          <w:bCs/>
          <w:sz w:val="28"/>
          <w:szCs w:val="28"/>
        </w:rPr>
        <w:t xml:space="preserve"> </w:t>
      </w:r>
      <w:r w:rsidRPr="00F506F7">
        <w:rPr>
          <w:bCs/>
          <w:sz w:val="28"/>
          <w:szCs w:val="28"/>
        </w:rPr>
        <w:t>для</w:t>
      </w:r>
      <w:r w:rsidRPr="00F506F7">
        <w:rPr>
          <w:sz w:val="28"/>
          <w:szCs w:val="28"/>
        </w:rPr>
        <w:t xml:space="preserve"> измерения ЭДС поперечного эффекта Нернота-Эттингсгаузена в полупроводниковых материалах, содержащее нагреватель, холодильник и термопары — зонды,</w:t>
      </w:r>
      <w:r w:rsidRPr="00F506F7">
        <w:rPr>
          <w:b/>
          <w:bCs/>
          <w:sz w:val="28"/>
          <w:szCs w:val="28"/>
        </w:rPr>
        <w:t xml:space="preserve"> </w:t>
      </w:r>
      <w:r w:rsidRPr="00F506F7">
        <w:rPr>
          <w:bCs/>
          <w:sz w:val="28"/>
          <w:szCs w:val="28"/>
        </w:rPr>
        <w:t>отличающееся</w:t>
      </w:r>
      <w:r w:rsidRPr="00F506F7">
        <w:rPr>
          <w:sz w:val="28"/>
          <w:szCs w:val="28"/>
        </w:rPr>
        <w:t xml:space="preserve"> тем, что, с целью исключения неи</w:t>
      </w:r>
      <w:r w:rsidR="00174A99" w:rsidRPr="00F506F7">
        <w:rPr>
          <w:sz w:val="28"/>
          <w:szCs w:val="28"/>
        </w:rPr>
        <w:t>зотермической части ЭДС Нернота</w:t>
      </w:r>
      <w:r w:rsidRPr="00F506F7">
        <w:rPr>
          <w:sz w:val="28"/>
          <w:szCs w:val="28"/>
        </w:rPr>
        <w:t>-Эттингсгаузена, уменьшения тепловых потерь и исключения циркуляционных токов на контакте полупроводник</w:t>
      </w:r>
      <w:r w:rsidR="00174A99" w:rsidRPr="00F506F7">
        <w:rPr>
          <w:sz w:val="28"/>
          <w:szCs w:val="28"/>
        </w:rPr>
        <w:t>-</w:t>
      </w:r>
      <w:r w:rsidRPr="00F506F7">
        <w:rPr>
          <w:sz w:val="28"/>
          <w:szCs w:val="28"/>
        </w:rPr>
        <w:t>измер</w:t>
      </w:r>
      <w:r w:rsidR="00174A99" w:rsidRPr="00F506F7">
        <w:rPr>
          <w:sz w:val="28"/>
          <w:szCs w:val="28"/>
        </w:rPr>
        <w:t>ительные зонды, термопары-</w:t>
      </w:r>
      <w:r w:rsidRPr="00F506F7">
        <w:rPr>
          <w:sz w:val="28"/>
          <w:szCs w:val="28"/>
        </w:rPr>
        <w:t>зонды подведены к поверхности исследуемого образца через массивные металлические блоки холодильника и нагревателя, находящиеся в хорошем тепловом контакте с образцом, электрически изолированные от последнего.</w:t>
      </w:r>
    </w:p>
    <w:p w:rsidR="00745E33" w:rsidRPr="00F506F7" w:rsidRDefault="00745E33" w:rsidP="00F506F7">
      <w:pPr>
        <w:keepNext/>
        <w:keepLines/>
        <w:spacing w:line="360" w:lineRule="auto"/>
        <w:ind w:firstLine="709"/>
        <w:jc w:val="both"/>
        <w:outlineLvl w:val="3"/>
        <w:rPr>
          <w:i/>
          <w:sz w:val="28"/>
          <w:szCs w:val="28"/>
          <w:u w:val="single"/>
        </w:rPr>
      </w:pPr>
      <w:r w:rsidRPr="00F506F7">
        <w:rPr>
          <w:bCs/>
          <w:i/>
          <w:sz w:val="28"/>
          <w:szCs w:val="28"/>
          <w:u w:val="single"/>
        </w:rPr>
        <w:t>Электронный фототермомагнитный эффект</w:t>
      </w:r>
    </w:p>
    <w:p w:rsidR="00745E33" w:rsidRPr="00F506F7" w:rsidRDefault="00745E33" w:rsidP="00F506F7">
      <w:pPr>
        <w:spacing w:line="360" w:lineRule="auto"/>
        <w:ind w:firstLine="709"/>
        <w:jc w:val="both"/>
        <w:rPr>
          <w:sz w:val="28"/>
          <w:szCs w:val="28"/>
        </w:rPr>
      </w:pPr>
      <w:r w:rsidRPr="00F506F7">
        <w:rPr>
          <w:sz w:val="28"/>
          <w:szCs w:val="28"/>
        </w:rPr>
        <w:t>Это появление ЭДС в одном проводнике (полупроводнике или металле), помещенном в магнитное поле, обусловленное поглощением электромагнитного поля свободными носителями заряда. Магнитное поле должно быть перпендикулярно потоку излучения. Этот эффект применяется в высокочувствительных приемниках длинноволнового инфракрасного излучения. Постоянная времени эффекта — 10 сек.</w:t>
      </w:r>
      <w:bookmarkStart w:id="0" w:name="_GoBack"/>
      <w:bookmarkEnd w:id="0"/>
    </w:p>
    <w:sectPr w:rsidR="00745E33" w:rsidRPr="00F506F7" w:rsidSect="00F506F7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C37" w:rsidRDefault="00A33C37">
      <w:r>
        <w:separator/>
      </w:r>
    </w:p>
  </w:endnote>
  <w:endnote w:type="continuationSeparator" w:id="0">
    <w:p w:rsidR="00A33C37" w:rsidRDefault="00A3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72" w:rsidRDefault="00EF1B72" w:rsidP="00E96567">
    <w:pPr>
      <w:pStyle w:val="a3"/>
      <w:framePr w:wrap="around" w:vAnchor="text" w:hAnchor="margin" w:xAlign="right" w:y="1"/>
      <w:rPr>
        <w:rStyle w:val="a5"/>
      </w:rPr>
    </w:pPr>
  </w:p>
  <w:p w:rsidR="00EF1B72" w:rsidRDefault="00EF1B72" w:rsidP="00EF1B7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72" w:rsidRDefault="00052B92" w:rsidP="00E96567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EF1B72" w:rsidRDefault="00EF1B72" w:rsidP="00EF1B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C37" w:rsidRDefault="00A33C37">
      <w:r>
        <w:separator/>
      </w:r>
    </w:p>
  </w:footnote>
  <w:footnote w:type="continuationSeparator" w:id="0">
    <w:p w:rsidR="00A33C37" w:rsidRDefault="00A33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</w:abstractNum>
  <w:abstractNum w:abstractNumId="1">
    <w:nsid w:val="714837F0"/>
    <w:multiLevelType w:val="hybridMultilevel"/>
    <w:tmpl w:val="9F7ABA96"/>
    <w:lvl w:ilvl="0" w:tplc="363CF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5B2"/>
    <w:rsid w:val="00052B92"/>
    <w:rsid w:val="00110A27"/>
    <w:rsid w:val="00132926"/>
    <w:rsid w:val="00142E5B"/>
    <w:rsid w:val="00174A99"/>
    <w:rsid w:val="001A23DA"/>
    <w:rsid w:val="001A7E55"/>
    <w:rsid w:val="004A5DEB"/>
    <w:rsid w:val="00586719"/>
    <w:rsid w:val="006069A6"/>
    <w:rsid w:val="00620950"/>
    <w:rsid w:val="006F1AD2"/>
    <w:rsid w:val="00745E33"/>
    <w:rsid w:val="008E2DDC"/>
    <w:rsid w:val="00906430"/>
    <w:rsid w:val="0097496F"/>
    <w:rsid w:val="00A045B2"/>
    <w:rsid w:val="00A33C37"/>
    <w:rsid w:val="00A53E43"/>
    <w:rsid w:val="00A9211F"/>
    <w:rsid w:val="00AC4F07"/>
    <w:rsid w:val="00AD4890"/>
    <w:rsid w:val="00B47E12"/>
    <w:rsid w:val="00BD5880"/>
    <w:rsid w:val="00DD56CB"/>
    <w:rsid w:val="00E06430"/>
    <w:rsid w:val="00E96567"/>
    <w:rsid w:val="00EE2339"/>
    <w:rsid w:val="00EF1B72"/>
    <w:rsid w:val="00F506F7"/>
    <w:rsid w:val="00F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03F158-53B9-42F6-AF21-54FE2D55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5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1B7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EF1B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ÓÑËÎÂÈß ÏÀÒÅÍÒÎÑÏÎÑÎÁÍÎÑÒÈ ÈÇÎÁÐÅÒÅÍÈÉ</vt:lpstr>
    </vt:vector>
  </TitlesOfParts>
  <Company>Deus_eX</Company>
  <LinksUpToDate>false</LinksUpToDate>
  <CharactersWithSpaces>13534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ÓÑËÎÂÈß ÏÀÒÅÍÒÎÑÏÎÑÎÁÍÎÑÒÈ ÈÇÎÁÐÅÒÅÍÈÉ</dc:title>
  <dc:subject/>
  <dc:creator>SergeY</dc:creator>
  <cp:keywords/>
  <dc:description/>
  <cp:lastModifiedBy>Irina</cp:lastModifiedBy>
  <cp:revision>2</cp:revision>
  <dcterms:created xsi:type="dcterms:W3CDTF">2014-11-13T07:42:00Z</dcterms:created>
  <dcterms:modified xsi:type="dcterms:W3CDTF">2014-11-13T07:42:00Z</dcterms:modified>
</cp:coreProperties>
</file>